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B4FBE" w14:textId="77777777" w:rsidR="001867D3" w:rsidRPr="001867D3" w:rsidRDefault="00414327" w:rsidP="005B22B2">
      <w:pPr>
        <w:spacing w:after="0" w:line="240" w:lineRule="auto"/>
        <w:rPr>
          <w:rFonts w:ascii="Times New Roman" w:hAnsi="Times New Roman"/>
          <w:b/>
          <w:bCs/>
          <w:sz w:val="28"/>
          <w:szCs w:val="28"/>
        </w:rPr>
      </w:pPr>
      <w:bookmarkStart w:id="0" w:name="_Toc355533880"/>
      <w:r>
        <w:rPr>
          <w:rFonts w:ascii="Times New Roman" w:hAnsi="Times New Roman"/>
          <w:b/>
          <w:noProof/>
          <w:sz w:val="28"/>
          <w:szCs w:val="28"/>
          <w:lang w:eastAsia="fr-FR"/>
        </w:rPr>
        <mc:AlternateContent>
          <mc:Choice Requires="wps">
            <w:drawing>
              <wp:anchor distT="0" distB="0" distL="114300" distR="114300" simplePos="0" relativeHeight="251671040" behindDoc="0" locked="0" layoutInCell="1" allowOverlap="1" wp14:anchorId="604B5399" wp14:editId="604B539A">
                <wp:simplePos x="0" y="0"/>
                <wp:positionH relativeFrom="column">
                  <wp:posOffset>3615055</wp:posOffset>
                </wp:positionH>
                <wp:positionV relativeFrom="paragraph">
                  <wp:posOffset>62230</wp:posOffset>
                </wp:positionV>
                <wp:extent cx="1885950" cy="1895475"/>
                <wp:effectExtent l="635" t="635" r="0" b="0"/>
                <wp:wrapNone/>
                <wp:docPr id="1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B53B3" w14:textId="77777777" w:rsidR="0021189A" w:rsidRDefault="0021189A" w:rsidP="001867D3">
                            <w:r w:rsidRPr="00D32C0A">
                              <w:rPr>
                                <w:noProof/>
                                <w:lang w:eastAsia="fr-FR"/>
                              </w:rPr>
                              <w:drawing>
                                <wp:inline distT="0" distB="0" distL="0" distR="0" wp14:anchorId="604B53C5" wp14:editId="604B53C6">
                                  <wp:extent cx="1657350" cy="1457325"/>
                                  <wp:effectExtent l="19050" t="0" r="0" b="0"/>
                                  <wp:docPr id="1" name="Image 3"/>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a:stretch>
                                            <a:fillRect/>
                                          </a:stretch>
                                        </pic:blipFill>
                                        <pic:spPr>
                                          <a:xfrm>
                                            <a:off x="0" y="0"/>
                                            <a:ext cx="1654626" cy="14549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B5399" id="_x0000_t202" coordsize="21600,21600" o:spt="202" path="m,l,21600r21600,l21600,xe">
                <v:stroke joinstyle="miter"/>
                <v:path gradientshapeok="t" o:connecttype="rect"/>
              </v:shapetype>
              <v:shape id="Text Box 69" o:spid="_x0000_s1026" type="#_x0000_t202" style="position:absolute;margin-left:284.65pt;margin-top:4.9pt;width:148.5pt;height:14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" stroked="f">
                <v:textbox>
                  <w:txbxContent>
                    <w:p w14:paraId="604B53B3" w14:textId="77777777" w:rsidR="0021189A" w:rsidRDefault="0021189A" w:rsidP="001867D3">
                      <w:r w:rsidRPr="00D32C0A">
                        <w:rPr>
                          <w:noProof/>
                          <w:lang w:eastAsia="fr-FR"/>
                        </w:rPr>
                        <w:drawing>
                          <wp:inline distT="0" distB="0" distL="0" distR="0" wp14:anchorId="604B53C5" wp14:editId="604B53C6">
                            <wp:extent cx="1657350" cy="1457325"/>
                            <wp:effectExtent l="19050" t="0" r="0" b="0"/>
                            <wp:docPr id="1" name="Image 3"/>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a:stretch>
                                      <a:fillRect/>
                                    </a:stretch>
                                  </pic:blipFill>
                                  <pic:spPr>
                                    <a:xfrm>
                                      <a:off x="0" y="0"/>
                                      <a:ext cx="1654626" cy="1454930"/>
                                    </a:xfrm>
                                    <a:prstGeom prst="rect">
                                      <a:avLst/>
                                    </a:prstGeom>
                                  </pic:spPr>
                                </pic:pic>
                              </a:graphicData>
                            </a:graphic>
                          </wp:inline>
                        </w:drawing>
                      </w:r>
                    </w:p>
                  </w:txbxContent>
                </v:textbox>
              </v:shape>
            </w:pict>
          </mc:Fallback>
        </mc:AlternateContent>
      </w:r>
      <w:r>
        <w:rPr>
          <w:rFonts w:ascii="Times New Roman" w:hAnsi="Times New Roman"/>
          <w:b/>
          <w:noProof/>
          <w:sz w:val="28"/>
          <w:szCs w:val="28"/>
          <w:lang w:eastAsia="fr-FR"/>
        </w:rPr>
        <mc:AlternateContent>
          <mc:Choice Requires="wps">
            <w:drawing>
              <wp:anchor distT="0" distB="0" distL="114300" distR="114300" simplePos="0" relativeHeight="251670016" behindDoc="0" locked="0" layoutInCell="1" allowOverlap="1" wp14:anchorId="604B539B" wp14:editId="604B539C">
                <wp:simplePos x="0" y="0"/>
                <wp:positionH relativeFrom="column">
                  <wp:posOffset>262255</wp:posOffset>
                </wp:positionH>
                <wp:positionV relativeFrom="paragraph">
                  <wp:posOffset>5080</wp:posOffset>
                </wp:positionV>
                <wp:extent cx="1752600" cy="1590675"/>
                <wp:effectExtent l="635" t="635" r="0" b="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B53B4" w14:textId="77777777" w:rsidR="0021189A" w:rsidRDefault="0021189A" w:rsidP="001867D3">
                            <w:r w:rsidRPr="00D32C0A">
                              <w:rPr>
                                <w:noProof/>
                                <w:lang w:eastAsia="fr-FR"/>
                              </w:rPr>
                              <w:drawing>
                                <wp:inline distT="0" distB="0" distL="0" distR="0" wp14:anchorId="604B53C7" wp14:editId="604B53C8">
                                  <wp:extent cx="1466850" cy="1419225"/>
                                  <wp:effectExtent l="19050" t="0" r="0" b="0"/>
                                  <wp:docPr id="4" name="Image 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9"/>
                                          <a:stretch>
                                            <a:fillRect/>
                                          </a:stretch>
                                        </pic:blipFill>
                                        <pic:spPr>
                                          <a:xfrm>
                                            <a:off x="0" y="0"/>
                                            <a:ext cx="1466850" cy="14192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539B" id="Text Box 68" o:spid="_x0000_s1027" type="#_x0000_t202" style="position:absolute;margin-left:20.65pt;margin-top:.4pt;width:138pt;height:12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GrhQIAABk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" stroked="f">
                <v:textbox>
                  <w:txbxContent>
                    <w:p w14:paraId="604B53B4" w14:textId="77777777" w:rsidR="0021189A" w:rsidRDefault="0021189A" w:rsidP="001867D3">
                      <w:r w:rsidRPr="00D32C0A">
                        <w:rPr>
                          <w:noProof/>
                          <w:lang w:eastAsia="fr-FR"/>
                        </w:rPr>
                        <w:drawing>
                          <wp:inline distT="0" distB="0" distL="0" distR="0" wp14:anchorId="604B53C7" wp14:editId="604B53C8">
                            <wp:extent cx="1466850" cy="1419225"/>
                            <wp:effectExtent l="19050" t="0" r="0" b="0"/>
                            <wp:docPr id="4" name="Image 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9"/>
                                    <a:stretch>
                                      <a:fillRect/>
                                    </a:stretch>
                                  </pic:blipFill>
                                  <pic:spPr>
                                    <a:xfrm>
                                      <a:off x="0" y="0"/>
                                      <a:ext cx="1466850" cy="1419225"/>
                                    </a:xfrm>
                                    <a:prstGeom prst="rect">
                                      <a:avLst/>
                                    </a:prstGeom>
                                  </pic:spPr>
                                </pic:pic>
                              </a:graphicData>
                            </a:graphic>
                          </wp:inline>
                        </w:drawing>
                      </w:r>
                    </w:p>
                  </w:txbxContent>
                </v:textbox>
              </v:shape>
            </w:pict>
          </mc:Fallback>
        </mc:AlternateContent>
      </w:r>
      <w:r>
        <w:rPr>
          <w:rFonts w:ascii="Times New Roman" w:hAnsi="Times New Roman"/>
          <w:b/>
          <w:noProof/>
          <w:sz w:val="28"/>
          <w:szCs w:val="28"/>
          <w:lang w:eastAsia="fr-FR"/>
        </w:rPr>
        <mc:AlternateContent>
          <mc:Choice Requires="wps">
            <w:drawing>
              <wp:anchor distT="0" distB="0" distL="114300" distR="114300" simplePos="0" relativeHeight="251667968" behindDoc="0" locked="0" layoutInCell="1" allowOverlap="1" wp14:anchorId="604B539D" wp14:editId="604B539E">
                <wp:simplePos x="0" y="0"/>
                <wp:positionH relativeFrom="column">
                  <wp:posOffset>697865</wp:posOffset>
                </wp:positionH>
                <wp:positionV relativeFrom="paragraph">
                  <wp:posOffset>3489960</wp:posOffset>
                </wp:positionV>
                <wp:extent cx="4529455" cy="2178685"/>
                <wp:effectExtent l="0" t="0" r="4445"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2178685"/>
                        </a:xfrm>
                        <a:prstGeom prst="rect">
                          <a:avLst/>
                        </a:prstGeom>
                        <a:solidFill>
                          <a:srgbClr val="FFFFFF"/>
                        </a:solidFill>
                        <a:ln w="9525">
                          <a:solidFill>
                            <a:srgbClr val="000000"/>
                          </a:solidFill>
                          <a:miter lim="800000"/>
                          <a:headEnd/>
                          <a:tailEnd/>
                        </a:ln>
                      </wps:spPr>
                      <wps:txbx>
                        <w:txbxContent>
                          <w:p w14:paraId="604B53B5" w14:textId="77777777" w:rsidR="0021189A" w:rsidRDefault="0021189A" w:rsidP="001867D3">
                            <w:pPr>
                              <w:spacing w:after="0" w:line="240" w:lineRule="auto"/>
                              <w:jc w:val="center"/>
                              <w:rPr>
                                <w:rFonts w:ascii="Arial Black" w:hAnsi="Arial Black" w:cs="Arial"/>
                                <w:b/>
                                <w:sz w:val="28"/>
                                <w:szCs w:val="28"/>
                              </w:rPr>
                            </w:pPr>
                            <w:r w:rsidRPr="00D877C0">
                              <w:rPr>
                                <w:rFonts w:ascii="Arial Black" w:hAnsi="Arial Black" w:cs="Arial"/>
                                <w:b/>
                                <w:sz w:val="28"/>
                                <w:szCs w:val="28"/>
                              </w:rPr>
                              <w:t xml:space="preserve">EVALUATION </w:t>
                            </w:r>
                            <w:r>
                              <w:rPr>
                                <w:rFonts w:ascii="Arial Black" w:hAnsi="Arial Black" w:cs="Arial"/>
                                <w:b/>
                                <w:sz w:val="28"/>
                                <w:szCs w:val="28"/>
                              </w:rPr>
                              <w:t>A MI-PARCOURS UNDAF</w:t>
                            </w:r>
                            <w:r w:rsidRPr="00DD0ADE">
                              <w:rPr>
                                <w:rFonts w:ascii="Arial Black" w:hAnsi="Arial Black" w:cs="Arial"/>
                                <w:b/>
                                <w:sz w:val="28"/>
                                <w:szCs w:val="28"/>
                                <w:vertAlign w:val="superscript"/>
                              </w:rPr>
                              <w:t>+</w:t>
                            </w:r>
                          </w:p>
                          <w:p w14:paraId="604B53B6" w14:textId="77777777" w:rsidR="0021189A" w:rsidRDefault="0021189A" w:rsidP="001867D3">
                            <w:pPr>
                              <w:spacing w:after="0" w:line="240" w:lineRule="auto"/>
                              <w:jc w:val="center"/>
                              <w:rPr>
                                <w:rFonts w:ascii="Arial Black" w:hAnsi="Arial Black" w:cs="Arial"/>
                                <w:b/>
                                <w:sz w:val="28"/>
                                <w:szCs w:val="28"/>
                              </w:rPr>
                            </w:pPr>
                            <w:r>
                              <w:rPr>
                                <w:rFonts w:ascii="Arial Black" w:hAnsi="Arial Black" w:cs="Arial"/>
                                <w:b/>
                                <w:sz w:val="28"/>
                                <w:szCs w:val="28"/>
                              </w:rPr>
                              <w:t>CYCLE 2015-2019</w:t>
                            </w:r>
                          </w:p>
                          <w:p w14:paraId="604B53B7" w14:textId="77777777" w:rsidR="0021189A" w:rsidRPr="003917D0" w:rsidRDefault="0021189A" w:rsidP="001867D3">
                            <w:pPr>
                              <w:spacing w:after="0" w:line="240" w:lineRule="auto"/>
                              <w:jc w:val="center"/>
                              <w:rPr>
                                <w:rFonts w:ascii="Arial Black" w:hAnsi="Arial Black" w:cs="Arial"/>
                                <w:b/>
                                <w:sz w:val="28"/>
                                <w:szCs w:val="28"/>
                              </w:rPr>
                            </w:pPr>
                            <w:r>
                              <w:rPr>
                                <w:rFonts w:ascii="Arial Black" w:hAnsi="Arial Black" w:cs="Arial"/>
                                <w:b/>
                                <w:sz w:val="28"/>
                                <w:szCs w:val="28"/>
                              </w:rPr>
                              <w:t>---------------</w:t>
                            </w:r>
                          </w:p>
                          <w:p w14:paraId="604B53B8" w14:textId="77777777" w:rsidR="0021189A" w:rsidRPr="00D80844" w:rsidRDefault="0021189A" w:rsidP="001867D3">
                            <w:pPr>
                              <w:spacing w:after="0" w:line="240" w:lineRule="auto"/>
                              <w:jc w:val="center"/>
                              <w:rPr>
                                <w:rFonts w:ascii="Arial Narrow" w:hAnsi="Arial Narrow"/>
                                <w:b/>
                                <w:bCs/>
                              </w:rPr>
                            </w:pPr>
                          </w:p>
                          <w:p w14:paraId="604B53B9" w14:textId="77777777" w:rsidR="0021189A" w:rsidRPr="00D877C0" w:rsidRDefault="0021189A" w:rsidP="001867D3">
                            <w:pPr>
                              <w:spacing w:after="0" w:line="240" w:lineRule="auto"/>
                              <w:jc w:val="center"/>
                              <w:rPr>
                                <w:rFonts w:ascii="Arial Narrow" w:hAnsi="Arial Narrow"/>
                                <w:b/>
                                <w:bCs/>
                                <w:sz w:val="36"/>
                                <w:szCs w:val="36"/>
                              </w:rPr>
                            </w:pPr>
                            <w:r>
                              <w:rPr>
                                <w:rFonts w:ascii="Arial Narrow" w:hAnsi="Arial Narrow"/>
                                <w:b/>
                                <w:bCs/>
                                <w:sz w:val="36"/>
                                <w:szCs w:val="36"/>
                              </w:rPr>
                              <w:t>RAPPORT FINAL PRINCIPAL D’EVALUATION</w:t>
                            </w:r>
                          </w:p>
                          <w:p w14:paraId="604B53BA" w14:textId="77777777" w:rsidR="0021189A" w:rsidRPr="00D80844" w:rsidRDefault="0021189A" w:rsidP="001867D3">
                            <w:pPr>
                              <w:spacing w:after="0" w:line="240" w:lineRule="auto"/>
                              <w:jc w:val="center"/>
                              <w:rPr>
                                <w:rFonts w:ascii="Arial Narrow" w:hAnsi="Arial Narrow"/>
                                <w:b/>
                                <w:bCs/>
                                <w:sz w:val="28"/>
                                <w:szCs w:val="28"/>
                              </w:rPr>
                            </w:pPr>
                            <w:r w:rsidRPr="00D80844">
                              <w:rPr>
                                <w:rFonts w:ascii="Arial Narrow" w:hAnsi="Arial Narrow"/>
                                <w:b/>
                                <w:bCs/>
                                <w:sz w:val="28"/>
                                <w:szCs w:val="28"/>
                              </w:rPr>
                              <w:t>-------------------------</w:t>
                            </w:r>
                          </w:p>
                          <w:p w14:paraId="604B53BB" w14:textId="77777777" w:rsidR="0021189A" w:rsidRDefault="0021189A" w:rsidP="001867D3">
                            <w:pPr>
                              <w:spacing w:after="0" w:line="240" w:lineRule="auto"/>
                              <w:jc w:val="center"/>
                              <w:rPr>
                                <w:rFonts w:ascii="Arial Narrow" w:hAnsi="Arial Narrow"/>
                                <w:b/>
                                <w:bCs/>
                                <w:sz w:val="28"/>
                                <w:szCs w:val="28"/>
                              </w:rPr>
                            </w:pPr>
                            <w:r w:rsidRPr="00D80844">
                              <w:rPr>
                                <w:rFonts w:ascii="Arial Narrow" w:hAnsi="Arial Narrow"/>
                                <w:b/>
                                <w:bCs/>
                                <w:sz w:val="28"/>
                                <w:szCs w:val="28"/>
                              </w:rPr>
                              <w:t>Cheikh FAYE</w:t>
                            </w:r>
                            <w:r>
                              <w:rPr>
                                <w:rFonts w:ascii="Arial Narrow" w:hAnsi="Arial Narrow"/>
                                <w:b/>
                                <w:bCs/>
                                <w:sz w:val="28"/>
                                <w:szCs w:val="28"/>
                              </w:rPr>
                              <w:t xml:space="preserve">, </w:t>
                            </w:r>
                            <w:r w:rsidRPr="00D80844">
                              <w:rPr>
                                <w:rFonts w:ascii="Arial Narrow" w:hAnsi="Arial Narrow"/>
                                <w:b/>
                                <w:bCs/>
                                <w:sz w:val="28"/>
                                <w:szCs w:val="28"/>
                              </w:rPr>
                              <w:t>Consultant International</w:t>
                            </w:r>
                            <w:r>
                              <w:rPr>
                                <w:rFonts w:ascii="Arial Narrow" w:hAnsi="Arial Narrow"/>
                                <w:b/>
                                <w:bCs/>
                                <w:sz w:val="28"/>
                                <w:szCs w:val="28"/>
                              </w:rPr>
                              <w:t>, Chef de Mission</w:t>
                            </w:r>
                          </w:p>
                          <w:p w14:paraId="604B53BC" w14:textId="77777777" w:rsidR="0021189A" w:rsidRDefault="0021189A" w:rsidP="001867D3">
                            <w:pPr>
                              <w:spacing w:after="0" w:line="240" w:lineRule="auto"/>
                              <w:jc w:val="center"/>
                              <w:rPr>
                                <w:rFonts w:ascii="Arial Narrow" w:hAnsi="Arial Narrow"/>
                                <w:b/>
                                <w:bCs/>
                                <w:sz w:val="28"/>
                                <w:szCs w:val="28"/>
                              </w:rPr>
                            </w:pPr>
                            <w:r>
                              <w:rPr>
                                <w:rFonts w:ascii="Arial Narrow" w:hAnsi="Arial Narrow"/>
                                <w:b/>
                                <w:bCs/>
                                <w:sz w:val="28"/>
                                <w:szCs w:val="28"/>
                              </w:rPr>
                              <w:t>Ousmane DIALLO, Consultant National, Membre</w:t>
                            </w:r>
                          </w:p>
                          <w:p w14:paraId="604B53BD" w14:textId="77777777" w:rsidR="0021189A" w:rsidRDefault="0021189A" w:rsidP="001867D3">
                            <w:pPr>
                              <w:spacing w:after="0" w:line="240" w:lineRule="auto"/>
                              <w:jc w:val="center"/>
                              <w:rPr>
                                <w:rFonts w:ascii="Arial Narrow" w:hAnsi="Arial Narrow"/>
                                <w:b/>
                                <w:bCs/>
                                <w:sz w:val="28"/>
                                <w:szCs w:val="28"/>
                              </w:rPr>
                            </w:pPr>
                            <w:r>
                              <w:rPr>
                                <w:rFonts w:ascii="Arial Narrow" w:hAnsi="Arial Narrow"/>
                                <w:b/>
                                <w:bCs/>
                                <w:sz w:val="28"/>
                                <w:szCs w:val="28"/>
                              </w:rPr>
                              <w:t>Ibrahim NIENTA, Consultant National, Membre</w:t>
                            </w:r>
                          </w:p>
                          <w:p w14:paraId="604B53BE" w14:textId="77777777" w:rsidR="0021189A" w:rsidRDefault="0021189A" w:rsidP="001867D3">
                            <w:pPr>
                              <w:spacing w:after="0" w:line="240" w:lineRule="auto"/>
                              <w:jc w:val="center"/>
                              <w:rPr>
                                <w:rFonts w:ascii="Arial Narrow" w:hAnsi="Arial Narrow"/>
                                <w:b/>
                                <w:bCs/>
                                <w:sz w:val="28"/>
                                <w:szCs w:val="28"/>
                              </w:rPr>
                            </w:pPr>
                          </w:p>
                          <w:p w14:paraId="604B53BF" w14:textId="77777777" w:rsidR="0021189A" w:rsidRDefault="0021189A" w:rsidP="001867D3">
                            <w:pPr>
                              <w:spacing w:after="0" w:line="240" w:lineRule="auto"/>
                              <w:jc w:val="center"/>
                              <w:rPr>
                                <w:rFonts w:ascii="Arial Narrow" w:hAnsi="Arial Narrow"/>
                                <w:b/>
                                <w:bCs/>
                                <w:sz w:val="28"/>
                                <w:szCs w:val="28"/>
                              </w:rPr>
                            </w:pPr>
                          </w:p>
                          <w:p w14:paraId="604B53C0" w14:textId="77777777" w:rsidR="0021189A" w:rsidRDefault="0021189A" w:rsidP="001867D3">
                            <w:pPr>
                              <w:spacing w:after="0" w:line="240" w:lineRule="auto"/>
                              <w:jc w:val="center"/>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539D" id="Text Box 15" o:spid="_x0000_s1028" type="#_x0000_t202" style="position:absolute;margin-left:54.95pt;margin-top:274.8pt;width:356.65pt;height:171.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">
                <v:textbox>
                  <w:txbxContent>
                    <w:p w14:paraId="604B53B5" w14:textId="77777777" w:rsidR="0021189A" w:rsidRDefault="0021189A" w:rsidP="001867D3">
                      <w:pPr>
                        <w:spacing w:after="0" w:line="240" w:lineRule="auto"/>
                        <w:jc w:val="center"/>
                        <w:rPr>
                          <w:rFonts w:ascii="Arial Black" w:hAnsi="Arial Black" w:cs="Arial"/>
                          <w:b/>
                          <w:sz w:val="28"/>
                          <w:szCs w:val="28"/>
                        </w:rPr>
                      </w:pPr>
                      <w:r w:rsidRPr="00D877C0">
                        <w:rPr>
                          <w:rFonts w:ascii="Arial Black" w:hAnsi="Arial Black" w:cs="Arial"/>
                          <w:b/>
                          <w:sz w:val="28"/>
                          <w:szCs w:val="28"/>
                        </w:rPr>
                        <w:t xml:space="preserve">EVALUATION </w:t>
                      </w:r>
                      <w:r>
                        <w:rPr>
                          <w:rFonts w:ascii="Arial Black" w:hAnsi="Arial Black" w:cs="Arial"/>
                          <w:b/>
                          <w:sz w:val="28"/>
                          <w:szCs w:val="28"/>
                        </w:rPr>
                        <w:t>A MI-PARCOURS UNDAF</w:t>
                      </w:r>
                      <w:r w:rsidRPr="00DD0ADE">
                        <w:rPr>
                          <w:rFonts w:ascii="Arial Black" w:hAnsi="Arial Black" w:cs="Arial"/>
                          <w:b/>
                          <w:sz w:val="28"/>
                          <w:szCs w:val="28"/>
                          <w:vertAlign w:val="superscript"/>
                        </w:rPr>
                        <w:t>+</w:t>
                      </w:r>
                    </w:p>
                    <w:p w14:paraId="604B53B6" w14:textId="77777777" w:rsidR="0021189A" w:rsidRDefault="0021189A" w:rsidP="001867D3">
                      <w:pPr>
                        <w:spacing w:after="0" w:line="240" w:lineRule="auto"/>
                        <w:jc w:val="center"/>
                        <w:rPr>
                          <w:rFonts w:ascii="Arial Black" w:hAnsi="Arial Black" w:cs="Arial"/>
                          <w:b/>
                          <w:sz w:val="28"/>
                          <w:szCs w:val="28"/>
                        </w:rPr>
                      </w:pPr>
                      <w:r>
                        <w:rPr>
                          <w:rFonts w:ascii="Arial Black" w:hAnsi="Arial Black" w:cs="Arial"/>
                          <w:b/>
                          <w:sz w:val="28"/>
                          <w:szCs w:val="28"/>
                        </w:rPr>
                        <w:t>CYCLE 2015-2019</w:t>
                      </w:r>
                    </w:p>
                    <w:p w14:paraId="604B53B7" w14:textId="77777777" w:rsidR="0021189A" w:rsidRPr="003917D0" w:rsidRDefault="0021189A" w:rsidP="001867D3">
                      <w:pPr>
                        <w:spacing w:after="0" w:line="240" w:lineRule="auto"/>
                        <w:jc w:val="center"/>
                        <w:rPr>
                          <w:rFonts w:ascii="Arial Black" w:hAnsi="Arial Black" w:cs="Arial"/>
                          <w:b/>
                          <w:sz w:val="28"/>
                          <w:szCs w:val="28"/>
                        </w:rPr>
                      </w:pPr>
                      <w:r>
                        <w:rPr>
                          <w:rFonts w:ascii="Arial Black" w:hAnsi="Arial Black" w:cs="Arial"/>
                          <w:b/>
                          <w:sz w:val="28"/>
                          <w:szCs w:val="28"/>
                        </w:rPr>
                        <w:t>---------------</w:t>
                      </w:r>
                    </w:p>
                    <w:p w14:paraId="604B53B8" w14:textId="77777777" w:rsidR="0021189A" w:rsidRPr="00D80844" w:rsidRDefault="0021189A" w:rsidP="001867D3">
                      <w:pPr>
                        <w:spacing w:after="0" w:line="240" w:lineRule="auto"/>
                        <w:jc w:val="center"/>
                        <w:rPr>
                          <w:rFonts w:ascii="Arial Narrow" w:hAnsi="Arial Narrow"/>
                          <w:b/>
                          <w:bCs/>
                        </w:rPr>
                      </w:pPr>
                    </w:p>
                    <w:p w14:paraId="604B53B9" w14:textId="77777777" w:rsidR="0021189A" w:rsidRPr="00D877C0" w:rsidRDefault="0021189A" w:rsidP="001867D3">
                      <w:pPr>
                        <w:spacing w:after="0" w:line="240" w:lineRule="auto"/>
                        <w:jc w:val="center"/>
                        <w:rPr>
                          <w:rFonts w:ascii="Arial Narrow" w:hAnsi="Arial Narrow"/>
                          <w:b/>
                          <w:bCs/>
                          <w:sz w:val="36"/>
                          <w:szCs w:val="36"/>
                        </w:rPr>
                      </w:pPr>
                      <w:r>
                        <w:rPr>
                          <w:rFonts w:ascii="Arial Narrow" w:hAnsi="Arial Narrow"/>
                          <w:b/>
                          <w:bCs/>
                          <w:sz w:val="36"/>
                          <w:szCs w:val="36"/>
                        </w:rPr>
                        <w:t>RAPPORT FINAL PRINCIPAL D’EVALUATION</w:t>
                      </w:r>
                    </w:p>
                    <w:p w14:paraId="604B53BA" w14:textId="77777777" w:rsidR="0021189A" w:rsidRPr="00D80844" w:rsidRDefault="0021189A" w:rsidP="001867D3">
                      <w:pPr>
                        <w:spacing w:after="0" w:line="240" w:lineRule="auto"/>
                        <w:jc w:val="center"/>
                        <w:rPr>
                          <w:rFonts w:ascii="Arial Narrow" w:hAnsi="Arial Narrow"/>
                          <w:b/>
                          <w:bCs/>
                          <w:sz w:val="28"/>
                          <w:szCs w:val="28"/>
                        </w:rPr>
                      </w:pPr>
                      <w:r w:rsidRPr="00D80844">
                        <w:rPr>
                          <w:rFonts w:ascii="Arial Narrow" w:hAnsi="Arial Narrow"/>
                          <w:b/>
                          <w:bCs/>
                          <w:sz w:val="28"/>
                          <w:szCs w:val="28"/>
                        </w:rPr>
                        <w:t>-------------------------</w:t>
                      </w:r>
                    </w:p>
                    <w:p w14:paraId="604B53BB" w14:textId="77777777" w:rsidR="0021189A" w:rsidRDefault="0021189A" w:rsidP="001867D3">
                      <w:pPr>
                        <w:spacing w:after="0" w:line="240" w:lineRule="auto"/>
                        <w:jc w:val="center"/>
                        <w:rPr>
                          <w:rFonts w:ascii="Arial Narrow" w:hAnsi="Arial Narrow"/>
                          <w:b/>
                          <w:bCs/>
                          <w:sz w:val="28"/>
                          <w:szCs w:val="28"/>
                        </w:rPr>
                      </w:pPr>
                      <w:r w:rsidRPr="00D80844">
                        <w:rPr>
                          <w:rFonts w:ascii="Arial Narrow" w:hAnsi="Arial Narrow"/>
                          <w:b/>
                          <w:bCs/>
                          <w:sz w:val="28"/>
                          <w:szCs w:val="28"/>
                        </w:rPr>
                        <w:t>Cheikh FAYE</w:t>
                      </w:r>
                      <w:r>
                        <w:rPr>
                          <w:rFonts w:ascii="Arial Narrow" w:hAnsi="Arial Narrow"/>
                          <w:b/>
                          <w:bCs/>
                          <w:sz w:val="28"/>
                          <w:szCs w:val="28"/>
                        </w:rPr>
                        <w:t xml:space="preserve">, </w:t>
                      </w:r>
                      <w:r w:rsidRPr="00D80844">
                        <w:rPr>
                          <w:rFonts w:ascii="Arial Narrow" w:hAnsi="Arial Narrow"/>
                          <w:b/>
                          <w:bCs/>
                          <w:sz w:val="28"/>
                          <w:szCs w:val="28"/>
                        </w:rPr>
                        <w:t>Consultant International</w:t>
                      </w:r>
                      <w:r>
                        <w:rPr>
                          <w:rFonts w:ascii="Arial Narrow" w:hAnsi="Arial Narrow"/>
                          <w:b/>
                          <w:bCs/>
                          <w:sz w:val="28"/>
                          <w:szCs w:val="28"/>
                        </w:rPr>
                        <w:t>, Chef de Mission</w:t>
                      </w:r>
                    </w:p>
                    <w:p w14:paraId="604B53BC" w14:textId="77777777" w:rsidR="0021189A" w:rsidRDefault="0021189A" w:rsidP="001867D3">
                      <w:pPr>
                        <w:spacing w:after="0" w:line="240" w:lineRule="auto"/>
                        <w:jc w:val="center"/>
                        <w:rPr>
                          <w:rFonts w:ascii="Arial Narrow" w:hAnsi="Arial Narrow"/>
                          <w:b/>
                          <w:bCs/>
                          <w:sz w:val="28"/>
                          <w:szCs w:val="28"/>
                        </w:rPr>
                      </w:pPr>
                      <w:r>
                        <w:rPr>
                          <w:rFonts w:ascii="Arial Narrow" w:hAnsi="Arial Narrow"/>
                          <w:b/>
                          <w:bCs/>
                          <w:sz w:val="28"/>
                          <w:szCs w:val="28"/>
                        </w:rPr>
                        <w:t>Ousmane DIALLO, Consultant National, Membre</w:t>
                      </w:r>
                    </w:p>
                    <w:p w14:paraId="604B53BD" w14:textId="77777777" w:rsidR="0021189A" w:rsidRDefault="0021189A" w:rsidP="001867D3">
                      <w:pPr>
                        <w:spacing w:after="0" w:line="240" w:lineRule="auto"/>
                        <w:jc w:val="center"/>
                        <w:rPr>
                          <w:rFonts w:ascii="Arial Narrow" w:hAnsi="Arial Narrow"/>
                          <w:b/>
                          <w:bCs/>
                          <w:sz w:val="28"/>
                          <w:szCs w:val="28"/>
                        </w:rPr>
                      </w:pPr>
                      <w:r>
                        <w:rPr>
                          <w:rFonts w:ascii="Arial Narrow" w:hAnsi="Arial Narrow"/>
                          <w:b/>
                          <w:bCs/>
                          <w:sz w:val="28"/>
                          <w:szCs w:val="28"/>
                        </w:rPr>
                        <w:t>Ibrahim NIENTA, Consultant National, Membre</w:t>
                      </w:r>
                    </w:p>
                    <w:p w14:paraId="604B53BE" w14:textId="77777777" w:rsidR="0021189A" w:rsidRDefault="0021189A" w:rsidP="001867D3">
                      <w:pPr>
                        <w:spacing w:after="0" w:line="240" w:lineRule="auto"/>
                        <w:jc w:val="center"/>
                        <w:rPr>
                          <w:rFonts w:ascii="Arial Narrow" w:hAnsi="Arial Narrow"/>
                          <w:b/>
                          <w:bCs/>
                          <w:sz w:val="28"/>
                          <w:szCs w:val="28"/>
                        </w:rPr>
                      </w:pPr>
                    </w:p>
                    <w:p w14:paraId="604B53BF" w14:textId="77777777" w:rsidR="0021189A" w:rsidRDefault="0021189A" w:rsidP="001867D3">
                      <w:pPr>
                        <w:spacing w:after="0" w:line="240" w:lineRule="auto"/>
                        <w:jc w:val="center"/>
                        <w:rPr>
                          <w:rFonts w:ascii="Arial Narrow" w:hAnsi="Arial Narrow"/>
                          <w:b/>
                          <w:bCs/>
                          <w:sz w:val="28"/>
                          <w:szCs w:val="28"/>
                        </w:rPr>
                      </w:pPr>
                    </w:p>
                    <w:p w14:paraId="604B53C0" w14:textId="77777777" w:rsidR="0021189A" w:rsidRDefault="0021189A" w:rsidP="001867D3">
                      <w:pPr>
                        <w:spacing w:after="0" w:line="240" w:lineRule="auto"/>
                        <w:jc w:val="center"/>
                        <w:rPr>
                          <w:rFonts w:ascii="Arial Narrow" w:hAnsi="Arial Narrow"/>
                          <w:b/>
                          <w:bCs/>
                          <w:sz w:val="28"/>
                          <w:szCs w:val="28"/>
                        </w:rPr>
                      </w:pPr>
                    </w:p>
                  </w:txbxContent>
                </v:textbox>
              </v:shape>
            </w:pict>
          </mc:Fallback>
        </mc:AlternateContent>
      </w:r>
      <w:r>
        <w:rPr>
          <w:rFonts w:ascii="Times New Roman" w:hAnsi="Times New Roman"/>
          <w:b/>
          <w:noProof/>
          <w:sz w:val="28"/>
          <w:szCs w:val="28"/>
          <w:lang w:eastAsia="fr-FR"/>
        </w:rPr>
        <mc:AlternateContent>
          <mc:Choice Requires="wps">
            <w:drawing>
              <wp:anchor distT="0" distB="0" distL="114300" distR="114300" simplePos="0" relativeHeight="251668992" behindDoc="0" locked="0" layoutInCell="1" allowOverlap="1" wp14:anchorId="604B539F" wp14:editId="604B53A0">
                <wp:simplePos x="0" y="0"/>
                <wp:positionH relativeFrom="column">
                  <wp:posOffset>1087755</wp:posOffset>
                </wp:positionH>
                <wp:positionV relativeFrom="paragraph">
                  <wp:posOffset>8505825</wp:posOffset>
                </wp:positionV>
                <wp:extent cx="3764280" cy="32956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B53C1" w14:textId="77777777" w:rsidR="0021189A" w:rsidRPr="00D877C0" w:rsidRDefault="0021189A" w:rsidP="001867D3">
                            <w:pPr>
                              <w:jc w:val="center"/>
                              <w:rPr>
                                <w:b/>
                                <w:sz w:val="24"/>
                                <w:szCs w:val="24"/>
                              </w:rPr>
                            </w:pPr>
                            <w:r>
                              <w:rPr>
                                <w:b/>
                                <w:sz w:val="24"/>
                                <w:szCs w:val="24"/>
                              </w:rPr>
                              <w:t>FEVIRIER</w:t>
                            </w:r>
                            <w:r w:rsidRPr="00D877C0">
                              <w:rPr>
                                <w:b/>
                                <w:sz w:val="24"/>
                                <w:szCs w:val="24"/>
                              </w:rPr>
                              <w:t xml:space="preserve"> 201</w:t>
                            </w:r>
                            <w:r>
                              <w:rPr>
                                <w:b/>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539F" id="Text Box 16" o:spid="_x0000_s1029" type="#_x0000_t202" style="position:absolute;margin-left:85.65pt;margin-top:669.75pt;width:296.4pt;height:2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YuhgIAABg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" stroked="f">
                <v:textbox>
                  <w:txbxContent>
                    <w:p w14:paraId="604B53C1" w14:textId="77777777" w:rsidR="0021189A" w:rsidRPr="00D877C0" w:rsidRDefault="0021189A" w:rsidP="001867D3">
                      <w:pPr>
                        <w:jc w:val="center"/>
                        <w:rPr>
                          <w:b/>
                          <w:sz w:val="24"/>
                          <w:szCs w:val="24"/>
                        </w:rPr>
                      </w:pPr>
                      <w:r>
                        <w:rPr>
                          <w:b/>
                          <w:sz w:val="24"/>
                          <w:szCs w:val="24"/>
                        </w:rPr>
                        <w:t>FEVIRIER</w:t>
                      </w:r>
                      <w:r w:rsidRPr="00D877C0">
                        <w:rPr>
                          <w:b/>
                          <w:sz w:val="24"/>
                          <w:szCs w:val="24"/>
                        </w:rPr>
                        <w:t xml:space="preserve"> 201</w:t>
                      </w:r>
                      <w:r>
                        <w:rPr>
                          <w:b/>
                          <w:sz w:val="24"/>
                          <w:szCs w:val="24"/>
                        </w:rPr>
                        <w:t>8</w:t>
                      </w:r>
                    </w:p>
                  </w:txbxContent>
                </v:textbox>
              </v:shape>
            </w:pict>
          </mc:Fallback>
        </mc:AlternateContent>
      </w:r>
      <w:r>
        <w:rPr>
          <w:rFonts w:ascii="Times New Roman" w:hAnsi="Times New Roman"/>
          <w:b/>
          <w:noProof/>
          <w:sz w:val="28"/>
          <w:szCs w:val="28"/>
          <w:lang w:eastAsia="fr-FR"/>
        </w:rPr>
        <mc:AlternateContent>
          <mc:Choice Requires="wps">
            <w:drawing>
              <wp:anchor distT="0" distB="0" distL="114300" distR="114300" simplePos="0" relativeHeight="251666944" behindDoc="0" locked="0" layoutInCell="1" allowOverlap="1" wp14:anchorId="604B53A1" wp14:editId="604B53A2">
                <wp:simplePos x="0" y="0"/>
                <wp:positionH relativeFrom="column">
                  <wp:posOffset>-45720</wp:posOffset>
                </wp:positionH>
                <wp:positionV relativeFrom="paragraph">
                  <wp:posOffset>-299720</wp:posOffset>
                </wp:positionV>
                <wp:extent cx="5878830" cy="9375140"/>
                <wp:effectExtent l="57150" t="57150" r="64770" b="54610"/>
                <wp:wrapNone/>
                <wp:docPr id="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830" cy="9375140"/>
                        </a:xfrm>
                        <a:prstGeom prst="rect">
                          <a:avLst/>
                        </a:prstGeom>
                        <a:noFill/>
                        <a:ln w="127000" cmpd="dbl">
                          <a:solidFill>
                            <a:schemeClr val="tx2">
                              <a:lumMod val="100000"/>
                              <a:lumOff val="0"/>
                            </a:schemeClr>
                          </a:solidFill>
                          <a:miter lim="800000"/>
                          <a:headEnd/>
                          <a:tailEnd/>
                        </a:ln>
                        <a:effectLst/>
                        <a:extLst>
                          <a:ext uri="{909E8E84-426E-40DD-AFC4-6F175D3DCCD1}">
                            <a14:hiddenFill xmlns:a14="http://schemas.microsoft.com/office/drawing/2010/main">
                              <a:solidFill>
                                <a:schemeClr val="accen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56515" id="Rectangle 100" o:spid="_x0000_s1026" style="position:absolute;margin-left:-3.6pt;margin-top:-23.6pt;width:462.9pt;height:73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" filled="f" fillcolor="#5b9bd5 [3204]" strokecolor="#44546a [3215]" strokeweight="10pt">
                <v:stroke linestyle="thinThin"/>
                <v:shadow color="#868686"/>
              </v:rect>
            </w:pict>
          </mc:Fallback>
        </mc:AlternateContent>
      </w:r>
      <w:r w:rsidR="001867D3" w:rsidRPr="001867D3">
        <w:rPr>
          <w:rFonts w:ascii="Times New Roman" w:hAnsi="Times New Roman"/>
          <w:b/>
          <w:sz w:val="28"/>
          <w:szCs w:val="28"/>
        </w:rPr>
        <w:br w:type="page"/>
      </w:r>
    </w:p>
    <w:p w14:paraId="604B4FBF" w14:textId="77777777" w:rsidR="00BA3DC6" w:rsidRDefault="00BA3DC6" w:rsidP="005B22B2">
      <w:pPr>
        <w:spacing w:after="0" w:line="240" w:lineRule="auto"/>
        <w:rPr>
          <w:rFonts w:ascii="Times New Roman" w:hAnsi="Times New Roman"/>
          <w:b/>
          <w:sz w:val="28"/>
          <w:szCs w:val="28"/>
        </w:rPr>
      </w:pPr>
      <w:r w:rsidRPr="006B309F">
        <w:rPr>
          <w:rFonts w:ascii="Times New Roman" w:hAnsi="Times New Roman"/>
          <w:b/>
          <w:sz w:val="28"/>
          <w:szCs w:val="28"/>
        </w:rPr>
        <w:lastRenderedPageBreak/>
        <w:t>Sommaire</w:t>
      </w:r>
    </w:p>
    <w:p w14:paraId="604B4FC0" w14:textId="77777777" w:rsidR="005B0739" w:rsidRPr="005560CF" w:rsidRDefault="005B0739" w:rsidP="005560CF">
      <w:pPr>
        <w:spacing w:after="0" w:line="240" w:lineRule="auto"/>
        <w:rPr>
          <w:rFonts w:ascii="Times New Roman" w:hAnsi="Times New Roman"/>
        </w:rPr>
      </w:pPr>
    </w:p>
    <w:p w14:paraId="604B4FC1" w14:textId="77777777" w:rsidR="005560CF" w:rsidRPr="005560CF" w:rsidRDefault="00764E9D" w:rsidP="005560CF">
      <w:pPr>
        <w:pStyle w:val="TM1"/>
        <w:rPr>
          <w:rFonts w:eastAsiaTheme="minorEastAsia"/>
          <w:lang w:eastAsia="fr-FR"/>
        </w:rPr>
      </w:pPr>
      <w:r w:rsidRPr="005560CF">
        <w:fldChar w:fldCharType="begin"/>
      </w:r>
      <w:r w:rsidR="00BA3DC6" w:rsidRPr="005560CF">
        <w:instrText xml:space="preserve"> TOC \o "1-3" \h \z \u </w:instrText>
      </w:r>
      <w:r w:rsidRPr="005560CF">
        <w:fldChar w:fldCharType="separate"/>
      </w:r>
      <w:hyperlink w:anchor="_Toc506201541" w:history="1">
        <w:r w:rsidR="005560CF" w:rsidRPr="005560CF">
          <w:rPr>
            <w:rStyle w:val="Lienhypertexte"/>
          </w:rPr>
          <w:t>Acronymes</w:t>
        </w:r>
        <w:r w:rsidR="005560CF" w:rsidRPr="005560CF">
          <w:rPr>
            <w:webHidden/>
          </w:rPr>
          <w:tab/>
        </w:r>
        <w:r w:rsidR="005560CF" w:rsidRPr="005560CF">
          <w:rPr>
            <w:webHidden/>
          </w:rPr>
          <w:fldChar w:fldCharType="begin"/>
        </w:r>
        <w:r w:rsidR="005560CF" w:rsidRPr="005560CF">
          <w:rPr>
            <w:webHidden/>
          </w:rPr>
          <w:instrText xml:space="preserve"> PAGEREF _Toc506201541 \h </w:instrText>
        </w:r>
        <w:r w:rsidR="005560CF" w:rsidRPr="005560CF">
          <w:rPr>
            <w:webHidden/>
          </w:rPr>
        </w:r>
        <w:r w:rsidR="005560CF" w:rsidRPr="005560CF">
          <w:rPr>
            <w:webHidden/>
          </w:rPr>
          <w:fldChar w:fldCharType="separate"/>
        </w:r>
        <w:r w:rsidR="005560CF" w:rsidRPr="005560CF">
          <w:rPr>
            <w:webHidden/>
          </w:rPr>
          <w:t>4</w:t>
        </w:r>
        <w:r w:rsidR="005560CF" w:rsidRPr="005560CF">
          <w:rPr>
            <w:webHidden/>
          </w:rPr>
          <w:fldChar w:fldCharType="end"/>
        </w:r>
      </w:hyperlink>
    </w:p>
    <w:p w14:paraId="604B4FC2" w14:textId="77777777" w:rsidR="005560CF" w:rsidRPr="005560CF" w:rsidRDefault="003A1D53" w:rsidP="005560CF">
      <w:pPr>
        <w:pStyle w:val="TM1"/>
        <w:rPr>
          <w:rFonts w:eastAsiaTheme="minorEastAsia"/>
          <w:lang w:eastAsia="fr-FR"/>
        </w:rPr>
      </w:pPr>
      <w:hyperlink w:anchor="_Toc506201543" w:history="1">
        <w:r w:rsidR="005560CF" w:rsidRPr="005560CF">
          <w:rPr>
            <w:rStyle w:val="Lienhypertexte"/>
          </w:rPr>
          <w:t>Introduction</w:t>
        </w:r>
        <w:r w:rsidR="005560CF" w:rsidRPr="005560CF">
          <w:rPr>
            <w:webHidden/>
          </w:rPr>
          <w:tab/>
        </w:r>
        <w:r w:rsidR="005560CF" w:rsidRPr="005560CF">
          <w:rPr>
            <w:webHidden/>
          </w:rPr>
          <w:fldChar w:fldCharType="begin"/>
        </w:r>
        <w:r w:rsidR="005560CF" w:rsidRPr="005560CF">
          <w:rPr>
            <w:webHidden/>
          </w:rPr>
          <w:instrText xml:space="preserve"> PAGEREF _Toc506201543 \h </w:instrText>
        </w:r>
        <w:r w:rsidR="005560CF" w:rsidRPr="005560CF">
          <w:rPr>
            <w:webHidden/>
          </w:rPr>
        </w:r>
        <w:r w:rsidR="005560CF" w:rsidRPr="005560CF">
          <w:rPr>
            <w:webHidden/>
          </w:rPr>
          <w:fldChar w:fldCharType="separate"/>
        </w:r>
        <w:r w:rsidR="005560CF" w:rsidRPr="005560CF">
          <w:rPr>
            <w:webHidden/>
          </w:rPr>
          <w:t>5</w:t>
        </w:r>
        <w:r w:rsidR="005560CF" w:rsidRPr="005560CF">
          <w:rPr>
            <w:webHidden/>
          </w:rPr>
          <w:fldChar w:fldCharType="end"/>
        </w:r>
      </w:hyperlink>
    </w:p>
    <w:p w14:paraId="604B4FC3" w14:textId="77777777" w:rsidR="005560CF" w:rsidRPr="005560CF" w:rsidRDefault="003A1D53" w:rsidP="005560CF">
      <w:pPr>
        <w:pStyle w:val="TM2"/>
        <w:tabs>
          <w:tab w:val="left" w:pos="660"/>
          <w:tab w:val="right" w:leader="dot" w:pos="9060"/>
        </w:tabs>
        <w:spacing w:after="0" w:line="240" w:lineRule="auto"/>
        <w:rPr>
          <w:rFonts w:ascii="Times New Roman" w:eastAsiaTheme="minorEastAsia" w:hAnsi="Times New Roman"/>
          <w:noProof/>
          <w:lang w:eastAsia="fr-FR"/>
        </w:rPr>
      </w:pPr>
      <w:hyperlink w:anchor="_Toc506201544" w:history="1">
        <w:r w:rsidR="005560CF" w:rsidRPr="005560CF">
          <w:rPr>
            <w:rStyle w:val="Lienhypertexte"/>
            <w:rFonts w:ascii="Times New Roman" w:hAnsi="Times New Roman"/>
            <w:noProof/>
          </w:rPr>
          <w:t>1.</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But de l’évaluation</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_Toc506201544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5</w:t>
        </w:r>
        <w:r w:rsidR="005560CF" w:rsidRPr="005560CF">
          <w:rPr>
            <w:rFonts w:ascii="Times New Roman" w:hAnsi="Times New Roman"/>
            <w:noProof/>
            <w:webHidden/>
          </w:rPr>
          <w:fldChar w:fldCharType="end"/>
        </w:r>
      </w:hyperlink>
    </w:p>
    <w:p w14:paraId="604B4FC4" w14:textId="77777777" w:rsidR="005560CF" w:rsidRPr="005560CF" w:rsidRDefault="003A1D53" w:rsidP="005560CF">
      <w:pPr>
        <w:pStyle w:val="TM2"/>
        <w:tabs>
          <w:tab w:val="left" w:pos="660"/>
          <w:tab w:val="right" w:leader="dot" w:pos="9060"/>
        </w:tabs>
        <w:spacing w:after="0" w:line="240" w:lineRule="auto"/>
        <w:rPr>
          <w:rFonts w:ascii="Times New Roman" w:eastAsiaTheme="minorEastAsia" w:hAnsi="Times New Roman"/>
          <w:noProof/>
          <w:lang w:eastAsia="fr-FR"/>
        </w:rPr>
      </w:pPr>
      <w:hyperlink w:anchor="_Toc506201545" w:history="1">
        <w:r w:rsidR="005560CF" w:rsidRPr="005560CF">
          <w:rPr>
            <w:rStyle w:val="Lienhypertexte"/>
            <w:rFonts w:ascii="Times New Roman" w:hAnsi="Times New Roman"/>
            <w:noProof/>
          </w:rPr>
          <w:t>2.</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Portée de l’évaluation</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_Toc506201545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5</w:t>
        </w:r>
        <w:r w:rsidR="005560CF" w:rsidRPr="005560CF">
          <w:rPr>
            <w:rFonts w:ascii="Times New Roman" w:hAnsi="Times New Roman"/>
            <w:noProof/>
            <w:webHidden/>
          </w:rPr>
          <w:fldChar w:fldCharType="end"/>
        </w:r>
      </w:hyperlink>
    </w:p>
    <w:p w14:paraId="604B4FC5" w14:textId="77777777" w:rsidR="005560CF" w:rsidRPr="005560CF" w:rsidRDefault="003A1D53" w:rsidP="005560CF">
      <w:pPr>
        <w:pStyle w:val="TM2"/>
        <w:tabs>
          <w:tab w:val="left" w:pos="660"/>
          <w:tab w:val="right" w:leader="dot" w:pos="9060"/>
        </w:tabs>
        <w:spacing w:after="0" w:line="240" w:lineRule="auto"/>
        <w:rPr>
          <w:rFonts w:ascii="Times New Roman" w:eastAsiaTheme="minorEastAsia" w:hAnsi="Times New Roman"/>
          <w:noProof/>
          <w:lang w:eastAsia="fr-FR"/>
        </w:rPr>
      </w:pPr>
      <w:hyperlink w:anchor="_Toc506201546" w:history="1">
        <w:r w:rsidR="005560CF" w:rsidRPr="005560CF">
          <w:rPr>
            <w:rStyle w:val="Lienhypertexte"/>
            <w:rFonts w:ascii="Times New Roman" w:hAnsi="Times New Roman"/>
            <w:noProof/>
          </w:rPr>
          <w:t>3.</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Objectifs de l’évaluation et questions évaluatives subséquentes</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_Toc506201546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5</w:t>
        </w:r>
        <w:r w:rsidR="005560CF" w:rsidRPr="005560CF">
          <w:rPr>
            <w:rFonts w:ascii="Times New Roman" w:hAnsi="Times New Roman"/>
            <w:noProof/>
            <w:webHidden/>
          </w:rPr>
          <w:fldChar w:fldCharType="end"/>
        </w:r>
      </w:hyperlink>
    </w:p>
    <w:p w14:paraId="604B4FC6" w14:textId="77777777" w:rsidR="005560CF" w:rsidRPr="005560CF" w:rsidRDefault="003A1D53" w:rsidP="005560CF">
      <w:pPr>
        <w:pStyle w:val="TM2"/>
        <w:tabs>
          <w:tab w:val="left" w:pos="660"/>
          <w:tab w:val="right" w:leader="dot" w:pos="9060"/>
        </w:tabs>
        <w:spacing w:after="0" w:line="240" w:lineRule="auto"/>
        <w:rPr>
          <w:rFonts w:ascii="Times New Roman" w:eastAsiaTheme="minorEastAsia" w:hAnsi="Times New Roman"/>
          <w:noProof/>
          <w:lang w:eastAsia="fr-FR"/>
        </w:rPr>
      </w:pPr>
      <w:hyperlink w:anchor="_Toc506201547" w:history="1">
        <w:r w:rsidR="005560CF" w:rsidRPr="005560CF">
          <w:rPr>
            <w:rStyle w:val="Lienhypertexte"/>
            <w:rFonts w:ascii="Times New Roman" w:hAnsi="Times New Roman"/>
            <w:noProof/>
          </w:rPr>
          <w:t>4.</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Méthodologie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_Toc506201547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6</w:t>
        </w:r>
        <w:r w:rsidR="005560CF" w:rsidRPr="005560CF">
          <w:rPr>
            <w:rFonts w:ascii="Times New Roman" w:hAnsi="Times New Roman"/>
            <w:noProof/>
            <w:webHidden/>
          </w:rPr>
          <w:fldChar w:fldCharType="end"/>
        </w:r>
      </w:hyperlink>
    </w:p>
    <w:p w14:paraId="604B4FC7"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48" w:history="1">
        <w:r w:rsidR="005560CF" w:rsidRPr="005560CF">
          <w:rPr>
            <w:rStyle w:val="Lienhypertexte"/>
            <w:rFonts w:ascii="Times New Roman" w:hAnsi="Times New Roman"/>
            <w:noProof/>
          </w:rPr>
          <w:t>4.1.</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Revue documentaire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_Toc506201548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6</w:t>
        </w:r>
        <w:r w:rsidR="005560CF" w:rsidRPr="005560CF">
          <w:rPr>
            <w:rFonts w:ascii="Times New Roman" w:hAnsi="Times New Roman"/>
            <w:noProof/>
            <w:webHidden/>
          </w:rPr>
          <w:fldChar w:fldCharType="end"/>
        </w:r>
      </w:hyperlink>
    </w:p>
    <w:p w14:paraId="604B4FC8"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49" w:history="1">
        <w:r w:rsidR="005560CF" w:rsidRPr="005560CF">
          <w:rPr>
            <w:rStyle w:val="Lienhypertexte"/>
            <w:rFonts w:ascii="Times New Roman" w:hAnsi="Times New Roman"/>
            <w:noProof/>
          </w:rPr>
          <w:t>4.2.</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Entretiens</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_Toc506201549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7</w:t>
        </w:r>
        <w:r w:rsidR="005560CF" w:rsidRPr="005560CF">
          <w:rPr>
            <w:rFonts w:ascii="Times New Roman" w:hAnsi="Times New Roman"/>
            <w:noProof/>
            <w:webHidden/>
          </w:rPr>
          <w:fldChar w:fldCharType="end"/>
        </w:r>
      </w:hyperlink>
    </w:p>
    <w:p w14:paraId="604B4FC9"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50" w:history="1">
        <w:r w:rsidR="005560CF" w:rsidRPr="005560CF">
          <w:rPr>
            <w:rStyle w:val="Lienhypertexte"/>
            <w:rFonts w:ascii="Times New Roman" w:hAnsi="Times New Roman"/>
            <w:noProof/>
          </w:rPr>
          <w:t>4.3.</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Visites de sites et d’ouvrages/réalisations</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_Toc506201550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7</w:t>
        </w:r>
        <w:r w:rsidR="005560CF" w:rsidRPr="005560CF">
          <w:rPr>
            <w:rFonts w:ascii="Times New Roman" w:hAnsi="Times New Roman"/>
            <w:noProof/>
            <w:webHidden/>
          </w:rPr>
          <w:fldChar w:fldCharType="end"/>
        </w:r>
      </w:hyperlink>
    </w:p>
    <w:p w14:paraId="604B4FCA" w14:textId="77777777" w:rsidR="005560CF" w:rsidRPr="005560CF" w:rsidRDefault="003A1D53" w:rsidP="005560CF">
      <w:pPr>
        <w:pStyle w:val="TM2"/>
        <w:tabs>
          <w:tab w:val="left" w:pos="880"/>
          <w:tab w:val="right" w:leader="dot" w:pos="9060"/>
        </w:tabs>
        <w:spacing w:after="0" w:line="240" w:lineRule="auto"/>
        <w:rPr>
          <w:rFonts w:ascii="Times New Roman" w:eastAsiaTheme="minorEastAsia" w:hAnsi="Times New Roman"/>
          <w:noProof/>
          <w:lang w:eastAsia="fr-FR"/>
        </w:rPr>
      </w:pPr>
      <w:hyperlink w:anchor="_Toc506201551" w:history="1">
        <w:r w:rsidR="005560CF" w:rsidRPr="005560CF">
          <w:rPr>
            <w:rStyle w:val="Lienhypertexte"/>
            <w:rFonts w:ascii="Times New Roman" w:hAnsi="Times New Roman"/>
            <w:noProof/>
          </w:rPr>
          <w:t>4.4.</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Echantillonnage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_Toc506201551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7</w:t>
        </w:r>
        <w:r w:rsidR="005560CF" w:rsidRPr="005560CF">
          <w:rPr>
            <w:rFonts w:ascii="Times New Roman" w:hAnsi="Times New Roman"/>
            <w:noProof/>
            <w:webHidden/>
          </w:rPr>
          <w:fldChar w:fldCharType="end"/>
        </w:r>
      </w:hyperlink>
    </w:p>
    <w:p w14:paraId="604B4FCB"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52" w:history="1">
        <w:r w:rsidR="005560CF" w:rsidRPr="005560CF">
          <w:rPr>
            <w:rStyle w:val="Lienhypertexte"/>
            <w:rFonts w:ascii="Times New Roman" w:hAnsi="Times New Roman"/>
            <w:noProof/>
          </w:rPr>
          <w:t>4.5.</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Cadre d’analyse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_Toc506201552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8</w:t>
        </w:r>
        <w:r w:rsidR="005560CF" w:rsidRPr="005560CF">
          <w:rPr>
            <w:rFonts w:ascii="Times New Roman" w:hAnsi="Times New Roman"/>
            <w:noProof/>
            <w:webHidden/>
          </w:rPr>
          <w:fldChar w:fldCharType="end"/>
        </w:r>
      </w:hyperlink>
    </w:p>
    <w:p w14:paraId="604B4FCC"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53" w:history="1">
        <w:r w:rsidR="005560CF" w:rsidRPr="005560CF">
          <w:rPr>
            <w:rStyle w:val="Lienhypertexte"/>
            <w:rFonts w:ascii="Times New Roman" w:hAnsi="Times New Roman"/>
            <w:noProof/>
          </w:rPr>
          <w:t>4.6.</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Limitations et mesures de remédiation</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_Toc506201553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8</w:t>
        </w:r>
        <w:r w:rsidR="005560CF" w:rsidRPr="005560CF">
          <w:rPr>
            <w:rFonts w:ascii="Times New Roman" w:hAnsi="Times New Roman"/>
            <w:noProof/>
            <w:webHidden/>
          </w:rPr>
          <w:fldChar w:fldCharType="end"/>
        </w:r>
      </w:hyperlink>
    </w:p>
    <w:p w14:paraId="604B4FCD"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54" w:history="1">
        <w:r w:rsidR="005560CF" w:rsidRPr="005560CF">
          <w:rPr>
            <w:rStyle w:val="Lienhypertexte"/>
            <w:rFonts w:ascii="Times New Roman" w:hAnsi="Times New Roman"/>
            <w:noProof/>
          </w:rPr>
          <w:t>4.7.</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Calendrier de la mission</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_Toc506201554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8</w:t>
        </w:r>
        <w:r w:rsidR="005560CF" w:rsidRPr="005560CF">
          <w:rPr>
            <w:rFonts w:ascii="Times New Roman" w:hAnsi="Times New Roman"/>
            <w:noProof/>
            <w:webHidden/>
          </w:rPr>
          <w:fldChar w:fldCharType="end"/>
        </w:r>
      </w:hyperlink>
    </w:p>
    <w:p w14:paraId="604B4FCE" w14:textId="77777777" w:rsidR="005560CF" w:rsidRPr="005560CF" w:rsidRDefault="003A1D53" w:rsidP="005560CF">
      <w:pPr>
        <w:pStyle w:val="TM1"/>
        <w:rPr>
          <w:rFonts w:eastAsiaTheme="minorEastAsia"/>
          <w:lang w:eastAsia="fr-FR"/>
        </w:rPr>
      </w:pPr>
      <w:hyperlink w:anchor="_Toc506201555" w:history="1">
        <w:r w:rsidR="005560CF" w:rsidRPr="005560CF">
          <w:rPr>
            <w:rStyle w:val="Lienhypertexte"/>
          </w:rPr>
          <w:t>1.Contexte</w:t>
        </w:r>
        <w:r w:rsidR="005560CF" w:rsidRPr="005560CF">
          <w:rPr>
            <w:webHidden/>
          </w:rPr>
          <w:tab/>
        </w:r>
        <w:r w:rsidR="005560CF" w:rsidRPr="005560CF">
          <w:rPr>
            <w:webHidden/>
          </w:rPr>
          <w:fldChar w:fldCharType="begin"/>
        </w:r>
        <w:r w:rsidR="005560CF" w:rsidRPr="005560CF">
          <w:rPr>
            <w:webHidden/>
          </w:rPr>
          <w:instrText xml:space="preserve"> PAGEREF _Toc506201555 \h </w:instrText>
        </w:r>
        <w:r w:rsidR="005560CF" w:rsidRPr="005560CF">
          <w:rPr>
            <w:webHidden/>
          </w:rPr>
        </w:r>
        <w:r w:rsidR="005560CF" w:rsidRPr="005560CF">
          <w:rPr>
            <w:webHidden/>
          </w:rPr>
          <w:fldChar w:fldCharType="separate"/>
        </w:r>
        <w:r w:rsidR="005560CF" w:rsidRPr="005560CF">
          <w:rPr>
            <w:webHidden/>
          </w:rPr>
          <w:t>8</w:t>
        </w:r>
        <w:r w:rsidR="005560CF" w:rsidRPr="005560CF">
          <w:rPr>
            <w:webHidden/>
          </w:rPr>
          <w:fldChar w:fldCharType="end"/>
        </w:r>
      </w:hyperlink>
    </w:p>
    <w:p w14:paraId="604B4FCF" w14:textId="77777777" w:rsidR="005560CF" w:rsidRPr="005560CF" w:rsidRDefault="003A1D53" w:rsidP="005560CF">
      <w:pPr>
        <w:pStyle w:val="TM1"/>
        <w:rPr>
          <w:rFonts w:eastAsiaTheme="minorEastAsia"/>
          <w:lang w:eastAsia="fr-FR"/>
        </w:rPr>
      </w:pPr>
      <w:hyperlink w:anchor="_Toc506201556" w:history="1">
        <w:r w:rsidR="005560CF" w:rsidRPr="005560CF">
          <w:rPr>
            <w:rStyle w:val="Lienhypertexte"/>
          </w:rPr>
          <w:t>2.Contenu du programme</w:t>
        </w:r>
        <w:r w:rsidR="005560CF" w:rsidRPr="005560CF">
          <w:rPr>
            <w:webHidden/>
          </w:rPr>
          <w:tab/>
        </w:r>
        <w:r w:rsidR="005560CF" w:rsidRPr="005560CF">
          <w:rPr>
            <w:webHidden/>
          </w:rPr>
          <w:fldChar w:fldCharType="begin"/>
        </w:r>
        <w:r w:rsidR="005560CF" w:rsidRPr="005560CF">
          <w:rPr>
            <w:webHidden/>
          </w:rPr>
          <w:instrText xml:space="preserve"> PAGEREF _Toc506201556 \h </w:instrText>
        </w:r>
        <w:r w:rsidR="005560CF" w:rsidRPr="005560CF">
          <w:rPr>
            <w:webHidden/>
          </w:rPr>
        </w:r>
        <w:r w:rsidR="005560CF" w:rsidRPr="005560CF">
          <w:rPr>
            <w:webHidden/>
          </w:rPr>
          <w:fldChar w:fldCharType="separate"/>
        </w:r>
        <w:r w:rsidR="005560CF" w:rsidRPr="005560CF">
          <w:rPr>
            <w:webHidden/>
          </w:rPr>
          <w:t>10</w:t>
        </w:r>
        <w:r w:rsidR="005560CF" w:rsidRPr="005560CF">
          <w:rPr>
            <w:webHidden/>
          </w:rPr>
          <w:fldChar w:fldCharType="end"/>
        </w:r>
      </w:hyperlink>
    </w:p>
    <w:p w14:paraId="604B4FD0" w14:textId="77777777" w:rsidR="005560CF" w:rsidRPr="005560CF" w:rsidRDefault="003A1D53" w:rsidP="005560CF">
      <w:pPr>
        <w:pStyle w:val="TM2"/>
        <w:tabs>
          <w:tab w:val="left" w:pos="880"/>
          <w:tab w:val="right" w:leader="dot" w:pos="9060"/>
        </w:tabs>
        <w:spacing w:after="0" w:line="240" w:lineRule="auto"/>
        <w:rPr>
          <w:rFonts w:ascii="Times New Roman" w:eastAsiaTheme="minorEastAsia" w:hAnsi="Times New Roman"/>
          <w:noProof/>
          <w:lang w:eastAsia="fr-FR"/>
        </w:rPr>
      </w:pPr>
      <w:hyperlink w:anchor="_Toc506201557" w:history="1">
        <w:r w:rsidR="005560CF" w:rsidRPr="005560CF">
          <w:rPr>
            <w:rStyle w:val="Lienhypertexte"/>
            <w:rFonts w:ascii="Times New Roman" w:hAnsi="Times New Roman"/>
            <w:noProof/>
          </w:rPr>
          <w:t>2.1.</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Contenu stratégique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_Toc506201557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10</w:t>
        </w:r>
        <w:r w:rsidR="005560CF" w:rsidRPr="005560CF">
          <w:rPr>
            <w:rFonts w:ascii="Times New Roman" w:hAnsi="Times New Roman"/>
            <w:noProof/>
            <w:webHidden/>
          </w:rPr>
          <w:fldChar w:fldCharType="end"/>
        </w:r>
      </w:hyperlink>
    </w:p>
    <w:p w14:paraId="604B4FD1" w14:textId="77777777" w:rsidR="005560CF" w:rsidRPr="005560CF" w:rsidRDefault="003A1D53" w:rsidP="005560CF">
      <w:pPr>
        <w:pStyle w:val="TM2"/>
        <w:tabs>
          <w:tab w:val="left" w:pos="880"/>
          <w:tab w:val="right" w:leader="dot" w:pos="9060"/>
        </w:tabs>
        <w:spacing w:after="0" w:line="240" w:lineRule="auto"/>
        <w:rPr>
          <w:rFonts w:ascii="Times New Roman" w:eastAsiaTheme="minorEastAsia" w:hAnsi="Times New Roman"/>
          <w:noProof/>
          <w:lang w:eastAsia="fr-FR"/>
        </w:rPr>
      </w:pPr>
      <w:hyperlink w:anchor="_Toc506201558" w:history="1">
        <w:r w:rsidR="005560CF" w:rsidRPr="005560CF">
          <w:rPr>
            <w:rStyle w:val="Lienhypertexte"/>
            <w:rFonts w:ascii="Times New Roman" w:hAnsi="Times New Roman"/>
            <w:noProof/>
          </w:rPr>
          <w:t>2.2.</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Cadre de mise en œuvre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_Toc506201558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11</w:t>
        </w:r>
        <w:r w:rsidR="005560CF" w:rsidRPr="005560CF">
          <w:rPr>
            <w:rFonts w:ascii="Times New Roman" w:hAnsi="Times New Roman"/>
            <w:noProof/>
            <w:webHidden/>
          </w:rPr>
          <w:fldChar w:fldCharType="end"/>
        </w:r>
      </w:hyperlink>
    </w:p>
    <w:p w14:paraId="604B4FD2" w14:textId="77777777" w:rsidR="005560CF" w:rsidRPr="005560CF" w:rsidRDefault="003A1D53" w:rsidP="005560CF">
      <w:pPr>
        <w:pStyle w:val="TM2"/>
        <w:tabs>
          <w:tab w:val="left" w:pos="880"/>
          <w:tab w:val="right" w:leader="dot" w:pos="9060"/>
        </w:tabs>
        <w:spacing w:after="0" w:line="240" w:lineRule="auto"/>
        <w:rPr>
          <w:rFonts w:ascii="Times New Roman" w:eastAsiaTheme="minorEastAsia" w:hAnsi="Times New Roman"/>
          <w:noProof/>
          <w:lang w:eastAsia="fr-FR"/>
        </w:rPr>
      </w:pPr>
      <w:hyperlink w:anchor="_Toc506201559" w:history="1">
        <w:r w:rsidR="005560CF" w:rsidRPr="005560CF">
          <w:rPr>
            <w:rStyle w:val="Lienhypertexte"/>
            <w:rFonts w:ascii="Times New Roman" w:hAnsi="Times New Roman"/>
            <w:noProof/>
          </w:rPr>
          <w:t>2.3.</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Risques anticipés sur la programmation</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_Toc506201559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12</w:t>
        </w:r>
        <w:r w:rsidR="005560CF" w:rsidRPr="005560CF">
          <w:rPr>
            <w:rFonts w:ascii="Times New Roman" w:hAnsi="Times New Roman"/>
            <w:noProof/>
            <w:webHidden/>
          </w:rPr>
          <w:fldChar w:fldCharType="end"/>
        </w:r>
      </w:hyperlink>
    </w:p>
    <w:p w14:paraId="604B4FD3" w14:textId="77777777" w:rsidR="005560CF" w:rsidRPr="005560CF" w:rsidRDefault="003A1D53" w:rsidP="005560CF">
      <w:pPr>
        <w:pStyle w:val="TM2"/>
        <w:tabs>
          <w:tab w:val="left" w:pos="880"/>
          <w:tab w:val="right" w:leader="dot" w:pos="9060"/>
        </w:tabs>
        <w:spacing w:after="0" w:line="240" w:lineRule="auto"/>
        <w:rPr>
          <w:rFonts w:ascii="Times New Roman" w:eastAsiaTheme="minorEastAsia" w:hAnsi="Times New Roman"/>
          <w:noProof/>
          <w:lang w:eastAsia="fr-FR"/>
        </w:rPr>
      </w:pPr>
      <w:hyperlink w:anchor="_Toc506201560" w:history="1">
        <w:r w:rsidR="005560CF" w:rsidRPr="005560CF">
          <w:rPr>
            <w:rStyle w:val="Lienhypertexte"/>
            <w:rFonts w:ascii="Times New Roman" w:hAnsi="Times New Roman"/>
            <w:noProof/>
          </w:rPr>
          <w:t>2.4.</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Programmation budgétaire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_Toc506201560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12</w:t>
        </w:r>
        <w:r w:rsidR="005560CF" w:rsidRPr="005560CF">
          <w:rPr>
            <w:rFonts w:ascii="Times New Roman" w:hAnsi="Times New Roman"/>
            <w:noProof/>
            <w:webHidden/>
          </w:rPr>
          <w:fldChar w:fldCharType="end"/>
        </w:r>
      </w:hyperlink>
    </w:p>
    <w:p w14:paraId="604B4FD4" w14:textId="77777777" w:rsidR="005560CF" w:rsidRPr="005560CF" w:rsidRDefault="003A1D53" w:rsidP="005560CF">
      <w:pPr>
        <w:pStyle w:val="TM2"/>
        <w:tabs>
          <w:tab w:val="left" w:pos="880"/>
          <w:tab w:val="right" w:leader="dot" w:pos="9060"/>
        </w:tabs>
        <w:spacing w:after="0" w:line="240" w:lineRule="auto"/>
        <w:rPr>
          <w:rFonts w:ascii="Times New Roman" w:eastAsiaTheme="minorEastAsia" w:hAnsi="Times New Roman"/>
          <w:noProof/>
          <w:lang w:eastAsia="fr-FR"/>
        </w:rPr>
      </w:pPr>
      <w:hyperlink w:anchor="_Toc506201561" w:history="1">
        <w:r w:rsidR="005560CF" w:rsidRPr="005560CF">
          <w:rPr>
            <w:rStyle w:val="Lienhypertexte"/>
            <w:rFonts w:ascii="Times New Roman" w:hAnsi="Times New Roman"/>
            <w:noProof/>
          </w:rPr>
          <w:t>2.5.</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Modifications intervenues en cours de mise en œuvre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_Toc506201561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12</w:t>
        </w:r>
        <w:r w:rsidR="005560CF" w:rsidRPr="005560CF">
          <w:rPr>
            <w:rFonts w:ascii="Times New Roman" w:hAnsi="Times New Roman"/>
            <w:noProof/>
            <w:webHidden/>
          </w:rPr>
          <w:fldChar w:fldCharType="end"/>
        </w:r>
      </w:hyperlink>
    </w:p>
    <w:p w14:paraId="604B4FD5" w14:textId="77777777" w:rsidR="005560CF" w:rsidRPr="005560CF" w:rsidRDefault="003A1D53" w:rsidP="005560CF">
      <w:pPr>
        <w:pStyle w:val="TM1"/>
        <w:rPr>
          <w:rFonts w:eastAsiaTheme="minorEastAsia"/>
          <w:b/>
          <w:lang w:eastAsia="fr-FR"/>
        </w:rPr>
      </w:pPr>
      <w:hyperlink w:anchor="_Toc506201562" w:history="1">
        <w:r w:rsidR="005560CF" w:rsidRPr="005560CF">
          <w:rPr>
            <w:rStyle w:val="Lienhypertexte"/>
          </w:rPr>
          <w:t>3.Evaluation de performances</w:t>
        </w:r>
        <w:r w:rsidR="005560CF" w:rsidRPr="005560CF">
          <w:rPr>
            <w:webHidden/>
          </w:rPr>
          <w:tab/>
        </w:r>
        <w:r w:rsidR="005560CF" w:rsidRPr="005560CF">
          <w:rPr>
            <w:webHidden/>
          </w:rPr>
          <w:fldChar w:fldCharType="begin"/>
        </w:r>
        <w:r w:rsidR="005560CF" w:rsidRPr="005560CF">
          <w:rPr>
            <w:webHidden/>
          </w:rPr>
          <w:instrText xml:space="preserve"> PAGEREF _Toc506201562 \h </w:instrText>
        </w:r>
        <w:r w:rsidR="005560CF" w:rsidRPr="005560CF">
          <w:rPr>
            <w:webHidden/>
          </w:rPr>
        </w:r>
        <w:r w:rsidR="005560CF" w:rsidRPr="005560CF">
          <w:rPr>
            <w:webHidden/>
          </w:rPr>
          <w:fldChar w:fldCharType="separate"/>
        </w:r>
        <w:r w:rsidR="005560CF" w:rsidRPr="005560CF">
          <w:rPr>
            <w:webHidden/>
          </w:rPr>
          <w:t>12</w:t>
        </w:r>
        <w:r w:rsidR="005560CF" w:rsidRPr="005560CF">
          <w:rPr>
            <w:webHidden/>
          </w:rPr>
          <w:fldChar w:fldCharType="end"/>
        </w:r>
      </w:hyperlink>
    </w:p>
    <w:p w14:paraId="604B4FD6" w14:textId="77777777" w:rsidR="005560CF" w:rsidRPr="005560CF" w:rsidRDefault="003A1D53" w:rsidP="005560CF">
      <w:pPr>
        <w:pStyle w:val="TM2"/>
        <w:tabs>
          <w:tab w:val="right" w:leader="dot" w:pos="9060"/>
        </w:tabs>
        <w:spacing w:after="0" w:line="240" w:lineRule="auto"/>
        <w:rPr>
          <w:rFonts w:ascii="Times New Roman" w:eastAsiaTheme="minorEastAsia" w:hAnsi="Times New Roman"/>
          <w:noProof/>
          <w:lang w:eastAsia="fr-FR"/>
        </w:rPr>
      </w:pPr>
      <w:hyperlink w:anchor="_Toc506201563" w:history="1">
        <w:r w:rsidR="005560CF" w:rsidRPr="005560CF">
          <w:rPr>
            <w:rStyle w:val="Lienhypertexte"/>
            <w:rFonts w:ascii="Times New Roman" w:hAnsi="Times New Roman"/>
            <w:noProof/>
          </w:rPr>
          <w:t>3.1. Pertinence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_Toc506201563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12</w:t>
        </w:r>
        <w:r w:rsidR="005560CF" w:rsidRPr="005560CF">
          <w:rPr>
            <w:rFonts w:ascii="Times New Roman" w:hAnsi="Times New Roman"/>
            <w:noProof/>
            <w:webHidden/>
          </w:rPr>
          <w:fldChar w:fldCharType="end"/>
        </w:r>
      </w:hyperlink>
    </w:p>
    <w:p w14:paraId="604B4FD7"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64" w:history="1">
        <w:r w:rsidR="005560CF" w:rsidRPr="005560CF">
          <w:rPr>
            <w:rStyle w:val="Lienhypertexte"/>
            <w:rFonts w:ascii="Times New Roman" w:hAnsi="Times New Roman"/>
            <w:noProof/>
          </w:rPr>
          <w:t>3.1.1.</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Pertinence stratégique : alignement sur les priorités de développement du pays</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_Toc506201564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12</w:t>
        </w:r>
        <w:r w:rsidR="005560CF" w:rsidRPr="005560CF">
          <w:rPr>
            <w:rFonts w:ascii="Times New Roman" w:hAnsi="Times New Roman"/>
            <w:noProof/>
            <w:webHidden/>
          </w:rPr>
          <w:fldChar w:fldCharType="end"/>
        </w:r>
      </w:hyperlink>
    </w:p>
    <w:p w14:paraId="604B4FD8"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65" w:history="1">
        <w:r w:rsidR="005560CF" w:rsidRPr="005560CF">
          <w:rPr>
            <w:rStyle w:val="Lienhypertexte"/>
            <w:rFonts w:ascii="Times New Roman" w:hAnsi="Times New Roman"/>
            <w:noProof/>
          </w:rPr>
          <w:t>3.1.2.</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Pertinence opérationnelle : qualité des approches, des contenus spécifiques et de stratégie de suivi-évaluation</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_Toc506201565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13</w:t>
        </w:r>
        <w:r w:rsidR="005560CF" w:rsidRPr="005560CF">
          <w:rPr>
            <w:rFonts w:ascii="Times New Roman" w:hAnsi="Times New Roman"/>
            <w:noProof/>
            <w:webHidden/>
          </w:rPr>
          <w:fldChar w:fldCharType="end"/>
        </w:r>
      </w:hyperlink>
    </w:p>
    <w:p w14:paraId="604B4FD9"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66" w:history="1">
        <w:r w:rsidR="005560CF" w:rsidRPr="005560CF">
          <w:rPr>
            <w:rStyle w:val="Lienhypertexte"/>
            <w:rFonts w:ascii="Times New Roman" w:hAnsi="Times New Roman"/>
            <w:noProof/>
          </w:rPr>
          <w:t>3.1.3.</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Perspectives pour le réalignement du programme sur les éléments de contexte nouveaux</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_Toc506201566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15</w:t>
        </w:r>
        <w:r w:rsidR="005560CF" w:rsidRPr="005560CF">
          <w:rPr>
            <w:rFonts w:ascii="Times New Roman" w:hAnsi="Times New Roman"/>
            <w:noProof/>
            <w:webHidden/>
          </w:rPr>
          <w:fldChar w:fldCharType="end"/>
        </w:r>
      </w:hyperlink>
    </w:p>
    <w:p w14:paraId="604B4FDA"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67" w:history="1">
        <w:r w:rsidR="005560CF" w:rsidRPr="005560CF">
          <w:rPr>
            <w:rStyle w:val="Lienhypertexte"/>
            <w:rFonts w:ascii="Times New Roman" w:hAnsi="Times New Roman"/>
            <w:noProof/>
          </w:rPr>
          <w:t>3.1.4.</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lang w:eastAsia="fr-FR"/>
          </w:rPr>
          <w:t>Pertinence logique : qualité du cadre de résultats et des ressources</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_Toc506201567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18</w:t>
        </w:r>
        <w:r w:rsidR="005560CF" w:rsidRPr="005560CF">
          <w:rPr>
            <w:rFonts w:ascii="Times New Roman" w:hAnsi="Times New Roman"/>
            <w:noProof/>
            <w:webHidden/>
          </w:rPr>
          <w:fldChar w:fldCharType="end"/>
        </w:r>
      </w:hyperlink>
    </w:p>
    <w:p w14:paraId="604B4FDB" w14:textId="77777777" w:rsidR="005560CF" w:rsidRPr="005560CF" w:rsidRDefault="003A1D53" w:rsidP="005560CF">
      <w:pPr>
        <w:pStyle w:val="TM2"/>
        <w:tabs>
          <w:tab w:val="left" w:pos="880"/>
          <w:tab w:val="right" w:leader="dot" w:pos="9060"/>
        </w:tabs>
        <w:spacing w:after="0" w:line="240" w:lineRule="auto"/>
        <w:rPr>
          <w:rFonts w:ascii="Times New Roman" w:eastAsiaTheme="minorEastAsia" w:hAnsi="Times New Roman"/>
          <w:noProof/>
          <w:lang w:eastAsia="fr-FR"/>
        </w:rPr>
      </w:pPr>
      <w:hyperlink w:anchor="_Toc506201568" w:history="1">
        <w:r w:rsidR="005560CF" w:rsidRPr="005560CF">
          <w:rPr>
            <w:rStyle w:val="Lienhypertexte"/>
            <w:rFonts w:ascii="Times New Roman" w:hAnsi="Times New Roman"/>
            <w:noProof/>
          </w:rPr>
          <w:t>3.2.</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Efficacité</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_Toc506201568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23</w:t>
        </w:r>
        <w:r w:rsidR="005560CF" w:rsidRPr="005560CF">
          <w:rPr>
            <w:rFonts w:ascii="Times New Roman" w:hAnsi="Times New Roman"/>
            <w:noProof/>
            <w:webHidden/>
          </w:rPr>
          <w:fldChar w:fldCharType="end"/>
        </w:r>
      </w:hyperlink>
    </w:p>
    <w:p w14:paraId="604B4FDC"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69" w:history="1">
        <w:r w:rsidR="005560CF" w:rsidRPr="005560CF">
          <w:rPr>
            <w:rStyle w:val="Lienhypertexte"/>
            <w:rFonts w:ascii="Times New Roman" w:hAnsi="Times New Roman"/>
            <w:noProof/>
          </w:rPr>
          <w:t>3.2.1.</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 xml:space="preserve">Effet 1 : " La paix et la stabilisation sont assurées à travers un dialogue politique inclusif, </w:t>
        </w:r>
        <w:r w:rsidR="005560CF">
          <w:rPr>
            <w:rStyle w:val="Lienhypertexte"/>
            <w:rFonts w:ascii="Times New Roman" w:hAnsi="Times New Roman"/>
            <w:noProof/>
          </w:rPr>
          <w:tab/>
        </w:r>
        <w:r w:rsidR="005560CF" w:rsidRPr="005560CF">
          <w:rPr>
            <w:rStyle w:val="Lienhypertexte"/>
            <w:rFonts w:ascii="Times New Roman" w:hAnsi="Times New Roman"/>
            <w:noProof/>
          </w:rPr>
          <w:t xml:space="preserve">une réforme des institutions concernées et la promotion d’une coexistence pacifique et le </w:t>
        </w:r>
        <w:r w:rsidR="005560CF">
          <w:rPr>
            <w:rStyle w:val="Lienhypertexte"/>
            <w:rFonts w:ascii="Times New Roman" w:hAnsi="Times New Roman"/>
            <w:noProof/>
          </w:rPr>
          <w:tab/>
        </w:r>
        <w:r w:rsidR="005560CF" w:rsidRPr="005560CF">
          <w:rPr>
            <w:rStyle w:val="Lienhypertexte"/>
            <w:rFonts w:ascii="Times New Roman" w:hAnsi="Times New Roman"/>
            <w:noProof/>
          </w:rPr>
          <w:t>respect des droits humains."</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_Toc506201569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23</w:t>
        </w:r>
        <w:r w:rsidR="005560CF" w:rsidRPr="005560CF">
          <w:rPr>
            <w:rFonts w:ascii="Times New Roman" w:hAnsi="Times New Roman"/>
            <w:noProof/>
            <w:webHidden/>
          </w:rPr>
          <w:fldChar w:fldCharType="end"/>
        </w:r>
      </w:hyperlink>
    </w:p>
    <w:p w14:paraId="604B4FDD"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70" w:history="1">
        <w:r w:rsidR="005560CF" w:rsidRPr="005560CF">
          <w:rPr>
            <w:rStyle w:val="Lienhypertexte"/>
            <w:rFonts w:ascii="Times New Roman" w:hAnsi="Times New Roman"/>
            <w:noProof/>
          </w:rPr>
          <w:t>3.2.2.</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 xml:space="preserve">Effet 2 : "D’ici 2019, la cohésion sociale est facilitée par la justice transitionnelle, le </w:t>
        </w:r>
        <w:r w:rsidR="005560CF">
          <w:rPr>
            <w:rStyle w:val="Lienhypertexte"/>
            <w:rFonts w:ascii="Times New Roman" w:hAnsi="Times New Roman"/>
            <w:noProof/>
          </w:rPr>
          <w:tab/>
        </w:r>
        <w:r w:rsidR="005560CF" w:rsidRPr="005560CF">
          <w:rPr>
            <w:rStyle w:val="Lienhypertexte"/>
            <w:rFonts w:ascii="Times New Roman" w:hAnsi="Times New Roman"/>
            <w:noProof/>
          </w:rPr>
          <w:t>dialogue communautaire inclusif, la culture et l’éducation pour la paix."</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_Toc506201570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26</w:t>
        </w:r>
        <w:r w:rsidR="005560CF" w:rsidRPr="005560CF">
          <w:rPr>
            <w:rFonts w:ascii="Times New Roman" w:hAnsi="Times New Roman"/>
            <w:noProof/>
            <w:webHidden/>
          </w:rPr>
          <w:fldChar w:fldCharType="end"/>
        </w:r>
      </w:hyperlink>
    </w:p>
    <w:p w14:paraId="604B4FDE"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71" w:history="1">
        <w:r w:rsidR="005560CF" w:rsidRPr="005560CF">
          <w:rPr>
            <w:rStyle w:val="Lienhypertexte"/>
            <w:rFonts w:ascii="Times New Roman" w:hAnsi="Times New Roman"/>
            <w:noProof/>
          </w:rPr>
          <w:t>3.2.3.</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 xml:space="preserve">Effet 3 : "Les institutions étatiques, nationales et locales, exercent de manière plus efficace </w:t>
        </w:r>
        <w:r w:rsidR="005560CF">
          <w:rPr>
            <w:rStyle w:val="Lienhypertexte"/>
            <w:rFonts w:ascii="Times New Roman" w:hAnsi="Times New Roman"/>
            <w:noProof/>
          </w:rPr>
          <w:tab/>
        </w:r>
        <w:r w:rsidR="005560CF" w:rsidRPr="005560CF">
          <w:rPr>
            <w:rStyle w:val="Lienhypertexte"/>
            <w:rFonts w:ascii="Times New Roman" w:hAnsi="Times New Roman"/>
            <w:noProof/>
          </w:rPr>
          <w:t xml:space="preserve">leurs missions de service public et les acteurs non étatiques participent et assurent le contrôle </w:t>
        </w:r>
        <w:r w:rsidR="005560CF">
          <w:rPr>
            <w:rStyle w:val="Lienhypertexte"/>
            <w:rFonts w:ascii="Times New Roman" w:hAnsi="Times New Roman"/>
            <w:noProof/>
          </w:rPr>
          <w:tab/>
        </w:r>
        <w:r w:rsidR="005560CF" w:rsidRPr="005560CF">
          <w:rPr>
            <w:rStyle w:val="Lienhypertexte"/>
            <w:rFonts w:ascii="Times New Roman" w:hAnsi="Times New Roman"/>
            <w:noProof/>
          </w:rPr>
          <w:t>citoyen en conformité avec les principes de bonne gouvernance et d’Etat de droit."</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_Toc506201571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28</w:t>
        </w:r>
        <w:r w:rsidR="005560CF" w:rsidRPr="005560CF">
          <w:rPr>
            <w:rFonts w:ascii="Times New Roman" w:hAnsi="Times New Roman"/>
            <w:noProof/>
            <w:webHidden/>
          </w:rPr>
          <w:fldChar w:fldCharType="end"/>
        </w:r>
      </w:hyperlink>
    </w:p>
    <w:p w14:paraId="604B4FDF"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72" w:history="1">
        <w:r w:rsidR="005560CF" w:rsidRPr="005560CF">
          <w:rPr>
            <w:rStyle w:val="Lienhypertexte"/>
            <w:rFonts w:ascii="Times New Roman" w:hAnsi="Times New Roman"/>
            <w:noProof/>
          </w:rPr>
          <w:t>3.2.4.</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 xml:space="preserve">Effet 4 : "D’ici 2019, les populations, en particulier les femmes et les enfants les plus </w:t>
        </w:r>
        <w:r w:rsidR="005560CF">
          <w:rPr>
            <w:rStyle w:val="Lienhypertexte"/>
            <w:rFonts w:ascii="Times New Roman" w:hAnsi="Times New Roman"/>
            <w:noProof/>
          </w:rPr>
          <w:tab/>
        </w:r>
        <w:r w:rsidR="005560CF" w:rsidRPr="005560CF">
          <w:rPr>
            <w:rStyle w:val="Lienhypertexte"/>
            <w:rFonts w:ascii="Times New Roman" w:hAnsi="Times New Roman"/>
            <w:noProof/>
          </w:rPr>
          <w:t xml:space="preserve">vulnérables et celles affectées par les crises, ont un accès accru et équitable et utilisent les </w:t>
        </w:r>
        <w:r w:rsidR="005560CF">
          <w:rPr>
            <w:rStyle w:val="Lienhypertexte"/>
            <w:rFonts w:ascii="Times New Roman" w:hAnsi="Times New Roman"/>
            <w:noProof/>
          </w:rPr>
          <w:tab/>
        </w:r>
        <w:r w:rsidR="005560CF" w:rsidRPr="005560CF">
          <w:rPr>
            <w:rStyle w:val="Lienhypertexte"/>
            <w:rFonts w:ascii="Times New Roman" w:hAnsi="Times New Roman"/>
            <w:noProof/>
          </w:rPr>
          <w:t>SSB de qualité."</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_Toc506201572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31</w:t>
        </w:r>
        <w:r w:rsidR="005560CF" w:rsidRPr="005560CF">
          <w:rPr>
            <w:rFonts w:ascii="Times New Roman" w:hAnsi="Times New Roman"/>
            <w:noProof/>
            <w:webHidden/>
          </w:rPr>
          <w:fldChar w:fldCharType="end"/>
        </w:r>
      </w:hyperlink>
    </w:p>
    <w:p w14:paraId="604B4FE0" w14:textId="77777777" w:rsidR="005560CF" w:rsidRPr="005560CF" w:rsidRDefault="003A1D53" w:rsidP="005560CF">
      <w:pPr>
        <w:pStyle w:val="TM3"/>
        <w:spacing w:after="0" w:line="240" w:lineRule="auto"/>
        <w:rPr>
          <w:rFonts w:ascii="Times New Roman" w:eastAsiaTheme="minorEastAsia" w:hAnsi="Times New Roman"/>
          <w:noProof/>
          <w:lang w:eastAsia="fr-FR"/>
        </w:rPr>
      </w:pPr>
      <w:hyperlink w:anchor="_Toc506201573" w:history="1">
        <w:r w:rsidR="005560CF" w:rsidRPr="005560CF">
          <w:rPr>
            <w:rStyle w:val="Lienhypertexte"/>
            <w:rFonts w:ascii="Times New Roman" w:hAnsi="Times New Roman"/>
            <w:noProof/>
          </w:rPr>
          <w:t>3.2.5.</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 xml:space="preserve">Effet 5 : "Les populations défavorisées particulièrement les femmes et les jeunes, bénéficient </w:t>
        </w:r>
        <w:r w:rsidR="005560CF">
          <w:rPr>
            <w:rStyle w:val="Lienhypertexte"/>
            <w:rFonts w:ascii="Times New Roman" w:hAnsi="Times New Roman"/>
            <w:noProof/>
          </w:rPr>
          <w:tab/>
        </w:r>
        <w:r w:rsidR="005560CF" w:rsidRPr="005560CF">
          <w:rPr>
            <w:rStyle w:val="Lienhypertexte"/>
            <w:rFonts w:ascii="Times New Roman" w:hAnsi="Times New Roman"/>
            <w:noProof/>
          </w:rPr>
          <w:t xml:space="preserve">de capacités et d’opportunités productives accrues, dans un environnement sain et durable, </w:t>
        </w:r>
        <w:r w:rsidR="005560CF">
          <w:rPr>
            <w:rStyle w:val="Lienhypertexte"/>
            <w:rFonts w:ascii="Times New Roman" w:hAnsi="Times New Roman"/>
            <w:noProof/>
          </w:rPr>
          <w:tab/>
        </w:r>
        <w:r w:rsidR="005560CF" w:rsidRPr="005560CF">
          <w:rPr>
            <w:rStyle w:val="Lienhypertexte"/>
            <w:rFonts w:ascii="Times New Roman" w:hAnsi="Times New Roman"/>
            <w:noProof/>
          </w:rPr>
          <w:t>favorable à la réduction de la pauvreté."</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_Toc506201573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34</w:t>
        </w:r>
        <w:r w:rsidR="005560CF" w:rsidRPr="005560CF">
          <w:rPr>
            <w:rFonts w:ascii="Times New Roman" w:hAnsi="Times New Roman"/>
            <w:noProof/>
            <w:webHidden/>
          </w:rPr>
          <w:fldChar w:fldCharType="end"/>
        </w:r>
      </w:hyperlink>
    </w:p>
    <w:p w14:paraId="604B4FE1" w14:textId="77777777" w:rsidR="005560CF" w:rsidRPr="005560CF" w:rsidRDefault="003A1D53" w:rsidP="005560CF">
      <w:pPr>
        <w:pStyle w:val="TM2"/>
        <w:tabs>
          <w:tab w:val="left" w:pos="880"/>
          <w:tab w:val="right" w:leader="dot" w:pos="9060"/>
        </w:tabs>
        <w:spacing w:after="0" w:line="240" w:lineRule="auto"/>
        <w:rPr>
          <w:rFonts w:ascii="Times New Roman" w:eastAsiaTheme="minorEastAsia" w:hAnsi="Times New Roman"/>
          <w:noProof/>
          <w:lang w:eastAsia="fr-FR"/>
        </w:rPr>
      </w:pPr>
      <w:hyperlink w:anchor="_Toc506201574" w:history="1">
        <w:r w:rsidR="005560CF" w:rsidRPr="005560CF">
          <w:rPr>
            <w:rStyle w:val="Lienhypertexte"/>
            <w:rFonts w:ascii="Times New Roman" w:hAnsi="Times New Roman"/>
            <w:noProof/>
          </w:rPr>
          <w:t>3.3.</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Efficacité sur le thématiques transversales</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_Toc506201574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37</w:t>
        </w:r>
        <w:r w:rsidR="005560CF" w:rsidRPr="005560CF">
          <w:rPr>
            <w:rFonts w:ascii="Times New Roman" w:hAnsi="Times New Roman"/>
            <w:noProof/>
            <w:webHidden/>
          </w:rPr>
          <w:fldChar w:fldCharType="end"/>
        </w:r>
      </w:hyperlink>
    </w:p>
    <w:p w14:paraId="604B4FE2" w14:textId="77777777" w:rsidR="005560CF" w:rsidRPr="005560CF" w:rsidRDefault="003A1D53" w:rsidP="005560CF">
      <w:pPr>
        <w:pStyle w:val="TM2"/>
        <w:tabs>
          <w:tab w:val="left" w:pos="880"/>
          <w:tab w:val="right" w:leader="dot" w:pos="9060"/>
        </w:tabs>
        <w:spacing w:after="0" w:line="240" w:lineRule="auto"/>
        <w:rPr>
          <w:rFonts w:ascii="Times New Roman" w:eastAsiaTheme="minorEastAsia" w:hAnsi="Times New Roman"/>
          <w:noProof/>
          <w:lang w:eastAsia="fr-FR"/>
        </w:rPr>
      </w:pPr>
      <w:hyperlink w:anchor="_Toc506201575" w:history="1">
        <w:r w:rsidR="005560CF" w:rsidRPr="005560CF">
          <w:rPr>
            <w:rStyle w:val="Lienhypertexte"/>
            <w:rFonts w:ascii="Times New Roman" w:hAnsi="Times New Roman"/>
            <w:noProof/>
          </w:rPr>
          <w:t>3.4.</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Efficience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_Toc506201575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38</w:t>
        </w:r>
        <w:r w:rsidR="005560CF" w:rsidRPr="005560CF">
          <w:rPr>
            <w:rFonts w:ascii="Times New Roman" w:hAnsi="Times New Roman"/>
            <w:noProof/>
            <w:webHidden/>
          </w:rPr>
          <w:fldChar w:fldCharType="end"/>
        </w:r>
      </w:hyperlink>
    </w:p>
    <w:p w14:paraId="604B4FE3" w14:textId="77777777" w:rsidR="005560CF" w:rsidRPr="005560CF" w:rsidRDefault="003A1D53" w:rsidP="005560CF">
      <w:pPr>
        <w:pStyle w:val="TM2"/>
        <w:tabs>
          <w:tab w:val="left" w:pos="880"/>
          <w:tab w:val="right" w:leader="dot" w:pos="9060"/>
        </w:tabs>
        <w:spacing w:after="0" w:line="240" w:lineRule="auto"/>
        <w:rPr>
          <w:rFonts w:ascii="Times New Roman" w:eastAsiaTheme="minorEastAsia" w:hAnsi="Times New Roman"/>
          <w:noProof/>
          <w:lang w:eastAsia="fr-FR"/>
        </w:rPr>
      </w:pPr>
      <w:hyperlink w:anchor="_Toc506201579" w:history="1">
        <w:r w:rsidR="005560CF" w:rsidRPr="005560CF">
          <w:rPr>
            <w:rStyle w:val="Lienhypertexte"/>
            <w:rFonts w:ascii="Times New Roman" w:hAnsi="Times New Roman"/>
            <w:noProof/>
          </w:rPr>
          <w:t>3.5.</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Durabilité</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_Toc506201579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44</w:t>
        </w:r>
        <w:r w:rsidR="005560CF" w:rsidRPr="005560CF">
          <w:rPr>
            <w:rFonts w:ascii="Times New Roman" w:hAnsi="Times New Roman"/>
            <w:noProof/>
            <w:webHidden/>
          </w:rPr>
          <w:fldChar w:fldCharType="end"/>
        </w:r>
      </w:hyperlink>
    </w:p>
    <w:p w14:paraId="604B4FE4" w14:textId="77777777" w:rsidR="005560CF" w:rsidRPr="005560CF" w:rsidRDefault="003A1D53" w:rsidP="005560CF">
      <w:pPr>
        <w:pStyle w:val="TM1"/>
        <w:rPr>
          <w:rFonts w:eastAsiaTheme="minorEastAsia"/>
          <w:lang w:eastAsia="fr-FR"/>
        </w:rPr>
      </w:pPr>
      <w:hyperlink w:anchor="_Toc506201580" w:history="1">
        <w:r w:rsidR="005560CF" w:rsidRPr="005560CF">
          <w:rPr>
            <w:rStyle w:val="Lienhypertexte"/>
            <w:b/>
          </w:rPr>
          <w:t>Conclusion</w:t>
        </w:r>
        <w:r w:rsidR="005560CF" w:rsidRPr="005560CF">
          <w:rPr>
            <w:webHidden/>
          </w:rPr>
          <w:tab/>
        </w:r>
        <w:r w:rsidR="005560CF" w:rsidRPr="005560CF">
          <w:rPr>
            <w:webHidden/>
          </w:rPr>
          <w:fldChar w:fldCharType="begin"/>
        </w:r>
        <w:r w:rsidR="005560CF" w:rsidRPr="005560CF">
          <w:rPr>
            <w:webHidden/>
          </w:rPr>
          <w:instrText xml:space="preserve"> PAGEREF _Toc506201580 \h </w:instrText>
        </w:r>
        <w:r w:rsidR="005560CF" w:rsidRPr="005560CF">
          <w:rPr>
            <w:webHidden/>
          </w:rPr>
        </w:r>
        <w:r w:rsidR="005560CF" w:rsidRPr="005560CF">
          <w:rPr>
            <w:webHidden/>
          </w:rPr>
          <w:fldChar w:fldCharType="separate"/>
        </w:r>
        <w:r w:rsidR="005560CF" w:rsidRPr="005560CF">
          <w:rPr>
            <w:webHidden/>
          </w:rPr>
          <w:t>47</w:t>
        </w:r>
        <w:r w:rsidR="005560CF" w:rsidRPr="005560CF">
          <w:rPr>
            <w:webHidden/>
          </w:rPr>
          <w:fldChar w:fldCharType="end"/>
        </w:r>
      </w:hyperlink>
    </w:p>
    <w:p w14:paraId="604B4FE5" w14:textId="77777777" w:rsidR="005560CF" w:rsidRPr="005560CF" w:rsidRDefault="003A1D53" w:rsidP="005560CF">
      <w:pPr>
        <w:pStyle w:val="TM2"/>
        <w:tabs>
          <w:tab w:val="left" w:pos="660"/>
          <w:tab w:val="right" w:leader="dot" w:pos="9060"/>
        </w:tabs>
        <w:spacing w:after="0" w:line="240" w:lineRule="auto"/>
        <w:rPr>
          <w:rFonts w:ascii="Times New Roman" w:eastAsiaTheme="minorEastAsia" w:hAnsi="Times New Roman"/>
          <w:noProof/>
          <w:lang w:eastAsia="fr-FR"/>
        </w:rPr>
      </w:pPr>
      <w:hyperlink w:anchor="_Toc506201581" w:history="1">
        <w:r w:rsidR="005560CF" w:rsidRPr="005560CF">
          <w:rPr>
            <w:rStyle w:val="Lienhypertexte"/>
            <w:rFonts w:ascii="Times New Roman" w:hAnsi="Times New Roman"/>
            <w:noProof/>
          </w:rPr>
          <w:t>1.</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Principales constations sur le Programme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_Toc506201581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47</w:t>
        </w:r>
        <w:r w:rsidR="005560CF" w:rsidRPr="005560CF">
          <w:rPr>
            <w:rFonts w:ascii="Times New Roman" w:hAnsi="Times New Roman"/>
            <w:noProof/>
            <w:webHidden/>
          </w:rPr>
          <w:fldChar w:fldCharType="end"/>
        </w:r>
      </w:hyperlink>
    </w:p>
    <w:p w14:paraId="604B4FE6" w14:textId="77777777" w:rsidR="005560CF" w:rsidRPr="005560CF" w:rsidRDefault="003A1D53" w:rsidP="005560CF">
      <w:pPr>
        <w:pStyle w:val="TM2"/>
        <w:tabs>
          <w:tab w:val="left" w:pos="660"/>
          <w:tab w:val="right" w:leader="dot" w:pos="9060"/>
        </w:tabs>
        <w:spacing w:after="0" w:line="240" w:lineRule="auto"/>
        <w:rPr>
          <w:rFonts w:ascii="Times New Roman" w:eastAsiaTheme="minorEastAsia" w:hAnsi="Times New Roman"/>
          <w:noProof/>
          <w:lang w:eastAsia="fr-FR"/>
        </w:rPr>
      </w:pPr>
      <w:hyperlink w:anchor="_Toc506201582" w:history="1">
        <w:r w:rsidR="005560CF" w:rsidRPr="005560CF">
          <w:rPr>
            <w:rStyle w:val="Lienhypertexte"/>
            <w:rFonts w:ascii="Times New Roman" w:hAnsi="Times New Roman"/>
            <w:noProof/>
          </w:rPr>
          <w:t>2.</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Les défis au Programme</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_Toc506201582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49</w:t>
        </w:r>
        <w:r w:rsidR="005560CF" w:rsidRPr="005560CF">
          <w:rPr>
            <w:rFonts w:ascii="Times New Roman" w:hAnsi="Times New Roman"/>
            <w:noProof/>
            <w:webHidden/>
          </w:rPr>
          <w:fldChar w:fldCharType="end"/>
        </w:r>
      </w:hyperlink>
    </w:p>
    <w:p w14:paraId="604B4FE7" w14:textId="77777777" w:rsidR="005560CF" w:rsidRPr="005560CF" w:rsidRDefault="003A1D53" w:rsidP="005560CF">
      <w:pPr>
        <w:pStyle w:val="TM2"/>
        <w:tabs>
          <w:tab w:val="left" w:pos="660"/>
          <w:tab w:val="right" w:leader="dot" w:pos="9060"/>
        </w:tabs>
        <w:spacing w:after="0" w:line="240" w:lineRule="auto"/>
        <w:rPr>
          <w:rFonts w:ascii="Times New Roman" w:eastAsiaTheme="minorEastAsia" w:hAnsi="Times New Roman"/>
          <w:noProof/>
          <w:lang w:eastAsia="fr-FR"/>
        </w:rPr>
      </w:pPr>
      <w:hyperlink w:anchor="_Toc506201583" w:history="1">
        <w:r w:rsidR="005560CF" w:rsidRPr="005560CF">
          <w:rPr>
            <w:rStyle w:val="Lienhypertexte"/>
            <w:rFonts w:ascii="Times New Roman" w:hAnsi="Times New Roman"/>
            <w:noProof/>
          </w:rPr>
          <w:t>3.</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Leçons apprises</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_Toc506201583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56</w:t>
        </w:r>
        <w:r w:rsidR="005560CF" w:rsidRPr="005560CF">
          <w:rPr>
            <w:rFonts w:ascii="Times New Roman" w:hAnsi="Times New Roman"/>
            <w:noProof/>
            <w:webHidden/>
          </w:rPr>
          <w:fldChar w:fldCharType="end"/>
        </w:r>
      </w:hyperlink>
    </w:p>
    <w:p w14:paraId="604B4FE8" w14:textId="77777777" w:rsidR="005560CF" w:rsidRPr="005560CF" w:rsidRDefault="003A1D53" w:rsidP="005560CF">
      <w:pPr>
        <w:pStyle w:val="TM2"/>
        <w:tabs>
          <w:tab w:val="left" w:pos="660"/>
          <w:tab w:val="right" w:leader="dot" w:pos="9060"/>
        </w:tabs>
        <w:spacing w:after="0" w:line="240" w:lineRule="auto"/>
        <w:rPr>
          <w:rFonts w:ascii="Times New Roman" w:eastAsiaTheme="minorEastAsia" w:hAnsi="Times New Roman"/>
          <w:noProof/>
          <w:lang w:eastAsia="fr-FR"/>
        </w:rPr>
      </w:pPr>
      <w:hyperlink w:anchor="_Toc506201584" w:history="1">
        <w:r w:rsidR="005560CF" w:rsidRPr="005560CF">
          <w:rPr>
            <w:rStyle w:val="Lienhypertexte"/>
            <w:rFonts w:ascii="Times New Roman" w:hAnsi="Times New Roman"/>
            <w:noProof/>
          </w:rPr>
          <w:t>4.</w:t>
        </w:r>
        <w:r w:rsidR="005560CF" w:rsidRPr="005560CF">
          <w:rPr>
            <w:rFonts w:ascii="Times New Roman" w:eastAsiaTheme="minorEastAsia" w:hAnsi="Times New Roman"/>
            <w:noProof/>
            <w:lang w:eastAsia="fr-FR"/>
          </w:rPr>
          <w:tab/>
        </w:r>
        <w:r w:rsidR="005560CF" w:rsidRPr="005560CF">
          <w:rPr>
            <w:rStyle w:val="Lienhypertexte"/>
            <w:rFonts w:ascii="Times New Roman" w:hAnsi="Times New Roman"/>
            <w:noProof/>
          </w:rPr>
          <w:t>Recommandations</w:t>
        </w:r>
        <w:r w:rsidR="005560CF" w:rsidRPr="005560CF">
          <w:rPr>
            <w:rFonts w:ascii="Times New Roman" w:hAnsi="Times New Roman"/>
            <w:noProof/>
            <w:webHidden/>
          </w:rPr>
          <w:tab/>
        </w:r>
        <w:r w:rsidR="005560CF" w:rsidRPr="005560CF">
          <w:rPr>
            <w:rFonts w:ascii="Times New Roman" w:hAnsi="Times New Roman"/>
            <w:noProof/>
            <w:webHidden/>
          </w:rPr>
          <w:fldChar w:fldCharType="begin"/>
        </w:r>
        <w:r w:rsidR="005560CF" w:rsidRPr="005560CF">
          <w:rPr>
            <w:rFonts w:ascii="Times New Roman" w:hAnsi="Times New Roman"/>
            <w:noProof/>
            <w:webHidden/>
          </w:rPr>
          <w:instrText xml:space="preserve"> PAGEREF _Toc506201584 \h </w:instrText>
        </w:r>
        <w:r w:rsidR="005560CF" w:rsidRPr="005560CF">
          <w:rPr>
            <w:rFonts w:ascii="Times New Roman" w:hAnsi="Times New Roman"/>
            <w:noProof/>
            <w:webHidden/>
          </w:rPr>
        </w:r>
        <w:r w:rsidR="005560CF" w:rsidRPr="005560CF">
          <w:rPr>
            <w:rFonts w:ascii="Times New Roman" w:hAnsi="Times New Roman"/>
            <w:noProof/>
            <w:webHidden/>
          </w:rPr>
          <w:fldChar w:fldCharType="separate"/>
        </w:r>
        <w:r w:rsidR="005560CF" w:rsidRPr="005560CF">
          <w:rPr>
            <w:rFonts w:ascii="Times New Roman" w:hAnsi="Times New Roman"/>
            <w:noProof/>
            <w:webHidden/>
          </w:rPr>
          <w:t>58</w:t>
        </w:r>
        <w:r w:rsidR="005560CF" w:rsidRPr="005560CF">
          <w:rPr>
            <w:rFonts w:ascii="Times New Roman" w:hAnsi="Times New Roman"/>
            <w:noProof/>
            <w:webHidden/>
          </w:rPr>
          <w:fldChar w:fldCharType="end"/>
        </w:r>
      </w:hyperlink>
    </w:p>
    <w:p w14:paraId="604B4FE9" w14:textId="77777777" w:rsidR="00BA3DC6" w:rsidRPr="006B309F" w:rsidRDefault="00764E9D" w:rsidP="005560CF">
      <w:pPr>
        <w:spacing w:after="0" w:line="240" w:lineRule="auto"/>
        <w:rPr>
          <w:rFonts w:ascii="Times New Roman" w:hAnsi="Times New Roman"/>
          <w:sz w:val="20"/>
          <w:szCs w:val="20"/>
        </w:rPr>
      </w:pPr>
      <w:r w:rsidRPr="005560CF">
        <w:rPr>
          <w:rFonts w:ascii="Times New Roman" w:hAnsi="Times New Roman"/>
        </w:rPr>
        <w:fldChar w:fldCharType="end"/>
      </w:r>
    </w:p>
    <w:p w14:paraId="604B4FEA" w14:textId="77777777" w:rsidR="00AF261E" w:rsidRDefault="00AF261E">
      <w:pPr>
        <w:spacing w:after="0" w:line="240" w:lineRule="auto"/>
        <w:rPr>
          <w:rFonts w:ascii="Times New Roman" w:hAnsi="Times New Roman"/>
          <w:b/>
          <w:sz w:val="24"/>
          <w:szCs w:val="24"/>
        </w:rPr>
      </w:pPr>
      <w:r>
        <w:br w:type="page"/>
      </w:r>
    </w:p>
    <w:p w14:paraId="604B4FEB" w14:textId="77777777" w:rsidR="00205F6B" w:rsidRPr="006B309F" w:rsidRDefault="0078705F" w:rsidP="005B22B2">
      <w:pPr>
        <w:pStyle w:val="Titre1"/>
        <w:spacing w:before="0" w:line="240" w:lineRule="auto"/>
        <w:rPr>
          <w:color w:val="auto"/>
        </w:rPr>
      </w:pPr>
      <w:bookmarkStart w:id="1" w:name="_Toc499211569"/>
      <w:bookmarkStart w:id="2" w:name="_Toc500967823"/>
      <w:bookmarkStart w:id="3" w:name="_Toc500974503"/>
      <w:bookmarkStart w:id="4" w:name="_Toc502863839"/>
      <w:bookmarkStart w:id="5" w:name="_Toc505758449"/>
      <w:bookmarkStart w:id="6" w:name="_Toc506201541"/>
      <w:r>
        <w:rPr>
          <w:color w:val="auto"/>
        </w:rPr>
        <w:lastRenderedPageBreak/>
        <w:t>Acronymes</w:t>
      </w:r>
      <w:bookmarkEnd w:id="1"/>
      <w:bookmarkEnd w:id="2"/>
      <w:bookmarkEnd w:id="3"/>
      <w:bookmarkEnd w:id="4"/>
      <w:bookmarkEnd w:id="5"/>
      <w:bookmarkEnd w:id="6"/>
    </w:p>
    <w:p w14:paraId="604B4FEC" w14:textId="77777777" w:rsidR="004C5D4B" w:rsidRDefault="004C5D4B" w:rsidP="005B22B2">
      <w:pPr>
        <w:spacing w:after="0" w:line="240" w:lineRule="auto"/>
        <w:rPr>
          <w:sz w:val="24"/>
          <w:szCs w:val="24"/>
          <w:lang w:val="en-US"/>
        </w:rPr>
      </w:pP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222"/>
      </w:tblGrid>
      <w:tr w:rsidR="005143B5" w:rsidRPr="006E0E49" w14:paraId="604B4FEF" w14:textId="77777777" w:rsidTr="00203AD4">
        <w:tc>
          <w:tcPr>
            <w:tcW w:w="1384" w:type="dxa"/>
          </w:tcPr>
          <w:p w14:paraId="604B4FED"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AD</w:t>
            </w:r>
          </w:p>
        </w:tc>
        <w:tc>
          <w:tcPr>
            <w:tcW w:w="8222" w:type="dxa"/>
          </w:tcPr>
          <w:p w14:paraId="604B4FEE" w14:textId="77777777" w:rsidR="005143B5" w:rsidRPr="006E0E49" w:rsidRDefault="00203AD4" w:rsidP="005B22B2">
            <w:pPr>
              <w:spacing w:after="0" w:line="240" w:lineRule="auto"/>
              <w:rPr>
                <w:rFonts w:ascii="Times New Roman" w:hAnsi="Times New Roman"/>
                <w:b w:val="0"/>
                <w:sz w:val="20"/>
                <w:szCs w:val="20"/>
              </w:rPr>
            </w:pPr>
            <w:r>
              <w:rPr>
                <w:rFonts w:ascii="Times New Roman" w:hAnsi="Times New Roman"/>
                <w:b w:val="0"/>
              </w:rPr>
              <w:t xml:space="preserve">: </w:t>
            </w:r>
            <w:r w:rsidR="005143B5" w:rsidRPr="006E0E49">
              <w:rPr>
                <w:rFonts w:ascii="Times New Roman" w:hAnsi="Times New Roman"/>
                <w:b w:val="0"/>
              </w:rPr>
              <w:t>A Déterminer</w:t>
            </w:r>
          </w:p>
        </w:tc>
      </w:tr>
      <w:tr w:rsidR="005143B5" w:rsidRPr="006E0E49" w14:paraId="604B4FF2" w14:textId="77777777" w:rsidTr="00203AD4">
        <w:tc>
          <w:tcPr>
            <w:tcW w:w="1384" w:type="dxa"/>
          </w:tcPr>
          <w:p w14:paraId="604B4FF0"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AEDD</w:t>
            </w:r>
          </w:p>
        </w:tc>
        <w:tc>
          <w:tcPr>
            <w:tcW w:w="8222" w:type="dxa"/>
          </w:tcPr>
          <w:p w14:paraId="604B4FF1"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Agence pour l’Environnement et le Développement Durable</w:t>
            </w:r>
          </w:p>
        </w:tc>
      </w:tr>
      <w:tr w:rsidR="005143B5" w:rsidRPr="006E0E49" w14:paraId="604B4FF5" w14:textId="77777777" w:rsidTr="00203AD4">
        <w:tc>
          <w:tcPr>
            <w:tcW w:w="1384" w:type="dxa"/>
          </w:tcPr>
          <w:p w14:paraId="604B4FF3"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AGR</w:t>
            </w:r>
          </w:p>
        </w:tc>
        <w:tc>
          <w:tcPr>
            <w:tcW w:w="8222" w:type="dxa"/>
          </w:tcPr>
          <w:p w14:paraId="604B4FF4"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Activité Génératrice de Revenus</w:t>
            </w:r>
          </w:p>
        </w:tc>
      </w:tr>
      <w:tr w:rsidR="005143B5" w:rsidRPr="006E0E49" w14:paraId="604B4FF8" w14:textId="77777777" w:rsidTr="00203AD4">
        <w:tc>
          <w:tcPr>
            <w:tcW w:w="1384" w:type="dxa"/>
          </w:tcPr>
          <w:p w14:paraId="604B4FF6"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APRM</w:t>
            </w:r>
          </w:p>
        </w:tc>
        <w:tc>
          <w:tcPr>
            <w:tcW w:w="8222" w:type="dxa"/>
          </w:tcPr>
          <w:p w14:paraId="604B4FF7"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Accord de Paix pour la Réconciliation</w:t>
            </w:r>
            <w:r w:rsidRPr="006E0E49">
              <w:rPr>
                <w:rFonts w:ascii="Times New Roman" w:hAnsi="Times New Roman"/>
                <w:b w:val="0"/>
              </w:rPr>
              <w:t xml:space="preserve"> au Mali</w:t>
            </w:r>
          </w:p>
        </w:tc>
      </w:tr>
      <w:tr w:rsidR="005143B5" w:rsidRPr="006E0E49" w14:paraId="604B4FFB" w14:textId="77777777" w:rsidTr="00203AD4">
        <w:tc>
          <w:tcPr>
            <w:tcW w:w="1384" w:type="dxa"/>
          </w:tcPr>
          <w:p w14:paraId="604B4FF9" w14:textId="77777777" w:rsidR="005143B5" w:rsidRPr="006E0E49" w:rsidRDefault="005143B5" w:rsidP="005B22B2">
            <w:pPr>
              <w:spacing w:after="0" w:line="240" w:lineRule="auto"/>
              <w:rPr>
                <w:rFonts w:ascii="Times New Roman" w:eastAsia="Times New Roman" w:hAnsi="Times New Roman"/>
                <w:b w:val="0"/>
                <w:bCs/>
                <w:sz w:val="20"/>
                <w:szCs w:val="20"/>
              </w:rPr>
            </w:pPr>
            <w:r w:rsidRPr="006E0E49">
              <w:rPr>
                <w:rFonts w:ascii="Times New Roman" w:eastAsia="Times New Roman" w:hAnsi="Times New Roman"/>
                <w:b w:val="0"/>
                <w:bCs/>
              </w:rPr>
              <w:t>CGS</w:t>
            </w:r>
          </w:p>
        </w:tc>
        <w:tc>
          <w:tcPr>
            <w:tcW w:w="8222" w:type="dxa"/>
          </w:tcPr>
          <w:p w14:paraId="604B4FFA" w14:textId="77777777" w:rsidR="005143B5" w:rsidRPr="006E0E49" w:rsidRDefault="005143B5" w:rsidP="005B22B2">
            <w:pPr>
              <w:spacing w:after="0" w:line="240" w:lineRule="auto"/>
              <w:rPr>
                <w:rFonts w:ascii="Times New Roman" w:eastAsia="Times New Roman" w:hAnsi="Times New Roman"/>
                <w:b w:val="0"/>
                <w:bCs/>
                <w:sz w:val="20"/>
                <w:szCs w:val="20"/>
              </w:rPr>
            </w:pPr>
            <w:r w:rsidRPr="006E0E49">
              <w:rPr>
                <w:rFonts w:ascii="Times New Roman" w:eastAsia="Times New Roman" w:hAnsi="Times New Roman"/>
                <w:b w:val="0"/>
                <w:bCs/>
              </w:rPr>
              <w:t>: Comité de gestion Scolaire</w:t>
            </w:r>
          </w:p>
        </w:tc>
      </w:tr>
      <w:tr w:rsidR="005143B5" w:rsidRPr="006E0E49" w14:paraId="604B4FFE" w14:textId="77777777" w:rsidTr="00203AD4">
        <w:tc>
          <w:tcPr>
            <w:tcW w:w="1384" w:type="dxa"/>
          </w:tcPr>
          <w:p w14:paraId="604B4FFC"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eastAsia="Times New Roman" w:hAnsi="Times New Roman"/>
                <w:b w:val="0"/>
                <w:bCs/>
                <w:sz w:val="20"/>
                <w:szCs w:val="20"/>
              </w:rPr>
              <w:t>CNDH</w:t>
            </w:r>
          </w:p>
        </w:tc>
        <w:tc>
          <w:tcPr>
            <w:tcW w:w="8222" w:type="dxa"/>
          </w:tcPr>
          <w:p w14:paraId="604B4FFD"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eastAsia="Times New Roman" w:hAnsi="Times New Roman"/>
                <w:b w:val="0"/>
                <w:bCs/>
                <w:sz w:val="20"/>
                <w:szCs w:val="20"/>
              </w:rPr>
              <w:t>: Commission Nationale des Droits de l'Homme</w:t>
            </w:r>
          </w:p>
        </w:tc>
      </w:tr>
      <w:tr w:rsidR="005143B5" w:rsidRPr="006E0E49" w14:paraId="604B5001" w14:textId="77777777" w:rsidTr="00203AD4">
        <w:tc>
          <w:tcPr>
            <w:tcW w:w="1384" w:type="dxa"/>
          </w:tcPr>
          <w:p w14:paraId="604B4FFF"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CPD</w:t>
            </w:r>
          </w:p>
        </w:tc>
        <w:tc>
          <w:tcPr>
            <w:tcW w:w="8222" w:type="dxa"/>
          </w:tcPr>
          <w:p w14:paraId="604B5000"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Document de Programme Pays</w:t>
            </w:r>
          </w:p>
        </w:tc>
      </w:tr>
      <w:tr w:rsidR="005143B5" w:rsidRPr="006E0E49" w14:paraId="604B5004" w14:textId="77777777" w:rsidTr="00203AD4">
        <w:tc>
          <w:tcPr>
            <w:tcW w:w="1384" w:type="dxa"/>
          </w:tcPr>
          <w:p w14:paraId="604B5002"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CPS</w:t>
            </w:r>
          </w:p>
        </w:tc>
        <w:tc>
          <w:tcPr>
            <w:tcW w:w="8222" w:type="dxa"/>
          </w:tcPr>
          <w:p w14:paraId="604B5003" w14:textId="77777777" w:rsidR="005143B5" w:rsidRPr="006E0E49" w:rsidRDefault="00A233A0" w:rsidP="005B22B2">
            <w:pPr>
              <w:spacing w:after="0" w:line="240" w:lineRule="auto"/>
              <w:rPr>
                <w:rFonts w:ascii="Times New Roman" w:hAnsi="Times New Roman"/>
                <w:b w:val="0"/>
                <w:sz w:val="20"/>
                <w:szCs w:val="20"/>
              </w:rPr>
            </w:pPr>
            <w:r>
              <w:rPr>
                <w:rFonts w:ascii="Times New Roman" w:hAnsi="Times New Roman"/>
                <w:b w:val="0"/>
              </w:rPr>
              <w:t xml:space="preserve">: </w:t>
            </w:r>
            <w:r w:rsidR="005143B5" w:rsidRPr="006E0E49">
              <w:rPr>
                <w:rFonts w:ascii="Times New Roman" w:hAnsi="Times New Roman"/>
                <w:b w:val="0"/>
              </w:rPr>
              <w:t>C</w:t>
            </w:r>
            <w:r w:rsidR="00203AD4">
              <w:rPr>
                <w:rFonts w:ascii="Times New Roman" w:hAnsi="Times New Roman"/>
                <w:b w:val="0"/>
              </w:rPr>
              <w:t>h</w:t>
            </w:r>
            <w:r w:rsidR="005143B5" w:rsidRPr="006E0E49">
              <w:rPr>
                <w:rFonts w:ascii="Times New Roman" w:hAnsi="Times New Roman"/>
                <w:b w:val="0"/>
              </w:rPr>
              <w:t>imio</w:t>
            </w:r>
            <w:r w:rsidR="00203AD4">
              <w:rPr>
                <w:rFonts w:ascii="Times New Roman" w:hAnsi="Times New Roman"/>
                <w:b w:val="0"/>
              </w:rPr>
              <w:t xml:space="preserve"> </w:t>
            </w:r>
            <w:r w:rsidR="005143B5" w:rsidRPr="006E0E49">
              <w:rPr>
                <w:rFonts w:ascii="Times New Roman" w:hAnsi="Times New Roman"/>
                <w:b w:val="0"/>
              </w:rPr>
              <w:t>prévention du Paludisme Saisonnier</w:t>
            </w:r>
          </w:p>
        </w:tc>
      </w:tr>
      <w:tr w:rsidR="005143B5" w:rsidRPr="006E0E49" w14:paraId="604B5007" w14:textId="77777777" w:rsidTr="00203AD4">
        <w:tc>
          <w:tcPr>
            <w:tcW w:w="1384" w:type="dxa"/>
          </w:tcPr>
          <w:p w14:paraId="604B5005"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CREDD</w:t>
            </w:r>
          </w:p>
        </w:tc>
        <w:tc>
          <w:tcPr>
            <w:tcW w:w="8222" w:type="dxa"/>
          </w:tcPr>
          <w:p w14:paraId="604B5006"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Cadre Stratégique pour la Relance Economique et le Développement Durable du Mali</w:t>
            </w:r>
          </w:p>
        </w:tc>
      </w:tr>
      <w:tr w:rsidR="005143B5" w:rsidRPr="006E0E49" w14:paraId="604B500A" w14:textId="77777777" w:rsidTr="00203AD4">
        <w:tc>
          <w:tcPr>
            <w:tcW w:w="1384" w:type="dxa"/>
          </w:tcPr>
          <w:p w14:paraId="604B5008"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CSCRP</w:t>
            </w:r>
          </w:p>
        </w:tc>
        <w:tc>
          <w:tcPr>
            <w:tcW w:w="8222" w:type="dxa"/>
          </w:tcPr>
          <w:p w14:paraId="604B5009"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Cadre Stratégique pour la Croissance et la Réduction de la Pauvreté</w:t>
            </w:r>
          </w:p>
        </w:tc>
      </w:tr>
      <w:tr w:rsidR="005143B5" w:rsidRPr="006E0E49" w14:paraId="604B500D" w14:textId="77777777" w:rsidTr="00203AD4">
        <w:tc>
          <w:tcPr>
            <w:tcW w:w="1384" w:type="dxa"/>
          </w:tcPr>
          <w:p w14:paraId="604B500B"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CVJR</w:t>
            </w:r>
          </w:p>
        </w:tc>
        <w:tc>
          <w:tcPr>
            <w:tcW w:w="8222" w:type="dxa"/>
          </w:tcPr>
          <w:p w14:paraId="604B500C"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Commission Vérité Justice et Réconciliation</w:t>
            </w:r>
          </w:p>
        </w:tc>
      </w:tr>
      <w:tr w:rsidR="005143B5" w:rsidRPr="006E0E49" w14:paraId="604B5010" w14:textId="77777777" w:rsidTr="00203AD4">
        <w:tc>
          <w:tcPr>
            <w:tcW w:w="1384" w:type="dxa"/>
          </w:tcPr>
          <w:p w14:paraId="604B500E"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eastAsia="Times New Roman" w:hAnsi="Times New Roman"/>
                <w:b w:val="0"/>
                <w:bCs/>
                <w:sz w:val="20"/>
                <w:szCs w:val="20"/>
              </w:rPr>
              <w:t>DCPND</w:t>
            </w:r>
          </w:p>
        </w:tc>
        <w:tc>
          <w:tcPr>
            <w:tcW w:w="8222" w:type="dxa"/>
          </w:tcPr>
          <w:p w14:paraId="604B500F"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eastAsia="Times New Roman" w:hAnsi="Times New Roman"/>
                <w:b w:val="0"/>
                <w:bCs/>
                <w:sz w:val="20"/>
                <w:szCs w:val="20"/>
              </w:rPr>
              <w:t>: Document Cadre de Politique Nationale de Décentralisation</w:t>
            </w:r>
          </w:p>
        </w:tc>
      </w:tr>
      <w:tr w:rsidR="005143B5" w:rsidRPr="006E0E49" w14:paraId="604B5013" w14:textId="77777777" w:rsidTr="00203AD4">
        <w:tc>
          <w:tcPr>
            <w:tcW w:w="1384" w:type="dxa"/>
          </w:tcPr>
          <w:p w14:paraId="604B5011"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bCs/>
                <w:sz w:val="20"/>
                <w:szCs w:val="20"/>
              </w:rPr>
              <w:t>"E"</w:t>
            </w:r>
          </w:p>
        </w:tc>
        <w:tc>
          <w:tcPr>
            <w:tcW w:w="8222" w:type="dxa"/>
          </w:tcPr>
          <w:p w14:paraId="604B5012"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Elevé</w:t>
            </w:r>
          </w:p>
        </w:tc>
      </w:tr>
      <w:tr w:rsidR="005143B5" w:rsidRPr="006E0E49" w14:paraId="604B5016" w14:textId="77777777" w:rsidTr="00203AD4">
        <w:tc>
          <w:tcPr>
            <w:tcW w:w="1384" w:type="dxa"/>
          </w:tcPr>
          <w:p w14:paraId="604B5014"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ENSAN</w:t>
            </w:r>
          </w:p>
        </w:tc>
        <w:tc>
          <w:tcPr>
            <w:tcW w:w="8222" w:type="dxa"/>
          </w:tcPr>
          <w:p w14:paraId="604B5015"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Enquête Nationale sur la Sécurité Alimentaire et Nutritionnelle</w:t>
            </w:r>
          </w:p>
        </w:tc>
      </w:tr>
      <w:tr w:rsidR="005143B5" w:rsidRPr="006E0E49" w14:paraId="604B5019" w14:textId="77777777" w:rsidTr="00203AD4">
        <w:tc>
          <w:tcPr>
            <w:tcW w:w="1384" w:type="dxa"/>
          </w:tcPr>
          <w:p w14:paraId="604B5017"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ENSAN</w:t>
            </w:r>
          </w:p>
        </w:tc>
        <w:tc>
          <w:tcPr>
            <w:tcW w:w="8222" w:type="dxa"/>
          </w:tcPr>
          <w:p w14:paraId="604B5018"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Enquête Nationale Sur La Sécurité Alimentaire et Nutritionnelle</w:t>
            </w:r>
          </w:p>
        </w:tc>
      </w:tr>
      <w:tr w:rsidR="005143B5" w:rsidRPr="006E0E49" w14:paraId="604B501C" w14:textId="77777777" w:rsidTr="00203AD4">
        <w:tc>
          <w:tcPr>
            <w:tcW w:w="1384" w:type="dxa"/>
          </w:tcPr>
          <w:p w14:paraId="604B501A"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4"/>
                <w:szCs w:val="24"/>
              </w:rPr>
              <w:t>FDSM</w:t>
            </w:r>
          </w:p>
        </w:tc>
        <w:tc>
          <w:tcPr>
            <w:tcW w:w="8222" w:type="dxa"/>
          </w:tcPr>
          <w:p w14:paraId="604B501B"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 Forces de Défense et Sécurité du Mali</w:t>
            </w:r>
          </w:p>
        </w:tc>
      </w:tr>
      <w:tr w:rsidR="005143B5" w:rsidRPr="006E0E49" w14:paraId="604B501F" w14:textId="77777777" w:rsidTr="00203AD4">
        <w:tc>
          <w:tcPr>
            <w:tcW w:w="1384" w:type="dxa"/>
          </w:tcPr>
          <w:p w14:paraId="604B501D"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FEM</w:t>
            </w:r>
          </w:p>
        </w:tc>
        <w:tc>
          <w:tcPr>
            <w:tcW w:w="8222" w:type="dxa"/>
          </w:tcPr>
          <w:p w14:paraId="604B501E"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Fonds pour l’Environnement Mondial</w:t>
            </w:r>
          </w:p>
        </w:tc>
      </w:tr>
      <w:tr w:rsidR="005143B5" w:rsidRPr="006E0E49" w14:paraId="604B5022" w14:textId="77777777" w:rsidTr="00203AD4">
        <w:tc>
          <w:tcPr>
            <w:tcW w:w="1384" w:type="dxa"/>
          </w:tcPr>
          <w:p w14:paraId="604B5020" w14:textId="77777777" w:rsidR="005143B5" w:rsidRPr="006E0E49" w:rsidRDefault="005143B5" w:rsidP="005B22B2">
            <w:pPr>
              <w:spacing w:after="0" w:line="240" w:lineRule="auto"/>
              <w:rPr>
                <w:rFonts w:ascii="Times New Roman" w:hAnsi="Times New Roman"/>
                <w:b w:val="0"/>
                <w:bCs/>
                <w:sz w:val="20"/>
                <w:szCs w:val="20"/>
              </w:rPr>
            </w:pPr>
            <w:r w:rsidRPr="006E0E49">
              <w:rPr>
                <w:rFonts w:ascii="Times New Roman" w:hAnsi="Times New Roman"/>
                <w:b w:val="0"/>
                <w:bCs/>
              </w:rPr>
              <w:t>FMI</w:t>
            </w:r>
          </w:p>
        </w:tc>
        <w:tc>
          <w:tcPr>
            <w:tcW w:w="8222" w:type="dxa"/>
          </w:tcPr>
          <w:p w14:paraId="604B5021"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 Fonds Monétaire International</w:t>
            </w:r>
          </w:p>
        </w:tc>
      </w:tr>
      <w:tr w:rsidR="005143B5" w:rsidRPr="006E0E49" w14:paraId="604B5025" w14:textId="77777777" w:rsidTr="00203AD4">
        <w:tc>
          <w:tcPr>
            <w:tcW w:w="1384" w:type="dxa"/>
          </w:tcPr>
          <w:p w14:paraId="604B5023"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bCs/>
                <w:sz w:val="20"/>
                <w:szCs w:val="20"/>
              </w:rPr>
              <w:t>"F-N"</w:t>
            </w:r>
          </w:p>
        </w:tc>
        <w:tc>
          <w:tcPr>
            <w:tcW w:w="8222" w:type="dxa"/>
          </w:tcPr>
          <w:p w14:paraId="604B5024"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Faible à Nul</w:t>
            </w:r>
          </w:p>
        </w:tc>
      </w:tr>
      <w:tr w:rsidR="005143B5" w:rsidRPr="006E0E49" w14:paraId="604B5028" w14:textId="77777777" w:rsidTr="00203AD4">
        <w:tc>
          <w:tcPr>
            <w:tcW w:w="1384" w:type="dxa"/>
          </w:tcPr>
          <w:p w14:paraId="604B5026"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HIMO</w:t>
            </w:r>
          </w:p>
        </w:tc>
        <w:tc>
          <w:tcPr>
            <w:tcW w:w="8222" w:type="dxa"/>
          </w:tcPr>
          <w:p w14:paraId="604B5027"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xml:space="preserve">: Haute Intensité de Main d’œuvre </w:t>
            </w:r>
          </w:p>
        </w:tc>
      </w:tr>
      <w:tr w:rsidR="005143B5" w:rsidRPr="006E0E49" w14:paraId="604B502B" w14:textId="77777777" w:rsidTr="00203AD4">
        <w:tc>
          <w:tcPr>
            <w:tcW w:w="1384" w:type="dxa"/>
          </w:tcPr>
          <w:p w14:paraId="604B5029"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bCs/>
                <w:sz w:val="20"/>
                <w:szCs w:val="20"/>
              </w:rPr>
              <w:t> "M"</w:t>
            </w:r>
          </w:p>
        </w:tc>
        <w:tc>
          <w:tcPr>
            <w:tcW w:w="8222" w:type="dxa"/>
          </w:tcPr>
          <w:p w14:paraId="604B502A"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Moyen</w:t>
            </w:r>
          </w:p>
        </w:tc>
      </w:tr>
      <w:tr w:rsidR="005143B5" w:rsidRPr="006E0E49" w14:paraId="604B502E" w14:textId="77777777" w:rsidTr="00203AD4">
        <w:tc>
          <w:tcPr>
            <w:tcW w:w="1384" w:type="dxa"/>
          </w:tcPr>
          <w:p w14:paraId="604B502C"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MINUSMA</w:t>
            </w:r>
          </w:p>
        </w:tc>
        <w:tc>
          <w:tcPr>
            <w:tcW w:w="8222" w:type="dxa"/>
          </w:tcPr>
          <w:p w14:paraId="604B502D"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Mission Multidimensionnelle et Intégrée des Nations Unies pour la Stabilisation au Mali</w:t>
            </w:r>
          </w:p>
        </w:tc>
      </w:tr>
      <w:tr w:rsidR="005143B5" w:rsidRPr="006E0E49" w14:paraId="604B5031" w14:textId="77777777" w:rsidTr="00203AD4">
        <w:tc>
          <w:tcPr>
            <w:tcW w:w="1384" w:type="dxa"/>
          </w:tcPr>
          <w:p w14:paraId="604B502F"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ND</w:t>
            </w:r>
          </w:p>
        </w:tc>
        <w:tc>
          <w:tcPr>
            <w:tcW w:w="8222" w:type="dxa"/>
          </w:tcPr>
          <w:p w14:paraId="604B5030"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 Non Disponible</w:t>
            </w:r>
          </w:p>
        </w:tc>
      </w:tr>
      <w:tr w:rsidR="005143B5" w:rsidRPr="006E0E49" w14:paraId="604B5034" w14:textId="77777777" w:rsidTr="00203AD4">
        <w:tc>
          <w:tcPr>
            <w:tcW w:w="1384" w:type="dxa"/>
          </w:tcPr>
          <w:p w14:paraId="604B5032"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NEX</w:t>
            </w:r>
          </w:p>
        </w:tc>
        <w:tc>
          <w:tcPr>
            <w:tcW w:w="8222" w:type="dxa"/>
          </w:tcPr>
          <w:p w14:paraId="604B5033"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Exécution Nationale</w:t>
            </w:r>
          </w:p>
        </w:tc>
      </w:tr>
      <w:tr w:rsidR="005143B5" w:rsidRPr="006E0E49" w14:paraId="604B5037" w14:textId="77777777" w:rsidTr="00203AD4">
        <w:tc>
          <w:tcPr>
            <w:tcW w:w="1384" w:type="dxa"/>
          </w:tcPr>
          <w:p w14:paraId="604B5035"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OCDE</w:t>
            </w:r>
          </w:p>
        </w:tc>
        <w:tc>
          <w:tcPr>
            <w:tcW w:w="8222" w:type="dxa"/>
          </w:tcPr>
          <w:p w14:paraId="604B5036"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Organisation de Coopération et de Développement Economique</w:t>
            </w:r>
          </w:p>
        </w:tc>
      </w:tr>
      <w:tr w:rsidR="005143B5" w:rsidRPr="006E0E49" w14:paraId="604B503A" w14:textId="77777777" w:rsidTr="00203AD4">
        <w:tc>
          <w:tcPr>
            <w:tcW w:w="1384" w:type="dxa"/>
          </w:tcPr>
          <w:p w14:paraId="604B5038"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ODD</w:t>
            </w:r>
          </w:p>
        </w:tc>
        <w:tc>
          <w:tcPr>
            <w:tcW w:w="8222" w:type="dxa"/>
          </w:tcPr>
          <w:p w14:paraId="604B5039"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Objectifs de Développement Durable</w:t>
            </w:r>
          </w:p>
        </w:tc>
      </w:tr>
      <w:tr w:rsidR="005143B5" w:rsidRPr="006E0E49" w14:paraId="604B503D" w14:textId="77777777" w:rsidTr="00203AD4">
        <w:tc>
          <w:tcPr>
            <w:tcW w:w="1384" w:type="dxa"/>
          </w:tcPr>
          <w:p w14:paraId="604B503B"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OMD</w:t>
            </w:r>
          </w:p>
        </w:tc>
        <w:tc>
          <w:tcPr>
            <w:tcW w:w="8222" w:type="dxa"/>
          </w:tcPr>
          <w:p w14:paraId="604B503C"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Objectif du Millénaire pour le Développement</w:t>
            </w:r>
          </w:p>
        </w:tc>
      </w:tr>
      <w:tr w:rsidR="005143B5" w:rsidRPr="006E0E49" w14:paraId="604B5040" w14:textId="77777777" w:rsidTr="00203AD4">
        <w:tc>
          <w:tcPr>
            <w:tcW w:w="1384" w:type="dxa"/>
          </w:tcPr>
          <w:p w14:paraId="604B503E"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OMT</w:t>
            </w:r>
          </w:p>
        </w:tc>
        <w:tc>
          <w:tcPr>
            <w:tcW w:w="8222" w:type="dxa"/>
          </w:tcPr>
          <w:p w14:paraId="604B503F"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 Equipe de Gestion des Opérations</w:t>
            </w:r>
          </w:p>
        </w:tc>
      </w:tr>
      <w:tr w:rsidR="005143B5" w:rsidRPr="006E0E49" w14:paraId="604B5043" w14:textId="77777777" w:rsidTr="00203AD4">
        <w:tc>
          <w:tcPr>
            <w:tcW w:w="1384" w:type="dxa"/>
          </w:tcPr>
          <w:p w14:paraId="604B5041"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ONG</w:t>
            </w:r>
          </w:p>
        </w:tc>
        <w:tc>
          <w:tcPr>
            <w:tcW w:w="8222" w:type="dxa"/>
          </w:tcPr>
          <w:p w14:paraId="604B5042"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Organisation Non Gouvernementale</w:t>
            </w:r>
          </w:p>
        </w:tc>
      </w:tr>
      <w:tr w:rsidR="005143B5" w:rsidRPr="006E0E49" w14:paraId="604B5046" w14:textId="77777777" w:rsidTr="00203AD4">
        <w:tc>
          <w:tcPr>
            <w:tcW w:w="1384" w:type="dxa"/>
          </w:tcPr>
          <w:p w14:paraId="604B5044"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PAG</w:t>
            </w:r>
          </w:p>
        </w:tc>
        <w:tc>
          <w:tcPr>
            <w:tcW w:w="8222" w:type="dxa"/>
          </w:tcPr>
          <w:p w14:paraId="604B5045"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Programme d’Action du Gouvernement</w:t>
            </w:r>
          </w:p>
        </w:tc>
      </w:tr>
      <w:tr w:rsidR="005143B5" w:rsidRPr="006E0E49" w14:paraId="604B5049" w14:textId="77777777" w:rsidTr="00203AD4">
        <w:tc>
          <w:tcPr>
            <w:tcW w:w="1384" w:type="dxa"/>
          </w:tcPr>
          <w:p w14:paraId="604B5047"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PDA/RN</w:t>
            </w:r>
          </w:p>
        </w:tc>
        <w:tc>
          <w:tcPr>
            <w:tcW w:w="8222" w:type="dxa"/>
          </w:tcPr>
          <w:p w14:paraId="604B5048"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Programme de Développement Accéléré des Régions du Nord</w:t>
            </w:r>
          </w:p>
        </w:tc>
      </w:tr>
      <w:tr w:rsidR="005143B5" w:rsidRPr="006E0E49" w14:paraId="604B504C" w14:textId="77777777" w:rsidTr="00203AD4">
        <w:tc>
          <w:tcPr>
            <w:tcW w:w="1384" w:type="dxa"/>
          </w:tcPr>
          <w:p w14:paraId="604B504A"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PIB</w:t>
            </w:r>
          </w:p>
        </w:tc>
        <w:tc>
          <w:tcPr>
            <w:tcW w:w="8222" w:type="dxa"/>
          </w:tcPr>
          <w:p w14:paraId="604B504B"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xml:space="preserve">: </w:t>
            </w:r>
            <w:r w:rsidRPr="006E0E49">
              <w:rPr>
                <w:rFonts w:ascii="Times New Roman" w:hAnsi="Times New Roman"/>
                <w:b w:val="0"/>
              </w:rPr>
              <w:t>Produit Intérieur Brut</w:t>
            </w:r>
          </w:p>
        </w:tc>
      </w:tr>
      <w:tr w:rsidR="005143B5" w:rsidRPr="006E0E49" w14:paraId="604B504F" w14:textId="77777777" w:rsidTr="00203AD4">
        <w:tc>
          <w:tcPr>
            <w:tcW w:w="1384" w:type="dxa"/>
          </w:tcPr>
          <w:p w14:paraId="604B504D"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PMT</w:t>
            </w:r>
          </w:p>
        </w:tc>
        <w:tc>
          <w:tcPr>
            <w:tcW w:w="8222" w:type="dxa"/>
          </w:tcPr>
          <w:p w14:paraId="604B504E"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 Equipe de Gestion Programme</w:t>
            </w:r>
          </w:p>
        </w:tc>
      </w:tr>
      <w:tr w:rsidR="005143B5" w:rsidRPr="006E0E49" w14:paraId="604B5052" w14:textId="77777777" w:rsidTr="00203AD4">
        <w:tc>
          <w:tcPr>
            <w:tcW w:w="1384" w:type="dxa"/>
          </w:tcPr>
          <w:p w14:paraId="604B5050"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PNUD</w:t>
            </w:r>
          </w:p>
        </w:tc>
        <w:tc>
          <w:tcPr>
            <w:tcW w:w="8222" w:type="dxa"/>
          </w:tcPr>
          <w:p w14:paraId="604B5051"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Programme des Nations Unies pour le Développement</w:t>
            </w:r>
          </w:p>
        </w:tc>
      </w:tr>
      <w:tr w:rsidR="005143B5" w:rsidRPr="006E0E49" w14:paraId="604B5055" w14:textId="77777777" w:rsidTr="00203AD4">
        <w:tc>
          <w:tcPr>
            <w:tcW w:w="1384" w:type="dxa"/>
          </w:tcPr>
          <w:p w14:paraId="604B5053"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PRED</w:t>
            </w:r>
          </w:p>
        </w:tc>
        <w:tc>
          <w:tcPr>
            <w:tcW w:w="8222" w:type="dxa"/>
          </w:tcPr>
          <w:p w14:paraId="604B5054"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Plan pour la Relance Durable du Mali</w:t>
            </w:r>
          </w:p>
        </w:tc>
      </w:tr>
      <w:tr w:rsidR="005143B5" w:rsidRPr="006E0E49" w14:paraId="604B5058" w14:textId="77777777" w:rsidTr="00203AD4">
        <w:tc>
          <w:tcPr>
            <w:tcW w:w="1384" w:type="dxa"/>
          </w:tcPr>
          <w:p w14:paraId="604B5056"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PRODOC</w:t>
            </w:r>
          </w:p>
        </w:tc>
        <w:tc>
          <w:tcPr>
            <w:tcW w:w="8222" w:type="dxa"/>
          </w:tcPr>
          <w:p w14:paraId="604B5057"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Document de Projet/Programme</w:t>
            </w:r>
          </w:p>
        </w:tc>
      </w:tr>
      <w:tr w:rsidR="005143B5" w:rsidRPr="006E0E49" w14:paraId="604B505B" w14:textId="77777777" w:rsidTr="00203AD4">
        <w:tc>
          <w:tcPr>
            <w:tcW w:w="1384" w:type="dxa"/>
          </w:tcPr>
          <w:p w14:paraId="604B5059"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PS</w:t>
            </w:r>
          </w:p>
        </w:tc>
        <w:tc>
          <w:tcPr>
            <w:tcW w:w="8222" w:type="dxa"/>
          </w:tcPr>
          <w:p w14:paraId="604B505A"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Plan Stratégique</w:t>
            </w:r>
          </w:p>
        </w:tc>
      </w:tr>
      <w:tr w:rsidR="005143B5" w:rsidRPr="006E0E49" w14:paraId="604B505E" w14:textId="77777777" w:rsidTr="00203AD4">
        <w:tc>
          <w:tcPr>
            <w:tcW w:w="1384" w:type="dxa"/>
          </w:tcPr>
          <w:p w14:paraId="604B505C"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PTA</w:t>
            </w:r>
          </w:p>
        </w:tc>
        <w:tc>
          <w:tcPr>
            <w:tcW w:w="8222" w:type="dxa"/>
          </w:tcPr>
          <w:p w14:paraId="604B505D"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Plan de Travail Annuel</w:t>
            </w:r>
          </w:p>
        </w:tc>
      </w:tr>
      <w:tr w:rsidR="005143B5" w:rsidRPr="006E0E49" w14:paraId="604B5061" w14:textId="77777777" w:rsidTr="00203AD4">
        <w:tc>
          <w:tcPr>
            <w:tcW w:w="1384" w:type="dxa"/>
          </w:tcPr>
          <w:p w14:paraId="604B505F"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PTF</w:t>
            </w:r>
          </w:p>
        </w:tc>
        <w:tc>
          <w:tcPr>
            <w:tcW w:w="8222" w:type="dxa"/>
          </w:tcPr>
          <w:p w14:paraId="604B5060"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Partenaire Technique Financier</w:t>
            </w:r>
          </w:p>
        </w:tc>
      </w:tr>
      <w:tr w:rsidR="005143B5" w:rsidRPr="006E0E49" w14:paraId="604B5064" w14:textId="77777777" w:rsidTr="00203AD4">
        <w:tc>
          <w:tcPr>
            <w:tcW w:w="1384" w:type="dxa"/>
          </w:tcPr>
          <w:p w14:paraId="604B5062"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PTME</w:t>
            </w:r>
          </w:p>
        </w:tc>
        <w:tc>
          <w:tcPr>
            <w:tcW w:w="8222" w:type="dxa"/>
          </w:tcPr>
          <w:p w14:paraId="604B5063"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 Prévention de la Transmission Mère Enfant</w:t>
            </w:r>
          </w:p>
        </w:tc>
      </w:tr>
      <w:tr w:rsidR="005143B5" w:rsidRPr="006E0E49" w14:paraId="604B5067" w14:textId="77777777" w:rsidTr="00203AD4">
        <w:tc>
          <w:tcPr>
            <w:tcW w:w="1384" w:type="dxa"/>
          </w:tcPr>
          <w:p w14:paraId="604B5065"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SFD</w:t>
            </w:r>
          </w:p>
        </w:tc>
        <w:tc>
          <w:tcPr>
            <w:tcW w:w="8222" w:type="dxa"/>
          </w:tcPr>
          <w:p w14:paraId="604B5066"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 Structure Financière Décentralisée</w:t>
            </w:r>
          </w:p>
        </w:tc>
      </w:tr>
      <w:tr w:rsidR="005143B5" w:rsidRPr="006E0E49" w14:paraId="604B506A" w14:textId="77777777" w:rsidTr="00203AD4">
        <w:tc>
          <w:tcPr>
            <w:tcW w:w="1384" w:type="dxa"/>
          </w:tcPr>
          <w:p w14:paraId="604B5068"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SIDA</w:t>
            </w:r>
          </w:p>
        </w:tc>
        <w:tc>
          <w:tcPr>
            <w:tcW w:w="8222" w:type="dxa"/>
          </w:tcPr>
          <w:p w14:paraId="604B5069"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Syndrome d’Immunodéficience Acquise</w:t>
            </w:r>
          </w:p>
        </w:tc>
      </w:tr>
      <w:tr w:rsidR="005143B5" w:rsidRPr="006E0E49" w14:paraId="604B506D" w14:textId="77777777" w:rsidTr="00203AD4">
        <w:tc>
          <w:tcPr>
            <w:tcW w:w="1384" w:type="dxa"/>
          </w:tcPr>
          <w:p w14:paraId="604B506B"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SNU</w:t>
            </w:r>
          </w:p>
        </w:tc>
        <w:tc>
          <w:tcPr>
            <w:tcW w:w="8222" w:type="dxa"/>
          </w:tcPr>
          <w:p w14:paraId="604B506C"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Système des Nations Unies</w:t>
            </w:r>
          </w:p>
        </w:tc>
      </w:tr>
      <w:tr w:rsidR="005143B5" w:rsidRPr="006E0E49" w14:paraId="604B5070" w14:textId="77777777" w:rsidTr="00203AD4">
        <w:tc>
          <w:tcPr>
            <w:tcW w:w="1384" w:type="dxa"/>
          </w:tcPr>
          <w:p w14:paraId="604B506E" w14:textId="77777777" w:rsidR="005143B5" w:rsidRPr="006E0E49" w:rsidRDefault="005143B5" w:rsidP="005B22B2">
            <w:pPr>
              <w:spacing w:after="0" w:line="240" w:lineRule="auto"/>
              <w:rPr>
                <w:rFonts w:ascii="Times New Roman" w:eastAsia="Times New Roman" w:hAnsi="Times New Roman"/>
                <w:b w:val="0"/>
                <w:bCs/>
                <w:sz w:val="20"/>
                <w:szCs w:val="20"/>
              </w:rPr>
            </w:pPr>
            <w:r w:rsidRPr="006E0E49">
              <w:rPr>
                <w:rFonts w:ascii="Times New Roman" w:eastAsia="Times New Roman" w:hAnsi="Times New Roman"/>
                <w:b w:val="0"/>
                <w:bCs/>
              </w:rPr>
              <w:t>SONUB</w:t>
            </w:r>
          </w:p>
        </w:tc>
        <w:tc>
          <w:tcPr>
            <w:tcW w:w="8222" w:type="dxa"/>
          </w:tcPr>
          <w:p w14:paraId="604B506F"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 Soins Obstétricaux Néonatals d’Urgence de Base</w:t>
            </w:r>
          </w:p>
        </w:tc>
      </w:tr>
      <w:tr w:rsidR="005143B5" w:rsidRPr="006E0E49" w14:paraId="604B5073" w14:textId="77777777" w:rsidTr="00203AD4">
        <w:tc>
          <w:tcPr>
            <w:tcW w:w="1384" w:type="dxa"/>
          </w:tcPr>
          <w:p w14:paraId="604B5071"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eastAsia="Times New Roman" w:hAnsi="Times New Roman"/>
                <w:b w:val="0"/>
                <w:bCs/>
                <w:sz w:val="20"/>
                <w:szCs w:val="20"/>
              </w:rPr>
              <w:t>TDR</w:t>
            </w:r>
          </w:p>
        </w:tc>
        <w:tc>
          <w:tcPr>
            <w:tcW w:w="8222" w:type="dxa"/>
          </w:tcPr>
          <w:p w14:paraId="604B5072"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Termes de Référence</w:t>
            </w:r>
          </w:p>
        </w:tc>
      </w:tr>
      <w:tr w:rsidR="005143B5" w:rsidRPr="006E0E49" w14:paraId="604B5076" w14:textId="77777777" w:rsidTr="00203AD4">
        <w:tc>
          <w:tcPr>
            <w:tcW w:w="1384" w:type="dxa"/>
          </w:tcPr>
          <w:p w14:paraId="604B5074"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UEMOA</w:t>
            </w:r>
          </w:p>
        </w:tc>
        <w:tc>
          <w:tcPr>
            <w:tcW w:w="8222" w:type="dxa"/>
          </w:tcPr>
          <w:p w14:paraId="604B5075"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Union Economique et Monétaire Ouest Africaine</w:t>
            </w:r>
          </w:p>
        </w:tc>
      </w:tr>
      <w:tr w:rsidR="005143B5" w:rsidRPr="006E0E49" w14:paraId="604B5079" w14:textId="77777777" w:rsidTr="00203AD4">
        <w:tc>
          <w:tcPr>
            <w:tcW w:w="1384" w:type="dxa"/>
          </w:tcPr>
          <w:p w14:paraId="604B5077"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UN</w:t>
            </w:r>
          </w:p>
        </w:tc>
        <w:tc>
          <w:tcPr>
            <w:tcW w:w="8222" w:type="dxa"/>
          </w:tcPr>
          <w:p w14:paraId="604B5078"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Nations Unies</w:t>
            </w:r>
          </w:p>
        </w:tc>
      </w:tr>
      <w:tr w:rsidR="005143B5" w:rsidRPr="006E0E49" w14:paraId="604B507C" w14:textId="77777777" w:rsidTr="00203AD4">
        <w:tc>
          <w:tcPr>
            <w:tcW w:w="1384" w:type="dxa"/>
          </w:tcPr>
          <w:p w14:paraId="604B507A"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UNCDF</w:t>
            </w:r>
          </w:p>
        </w:tc>
        <w:tc>
          <w:tcPr>
            <w:tcW w:w="8222" w:type="dxa"/>
          </w:tcPr>
          <w:p w14:paraId="604B507B"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Fonds d’Equipement des Nations Unies</w:t>
            </w:r>
          </w:p>
        </w:tc>
      </w:tr>
      <w:tr w:rsidR="005143B5" w:rsidRPr="006E0E49" w14:paraId="604B507F" w14:textId="77777777" w:rsidTr="00203AD4">
        <w:tc>
          <w:tcPr>
            <w:tcW w:w="1384" w:type="dxa"/>
          </w:tcPr>
          <w:p w14:paraId="604B507D"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UNDAF</w:t>
            </w:r>
          </w:p>
        </w:tc>
        <w:tc>
          <w:tcPr>
            <w:tcW w:w="8222" w:type="dxa"/>
          </w:tcPr>
          <w:p w14:paraId="604B507E"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Cadre des Nations Unies pour l’Assistance au Développement</w:t>
            </w:r>
          </w:p>
        </w:tc>
      </w:tr>
      <w:tr w:rsidR="005143B5" w:rsidRPr="006E0E49" w14:paraId="604B5082" w14:textId="77777777" w:rsidTr="00203AD4">
        <w:tc>
          <w:tcPr>
            <w:tcW w:w="1384" w:type="dxa"/>
          </w:tcPr>
          <w:p w14:paraId="604B5080"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UNISS</w:t>
            </w:r>
          </w:p>
        </w:tc>
        <w:tc>
          <w:tcPr>
            <w:tcW w:w="8222" w:type="dxa"/>
          </w:tcPr>
          <w:p w14:paraId="604B5081"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 Stratégie Intégrée des Nations Unies pour le Sahel</w:t>
            </w:r>
          </w:p>
        </w:tc>
      </w:tr>
      <w:tr w:rsidR="005143B5" w:rsidRPr="006E0E49" w14:paraId="604B5085" w14:textId="77777777" w:rsidTr="00203AD4">
        <w:tc>
          <w:tcPr>
            <w:tcW w:w="1384" w:type="dxa"/>
          </w:tcPr>
          <w:p w14:paraId="604B5083"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USD</w:t>
            </w:r>
          </w:p>
        </w:tc>
        <w:tc>
          <w:tcPr>
            <w:tcW w:w="8222" w:type="dxa"/>
          </w:tcPr>
          <w:p w14:paraId="604B5084"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Dollar des Etats Unis d’Amérique</w:t>
            </w:r>
          </w:p>
        </w:tc>
      </w:tr>
      <w:tr w:rsidR="005143B5" w:rsidRPr="006E0E49" w14:paraId="604B5088" w14:textId="77777777" w:rsidTr="00203AD4">
        <w:tc>
          <w:tcPr>
            <w:tcW w:w="1384" w:type="dxa"/>
          </w:tcPr>
          <w:p w14:paraId="604B5086"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VIH</w:t>
            </w:r>
          </w:p>
        </w:tc>
        <w:tc>
          <w:tcPr>
            <w:tcW w:w="8222" w:type="dxa"/>
          </w:tcPr>
          <w:p w14:paraId="604B5087"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Virus d’Immunodéficience Humaine</w:t>
            </w:r>
          </w:p>
        </w:tc>
      </w:tr>
      <w:tr w:rsidR="005143B5" w:rsidRPr="006E0E49" w14:paraId="604B508B" w14:textId="77777777" w:rsidTr="00203AD4">
        <w:tc>
          <w:tcPr>
            <w:tcW w:w="1384" w:type="dxa"/>
          </w:tcPr>
          <w:p w14:paraId="604B5089"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VNU</w:t>
            </w:r>
          </w:p>
        </w:tc>
        <w:tc>
          <w:tcPr>
            <w:tcW w:w="8222" w:type="dxa"/>
          </w:tcPr>
          <w:p w14:paraId="604B508A"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rPr>
              <w:t>: Volontaire des Nations Unies</w:t>
            </w:r>
          </w:p>
        </w:tc>
      </w:tr>
      <w:tr w:rsidR="005143B5" w:rsidRPr="006E0E49" w14:paraId="604B508E" w14:textId="77777777" w:rsidTr="00203AD4">
        <w:tc>
          <w:tcPr>
            <w:tcW w:w="1384" w:type="dxa"/>
          </w:tcPr>
          <w:p w14:paraId="604B508C"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SIDA</w:t>
            </w:r>
          </w:p>
        </w:tc>
        <w:tc>
          <w:tcPr>
            <w:tcW w:w="8222" w:type="dxa"/>
          </w:tcPr>
          <w:p w14:paraId="604B508D" w14:textId="77777777" w:rsidR="005143B5" w:rsidRPr="006E0E49" w:rsidRDefault="005143B5" w:rsidP="005B22B2">
            <w:pPr>
              <w:spacing w:after="0" w:line="240" w:lineRule="auto"/>
              <w:rPr>
                <w:rFonts w:ascii="Times New Roman" w:hAnsi="Times New Roman"/>
                <w:b w:val="0"/>
                <w:sz w:val="20"/>
                <w:szCs w:val="20"/>
              </w:rPr>
            </w:pPr>
            <w:r w:rsidRPr="006E0E49">
              <w:rPr>
                <w:rFonts w:ascii="Times New Roman" w:hAnsi="Times New Roman"/>
                <w:b w:val="0"/>
                <w:sz w:val="20"/>
                <w:szCs w:val="20"/>
              </w:rPr>
              <w:t>: Syndrome d’Immunodéficience Acquise</w:t>
            </w:r>
          </w:p>
        </w:tc>
      </w:tr>
    </w:tbl>
    <w:p w14:paraId="604B508F" w14:textId="77777777" w:rsidR="005143B5" w:rsidRDefault="005143B5" w:rsidP="005B22B2">
      <w:pPr>
        <w:spacing w:after="0" w:line="240" w:lineRule="auto"/>
        <w:rPr>
          <w:sz w:val="24"/>
          <w:szCs w:val="24"/>
          <w:lang w:val="en-US"/>
        </w:rPr>
      </w:pPr>
    </w:p>
    <w:p w14:paraId="604B5090" w14:textId="77777777" w:rsidR="005143B5" w:rsidRDefault="005143B5" w:rsidP="005B22B2">
      <w:pPr>
        <w:spacing w:after="0" w:line="240" w:lineRule="auto"/>
        <w:rPr>
          <w:sz w:val="24"/>
          <w:szCs w:val="24"/>
          <w:lang w:val="en-US"/>
        </w:rPr>
      </w:pPr>
    </w:p>
    <w:p w14:paraId="604B5091" w14:textId="77777777" w:rsidR="00BA3DC6" w:rsidRPr="00FB42E6" w:rsidRDefault="00BA3DC6" w:rsidP="005B22B2">
      <w:pPr>
        <w:pStyle w:val="Titre1"/>
        <w:spacing w:before="0" w:line="240" w:lineRule="auto"/>
        <w:rPr>
          <w:color w:val="auto"/>
        </w:rPr>
      </w:pPr>
      <w:bookmarkStart w:id="7" w:name="_Toc499211575"/>
      <w:bookmarkStart w:id="8" w:name="_Toc500967828"/>
      <w:bookmarkStart w:id="9" w:name="_Toc500974508"/>
      <w:bookmarkStart w:id="10" w:name="_Toc502863844"/>
      <w:bookmarkStart w:id="11" w:name="_Toc505758451"/>
      <w:bookmarkStart w:id="12" w:name="_Toc506201543"/>
      <w:r w:rsidRPr="00FB42E6">
        <w:rPr>
          <w:color w:val="auto"/>
        </w:rPr>
        <w:lastRenderedPageBreak/>
        <w:t>Introduction</w:t>
      </w:r>
      <w:bookmarkEnd w:id="0"/>
      <w:bookmarkEnd w:id="7"/>
      <w:bookmarkEnd w:id="8"/>
      <w:bookmarkEnd w:id="9"/>
      <w:bookmarkEnd w:id="10"/>
      <w:bookmarkEnd w:id="11"/>
      <w:bookmarkEnd w:id="12"/>
    </w:p>
    <w:p w14:paraId="604B5092" w14:textId="77777777" w:rsidR="00BA3DC6" w:rsidRPr="00FB42E6" w:rsidRDefault="00BA3DC6" w:rsidP="005B22B2">
      <w:pPr>
        <w:spacing w:after="0" w:line="240" w:lineRule="auto"/>
      </w:pPr>
    </w:p>
    <w:p w14:paraId="604B5093" w14:textId="77777777" w:rsidR="00BA3DC6" w:rsidRPr="00FB42E6" w:rsidRDefault="00BA3DC6" w:rsidP="005B22B2">
      <w:pPr>
        <w:pStyle w:val="Titre2"/>
        <w:numPr>
          <w:ilvl w:val="0"/>
          <w:numId w:val="2"/>
        </w:numPr>
        <w:spacing w:before="0"/>
        <w:rPr>
          <w:rFonts w:ascii="Times New Roman" w:hAnsi="Times New Roman"/>
          <w:color w:val="auto"/>
          <w:sz w:val="24"/>
          <w:szCs w:val="24"/>
        </w:rPr>
      </w:pPr>
      <w:bookmarkStart w:id="13" w:name="_Toc348488278"/>
      <w:bookmarkStart w:id="14" w:name="_Toc355533881"/>
      <w:bookmarkStart w:id="15" w:name="_Toc499211576"/>
      <w:bookmarkStart w:id="16" w:name="_Toc500967829"/>
      <w:bookmarkStart w:id="17" w:name="_Toc500974509"/>
      <w:bookmarkStart w:id="18" w:name="_Toc502863845"/>
      <w:bookmarkStart w:id="19" w:name="_Toc505758452"/>
      <w:bookmarkStart w:id="20" w:name="_Toc506201544"/>
      <w:r w:rsidRPr="00FB42E6">
        <w:rPr>
          <w:rFonts w:ascii="Times New Roman" w:hAnsi="Times New Roman"/>
          <w:color w:val="auto"/>
          <w:sz w:val="24"/>
          <w:szCs w:val="24"/>
        </w:rPr>
        <w:t>But</w:t>
      </w:r>
      <w:bookmarkEnd w:id="13"/>
      <w:bookmarkEnd w:id="14"/>
      <w:r w:rsidRPr="00FB42E6">
        <w:rPr>
          <w:rFonts w:ascii="Times New Roman" w:hAnsi="Times New Roman"/>
          <w:color w:val="auto"/>
          <w:sz w:val="24"/>
          <w:szCs w:val="24"/>
        </w:rPr>
        <w:t xml:space="preserve"> de l’évaluation</w:t>
      </w:r>
      <w:bookmarkEnd w:id="15"/>
      <w:bookmarkEnd w:id="16"/>
      <w:bookmarkEnd w:id="17"/>
      <w:bookmarkEnd w:id="18"/>
      <w:bookmarkEnd w:id="19"/>
      <w:bookmarkEnd w:id="20"/>
    </w:p>
    <w:p w14:paraId="604B5094" w14:textId="77777777" w:rsidR="00BA3DC6" w:rsidRPr="00FB42E6" w:rsidRDefault="00BA3DC6" w:rsidP="005B22B2">
      <w:pPr>
        <w:spacing w:after="0" w:line="240" w:lineRule="auto"/>
        <w:jc w:val="both"/>
        <w:rPr>
          <w:rFonts w:ascii="Times New Roman" w:hAnsi="Times New Roman"/>
          <w:bCs/>
          <w:sz w:val="14"/>
          <w:szCs w:val="14"/>
        </w:rPr>
      </w:pPr>
    </w:p>
    <w:p w14:paraId="604B5095" w14:textId="77777777" w:rsidR="00BA3DC6" w:rsidRPr="00FB42E6" w:rsidRDefault="00BA3DC6"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1.</w:t>
      </w:r>
      <w:r w:rsidRPr="00FB42E6">
        <w:rPr>
          <w:rFonts w:ascii="Times New Roman" w:hAnsi="Times New Roman"/>
          <w:bCs/>
          <w:sz w:val="24"/>
          <w:szCs w:val="24"/>
        </w:rPr>
        <w:tab/>
        <w:t xml:space="preserve">Le but de l’évaluation est de satisfaire aux exigences de transparence et de redevabilité vis-à-vis des parties prenantes : </w:t>
      </w:r>
      <w:r w:rsidR="004375FA" w:rsidRPr="00FB42E6">
        <w:rPr>
          <w:rFonts w:ascii="Times New Roman" w:hAnsi="Times New Roman"/>
          <w:bCs/>
          <w:sz w:val="24"/>
          <w:szCs w:val="24"/>
        </w:rPr>
        <w:t xml:space="preserve">le </w:t>
      </w:r>
      <w:r w:rsidR="00BD0165" w:rsidRPr="00FB42E6">
        <w:rPr>
          <w:rFonts w:ascii="Times New Roman" w:hAnsi="Times New Roman"/>
          <w:bCs/>
          <w:sz w:val="24"/>
          <w:szCs w:val="24"/>
        </w:rPr>
        <w:t>Système des Nations Unies</w:t>
      </w:r>
      <w:r w:rsidR="004375FA" w:rsidRPr="00FB42E6">
        <w:rPr>
          <w:rFonts w:ascii="Times New Roman" w:hAnsi="Times New Roman"/>
          <w:bCs/>
          <w:sz w:val="24"/>
          <w:szCs w:val="24"/>
        </w:rPr>
        <w:t xml:space="preserve">, </w:t>
      </w:r>
      <w:r w:rsidRPr="00FB42E6">
        <w:rPr>
          <w:rFonts w:ascii="Times New Roman" w:hAnsi="Times New Roman"/>
          <w:bCs/>
          <w:sz w:val="24"/>
          <w:szCs w:val="24"/>
        </w:rPr>
        <w:t>l’Etat d</w:t>
      </w:r>
      <w:r w:rsidR="00303125" w:rsidRPr="00FB42E6">
        <w:rPr>
          <w:rFonts w:ascii="Times New Roman" w:hAnsi="Times New Roman"/>
          <w:bCs/>
          <w:sz w:val="24"/>
          <w:szCs w:val="24"/>
        </w:rPr>
        <w:t xml:space="preserve">u </w:t>
      </w:r>
      <w:r w:rsidR="001867D3" w:rsidRPr="00FB42E6">
        <w:rPr>
          <w:rFonts w:ascii="Times New Roman" w:hAnsi="Times New Roman"/>
          <w:bCs/>
          <w:sz w:val="24"/>
          <w:szCs w:val="24"/>
        </w:rPr>
        <w:t>Mali</w:t>
      </w:r>
      <w:r w:rsidRPr="00FB42E6">
        <w:rPr>
          <w:rFonts w:ascii="Times New Roman" w:hAnsi="Times New Roman"/>
          <w:bCs/>
          <w:sz w:val="24"/>
          <w:szCs w:val="24"/>
        </w:rPr>
        <w:t>,</w:t>
      </w:r>
      <w:r w:rsidR="004375FA" w:rsidRPr="00FB42E6">
        <w:rPr>
          <w:rFonts w:ascii="Times New Roman" w:hAnsi="Times New Roman"/>
          <w:bCs/>
          <w:sz w:val="24"/>
          <w:szCs w:val="24"/>
        </w:rPr>
        <w:t xml:space="preserve"> </w:t>
      </w:r>
      <w:r w:rsidRPr="00FB42E6">
        <w:rPr>
          <w:rFonts w:ascii="Times New Roman" w:hAnsi="Times New Roman"/>
          <w:bCs/>
          <w:sz w:val="24"/>
          <w:szCs w:val="24"/>
        </w:rPr>
        <w:t>les autres Partenaires techniques et financiers et la société civile</w:t>
      </w:r>
      <w:r w:rsidR="00303125" w:rsidRPr="00FB42E6">
        <w:rPr>
          <w:rFonts w:ascii="Times New Roman" w:hAnsi="Times New Roman"/>
          <w:bCs/>
          <w:sz w:val="24"/>
          <w:szCs w:val="24"/>
        </w:rPr>
        <w:t>, ainsi que, plus largement, les bénéficiaires du programme</w:t>
      </w:r>
      <w:r w:rsidRPr="00FB42E6">
        <w:rPr>
          <w:rFonts w:ascii="Times New Roman" w:hAnsi="Times New Roman"/>
          <w:bCs/>
          <w:sz w:val="24"/>
          <w:szCs w:val="24"/>
        </w:rPr>
        <w:t>. Plus précisément, il s’agit de leur fournir</w:t>
      </w:r>
      <w:r w:rsidR="00303125" w:rsidRPr="00FB42E6">
        <w:rPr>
          <w:rFonts w:ascii="Times New Roman" w:hAnsi="Times New Roman"/>
          <w:bCs/>
          <w:sz w:val="24"/>
          <w:szCs w:val="24"/>
        </w:rPr>
        <w:t xml:space="preserve">, </w:t>
      </w:r>
      <w:r w:rsidRPr="00FB42E6">
        <w:rPr>
          <w:rFonts w:ascii="Times New Roman" w:hAnsi="Times New Roman"/>
          <w:bCs/>
          <w:sz w:val="24"/>
          <w:szCs w:val="24"/>
        </w:rPr>
        <w:t>les éléments nécessaires à une bonne appréhension des résultats obtenus</w:t>
      </w:r>
      <w:r w:rsidR="00BD0165" w:rsidRPr="00FB42E6">
        <w:rPr>
          <w:rFonts w:ascii="Times New Roman" w:hAnsi="Times New Roman"/>
          <w:bCs/>
          <w:sz w:val="24"/>
          <w:szCs w:val="24"/>
        </w:rPr>
        <w:t xml:space="preserve"> par le programme</w:t>
      </w:r>
      <w:r w:rsidR="001867D3" w:rsidRPr="00FB42E6">
        <w:rPr>
          <w:rFonts w:ascii="Times New Roman" w:hAnsi="Times New Roman"/>
          <w:bCs/>
          <w:sz w:val="24"/>
          <w:szCs w:val="24"/>
        </w:rPr>
        <w:t xml:space="preserve"> à mi-chemin</w:t>
      </w:r>
      <w:r w:rsidRPr="00FB42E6">
        <w:rPr>
          <w:rFonts w:ascii="Times New Roman" w:hAnsi="Times New Roman"/>
          <w:bCs/>
          <w:sz w:val="24"/>
          <w:szCs w:val="24"/>
        </w:rPr>
        <w:t xml:space="preserve">, des difficultés rencontrées, </w:t>
      </w:r>
      <w:r w:rsidR="00303125" w:rsidRPr="00FB42E6">
        <w:rPr>
          <w:rFonts w:ascii="Times New Roman" w:hAnsi="Times New Roman"/>
          <w:bCs/>
          <w:sz w:val="24"/>
          <w:szCs w:val="24"/>
        </w:rPr>
        <w:t xml:space="preserve">et </w:t>
      </w:r>
      <w:r w:rsidRPr="00FB42E6">
        <w:rPr>
          <w:rFonts w:ascii="Times New Roman" w:hAnsi="Times New Roman"/>
          <w:bCs/>
          <w:sz w:val="24"/>
          <w:szCs w:val="24"/>
        </w:rPr>
        <w:t xml:space="preserve">des enseignements </w:t>
      </w:r>
      <w:r w:rsidR="00303125" w:rsidRPr="00FB42E6">
        <w:rPr>
          <w:rFonts w:ascii="Times New Roman" w:hAnsi="Times New Roman"/>
          <w:bCs/>
          <w:sz w:val="24"/>
          <w:szCs w:val="24"/>
        </w:rPr>
        <w:t xml:space="preserve">et </w:t>
      </w:r>
      <w:r w:rsidRPr="00FB42E6">
        <w:rPr>
          <w:rFonts w:ascii="Times New Roman" w:hAnsi="Times New Roman"/>
          <w:bCs/>
          <w:sz w:val="24"/>
          <w:szCs w:val="24"/>
        </w:rPr>
        <w:t>recommandations</w:t>
      </w:r>
      <w:r w:rsidR="00303125" w:rsidRPr="00FB42E6">
        <w:rPr>
          <w:rFonts w:ascii="Times New Roman" w:hAnsi="Times New Roman"/>
          <w:bCs/>
          <w:sz w:val="24"/>
          <w:szCs w:val="24"/>
        </w:rPr>
        <w:t xml:space="preserve"> à en tirer</w:t>
      </w:r>
      <w:r w:rsidRPr="00FB42E6">
        <w:rPr>
          <w:rFonts w:ascii="Times New Roman" w:hAnsi="Times New Roman"/>
          <w:bCs/>
          <w:sz w:val="24"/>
          <w:szCs w:val="24"/>
        </w:rPr>
        <w:t xml:space="preserve"> susceptibles d’aider à mieux aller de l’avant</w:t>
      </w:r>
      <w:r w:rsidR="00BD0165" w:rsidRPr="00FB42E6">
        <w:rPr>
          <w:rFonts w:ascii="Times New Roman" w:hAnsi="Times New Roman"/>
          <w:bCs/>
          <w:sz w:val="24"/>
          <w:szCs w:val="24"/>
        </w:rPr>
        <w:t xml:space="preserve">, notamment </w:t>
      </w:r>
      <w:r w:rsidR="00303125" w:rsidRPr="00FB42E6">
        <w:rPr>
          <w:rFonts w:ascii="Times New Roman" w:hAnsi="Times New Roman"/>
          <w:bCs/>
          <w:sz w:val="24"/>
          <w:szCs w:val="24"/>
        </w:rPr>
        <w:t>dans l</w:t>
      </w:r>
      <w:r w:rsidR="001867D3" w:rsidRPr="00FB42E6">
        <w:rPr>
          <w:rFonts w:ascii="Times New Roman" w:hAnsi="Times New Roman"/>
          <w:bCs/>
          <w:sz w:val="24"/>
          <w:szCs w:val="24"/>
        </w:rPr>
        <w:t xml:space="preserve">a seconde moitié du </w:t>
      </w:r>
      <w:r w:rsidR="00303125" w:rsidRPr="00FB42E6">
        <w:rPr>
          <w:rFonts w:ascii="Times New Roman" w:hAnsi="Times New Roman"/>
          <w:bCs/>
          <w:sz w:val="24"/>
          <w:szCs w:val="24"/>
        </w:rPr>
        <w:t>cycle de programmation</w:t>
      </w:r>
      <w:r w:rsidRPr="00FB42E6">
        <w:rPr>
          <w:rFonts w:ascii="Times New Roman" w:hAnsi="Times New Roman"/>
          <w:bCs/>
          <w:sz w:val="24"/>
          <w:szCs w:val="24"/>
        </w:rPr>
        <w:t>.</w:t>
      </w:r>
    </w:p>
    <w:p w14:paraId="604B5096" w14:textId="77777777" w:rsidR="00BA3DC6" w:rsidRPr="00FB42E6" w:rsidRDefault="00BA3DC6" w:rsidP="005B22B2">
      <w:pPr>
        <w:spacing w:after="0" w:line="240" w:lineRule="auto"/>
        <w:jc w:val="both"/>
        <w:rPr>
          <w:rFonts w:ascii="Times New Roman" w:hAnsi="Times New Roman"/>
          <w:bCs/>
          <w:sz w:val="14"/>
          <w:szCs w:val="14"/>
        </w:rPr>
      </w:pPr>
    </w:p>
    <w:p w14:paraId="604B5097" w14:textId="77777777" w:rsidR="00BA3DC6" w:rsidRPr="00FB42E6" w:rsidRDefault="00BA3DC6" w:rsidP="005B22B2">
      <w:pPr>
        <w:pStyle w:val="Titre2"/>
        <w:numPr>
          <w:ilvl w:val="0"/>
          <w:numId w:val="2"/>
        </w:numPr>
        <w:spacing w:before="0"/>
        <w:rPr>
          <w:rFonts w:ascii="Times New Roman" w:hAnsi="Times New Roman"/>
          <w:color w:val="auto"/>
          <w:sz w:val="24"/>
          <w:szCs w:val="24"/>
        </w:rPr>
      </w:pPr>
      <w:bookmarkStart w:id="21" w:name="_Toc348488279"/>
      <w:bookmarkStart w:id="22" w:name="_Toc355533882"/>
      <w:bookmarkStart w:id="23" w:name="_Toc499211577"/>
      <w:bookmarkStart w:id="24" w:name="_Toc500967830"/>
      <w:bookmarkStart w:id="25" w:name="_Toc500974510"/>
      <w:bookmarkStart w:id="26" w:name="_Toc502863846"/>
      <w:bookmarkStart w:id="27" w:name="_Toc505758453"/>
      <w:bookmarkStart w:id="28" w:name="_Toc506201545"/>
      <w:r w:rsidRPr="00FB42E6">
        <w:rPr>
          <w:rFonts w:ascii="Times New Roman" w:hAnsi="Times New Roman"/>
          <w:color w:val="auto"/>
          <w:sz w:val="24"/>
          <w:szCs w:val="24"/>
        </w:rPr>
        <w:t>Portée</w:t>
      </w:r>
      <w:bookmarkEnd w:id="21"/>
      <w:bookmarkEnd w:id="22"/>
      <w:r w:rsidRPr="00FB42E6">
        <w:rPr>
          <w:rFonts w:ascii="Times New Roman" w:hAnsi="Times New Roman"/>
          <w:color w:val="auto"/>
          <w:sz w:val="24"/>
          <w:szCs w:val="24"/>
        </w:rPr>
        <w:t xml:space="preserve"> de l’évaluation</w:t>
      </w:r>
      <w:bookmarkEnd w:id="23"/>
      <w:bookmarkEnd w:id="24"/>
      <w:bookmarkEnd w:id="25"/>
      <w:bookmarkEnd w:id="26"/>
      <w:bookmarkEnd w:id="27"/>
      <w:bookmarkEnd w:id="28"/>
    </w:p>
    <w:p w14:paraId="604B5098" w14:textId="77777777" w:rsidR="00BA3DC6" w:rsidRPr="00FB42E6" w:rsidRDefault="00BA3DC6" w:rsidP="005B22B2">
      <w:pPr>
        <w:spacing w:after="0" w:line="240" w:lineRule="auto"/>
        <w:jc w:val="both"/>
        <w:rPr>
          <w:rFonts w:ascii="Times New Roman" w:hAnsi="Times New Roman"/>
          <w:bCs/>
          <w:sz w:val="14"/>
          <w:szCs w:val="14"/>
        </w:rPr>
      </w:pPr>
    </w:p>
    <w:p w14:paraId="604B5099" w14:textId="77777777" w:rsidR="00303125" w:rsidRPr="00FB42E6" w:rsidRDefault="00BA3DC6"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2.</w:t>
      </w:r>
      <w:r w:rsidRPr="00FB42E6">
        <w:rPr>
          <w:rFonts w:ascii="Times New Roman" w:hAnsi="Times New Roman"/>
          <w:bCs/>
          <w:sz w:val="24"/>
          <w:szCs w:val="24"/>
        </w:rPr>
        <w:tab/>
        <w:t xml:space="preserve">L’évaluation couvre les </w:t>
      </w:r>
      <w:r w:rsidR="00EE28C2" w:rsidRPr="00FB42E6">
        <w:rPr>
          <w:rFonts w:ascii="Times New Roman" w:hAnsi="Times New Roman"/>
          <w:bCs/>
          <w:sz w:val="24"/>
          <w:szCs w:val="24"/>
        </w:rPr>
        <w:t xml:space="preserve">cinq </w:t>
      </w:r>
      <w:r w:rsidR="004375FA" w:rsidRPr="00FB42E6">
        <w:rPr>
          <w:rFonts w:ascii="Times New Roman" w:hAnsi="Times New Roman"/>
          <w:bCs/>
          <w:sz w:val="24"/>
          <w:szCs w:val="24"/>
        </w:rPr>
        <w:t xml:space="preserve">axes stratégiques </w:t>
      </w:r>
      <w:r w:rsidR="00EE28C2" w:rsidRPr="00FB42E6">
        <w:rPr>
          <w:rFonts w:ascii="Times New Roman" w:hAnsi="Times New Roman"/>
          <w:bCs/>
          <w:sz w:val="24"/>
          <w:szCs w:val="24"/>
        </w:rPr>
        <w:t xml:space="preserve">à travers </w:t>
      </w:r>
      <w:r w:rsidR="00073A5B" w:rsidRPr="00FB42E6">
        <w:rPr>
          <w:rFonts w:ascii="Times New Roman" w:hAnsi="Times New Roman"/>
          <w:bCs/>
          <w:sz w:val="24"/>
          <w:szCs w:val="24"/>
        </w:rPr>
        <w:t xml:space="preserve">lesquels le </w:t>
      </w:r>
      <w:r w:rsidR="0030792A" w:rsidRPr="00FB42E6">
        <w:rPr>
          <w:rFonts w:ascii="Times New Roman" w:hAnsi="Times New Roman"/>
          <w:bCs/>
          <w:sz w:val="24"/>
          <w:szCs w:val="24"/>
        </w:rPr>
        <w:t xml:space="preserve">Système s’est </w:t>
      </w:r>
      <w:r w:rsidR="004375FA" w:rsidRPr="00FB42E6">
        <w:rPr>
          <w:rFonts w:ascii="Times New Roman" w:hAnsi="Times New Roman"/>
          <w:bCs/>
          <w:sz w:val="24"/>
          <w:szCs w:val="24"/>
        </w:rPr>
        <w:t>engag</w:t>
      </w:r>
      <w:r w:rsidR="009C493D" w:rsidRPr="00FB42E6">
        <w:rPr>
          <w:rFonts w:ascii="Times New Roman" w:hAnsi="Times New Roman"/>
          <w:bCs/>
          <w:sz w:val="24"/>
          <w:szCs w:val="24"/>
        </w:rPr>
        <w:t>é à contribuer aux eff</w:t>
      </w:r>
      <w:r w:rsidR="00EE28C2" w:rsidRPr="00FB42E6">
        <w:rPr>
          <w:rFonts w:ascii="Times New Roman" w:hAnsi="Times New Roman"/>
          <w:bCs/>
          <w:sz w:val="24"/>
          <w:szCs w:val="24"/>
        </w:rPr>
        <w:t xml:space="preserve">orts de </w:t>
      </w:r>
      <w:r w:rsidR="0030792A" w:rsidRPr="00FB42E6">
        <w:rPr>
          <w:rFonts w:ascii="Times New Roman" w:hAnsi="Times New Roman"/>
          <w:bCs/>
          <w:sz w:val="24"/>
          <w:szCs w:val="24"/>
        </w:rPr>
        <w:t xml:space="preserve">stabilisation et de </w:t>
      </w:r>
      <w:r w:rsidR="00EE28C2" w:rsidRPr="00FB42E6">
        <w:rPr>
          <w:rFonts w:ascii="Times New Roman" w:hAnsi="Times New Roman"/>
          <w:bCs/>
          <w:sz w:val="24"/>
          <w:szCs w:val="24"/>
        </w:rPr>
        <w:t>développement global du pays</w:t>
      </w:r>
      <w:r w:rsidR="00C51D0D" w:rsidRPr="00FB42E6">
        <w:rPr>
          <w:rFonts w:ascii="Times New Roman" w:hAnsi="Times New Roman"/>
          <w:bCs/>
          <w:sz w:val="24"/>
          <w:szCs w:val="24"/>
        </w:rPr>
        <w:t xml:space="preserve"> : </w:t>
      </w:r>
    </w:p>
    <w:p w14:paraId="604B509A" w14:textId="77777777" w:rsidR="00303125" w:rsidRPr="00FB42E6" w:rsidRDefault="00303125" w:rsidP="005B22B2">
      <w:pPr>
        <w:spacing w:after="0" w:line="240" w:lineRule="auto"/>
        <w:jc w:val="both"/>
        <w:rPr>
          <w:rFonts w:ascii="Times New Roman" w:hAnsi="Times New Roman"/>
          <w:bCs/>
          <w:sz w:val="24"/>
          <w:szCs w:val="24"/>
        </w:rPr>
      </w:pPr>
    </w:p>
    <w:p w14:paraId="604B509B" w14:textId="77777777" w:rsidR="00303125" w:rsidRPr="00FB42E6" w:rsidRDefault="00303125" w:rsidP="0089432A">
      <w:pPr>
        <w:pStyle w:val="Paragraphedeliste"/>
        <w:numPr>
          <w:ilvl w:val="0"/>
          <w:numId w:val="8"/>
        </w:numPr>
        <w:spacing w:after="0" w:line="240" w:lineRule="auto"/>
        <w:jc w:val="both"/>
        <w:rPr>
          <w:rFonts w:ascii="Times New Roman" w:hAnsi="Times New Roman"/>
          <w:bCs/>
          <w:sz w:val="24"/>
          <w:szCs w:val="24"/>
        </w:rPr>
      </w:pPr>
      <w:r w:rsidRPr="00FB42E6">
        <w:rPr>
          <w:rFonts w:ascii="Times New Roman" w:eastAsia="Times New Roman" w:hAnsi="Times New Roman"/>
          <w:bCs/>
          <w:sz w:val="24"/>
          <w:szCs w:val="24"/>
        </w:rPr>
        <w:t>"</w:t>
      </w:r>
      <w:r w:rsidR="0030792A" w:rsidRPr="00FB42E6">
        <w:rPr>
          <w:rFonts w:ascii="Times New Roman" w:eastAsia="Times New Roman" w:hAnsi="Times New Roman"/>
          <w:bCs/>
          <w:i/>
          <w:sz w:val="24"/>
          <w:szCs w:val="24"/>
        </w:rPr>
        <w:t xml:space="preserve">D’ici 2019, la cohésion sociale est facilitée par la justice transitionnelle, le dialogue communautaire inclusif, la culture et l’éducation pour la paix </w:t>
      </w:r>
      <w:r w:rsidRPr="00FB42E6">
        <w:rPr>
          <w:rFonts w:ascii="Times New Roman" w:eastAsia="Times New Roman" w:hAnsi="Times New Roman"/>
          <w:bCs/>
          <w:sz w:val="24"/>
          <w:szCs w:val="24"/>
        </w:rPr>
        <w:t>"</w:t>
      </w:r>
    </w:p>
    <w:p w14:paraId="604B509C" w14:textId="77777777" w:rsidR="00303125" w:rsidRPr="00FB42E6" w:rsidRDefault="00303125" w:rsidP="0089432A">
      <w:pPr>
        <w:pStyle w:val="Paragraphedeliste"/>
        <w:numPr>
          <w:ilvl w:val="0"/>
          <w:numId w:val="8"/>
        </w:numPr>
        <w:spacing w:after="0" w:line="240" w:lineRule="auto"/>
        <w:jc w:val="both"/>
        <w:rPr>
          <w:rFonts w:ascii="Times New Roman" w:hAnsi="Times New Roman"/>
          <w:bCs/>
          <w:sz w:val="24"/>
          <w:szCs w:val="24"/>
        </w:rPr>
      </w:pPr>
      <w:r w:rsidRPr="00FB42E6">
        <w:rPr>
          <w:rFonts w:ascii="Times New Roman" w:eastAsia="Times New Roman" w:hAnsi="Times New Roman"/>
          <w:bCs/>
          <w:sz w:val="24"/>
          <w:szCs w:val="24"/>
        </w:rPr>
        <w:t>"</w:t>
      </w:r>
      <w:r w:rsidR="0030792A" w:rsidRPr="00FB42E6">
        <w:rPr>
          <w:rFonts w:ascii="Times New Roman" w:eastAsia="Times New Roman" w:hAnsi="Times New Roman"/>
          <w:bCs/>
          <w:i/>
          <w:sz w:val="24"/>
          <w:szCs w:val="24"/>
        </w:rPr>
        <w:t>D’ici 2019, la cohésion sociale est facilitée par la justice transitionnelle, le dialogue communautaire inclusif, la culture et l’éducation pour la paix</w:t>
      </w:r>
      <w:r w:rsidR="00EE28C2" w:rsidRPr="00FB42E6">
        <w:rPr>
          <w:rFonts w:ascii="Times New Roman" w:eastAsia="Times New Roman" w:hAnsi="Times New Roman"/>
          <w:bCs/>
          <w:sz w:val="24"/>
          <w:szCs w:val="24"/>
        </w:rPr>
        <w:t>.</w:t>
      </w:r>
      <w:r w:rsidRPr="00FB42E6">
        <w:rPr>
          <w:rFonts w:ascii="Times New Roman" w:eastAsia="Times New Roman" w:hAnsi="Times New Roman"/>
          <w:bCs/>
          <w:sz w:val="24"/>
          <w:szCs w:val="24"/>
        </w:rPr>
        <w:t>"</w:t>
      </w:r>
    </w:p>
    <w:p w14:paraId="604B509D" w14:textId="77777777" w:rsidR="00303125" w:rsidRPr="00FB42E6" w:rsidRDefault="00303125" w:rsidP="0089432A">
      <w:pPr>
        <w:pStyle w:val="Paragraphedeliste"/>
        <w:numPr>
          <w:ilvl w:val="0"/>
          <w:numId w:val="8"/>
        </w:numPr>
        <w:spacing w:after="0" w:line="240" w:lineRule="auto"/>
        <w:jc w:val="both"/>
        <w:rPr>
          <w:rFonts w:ascii="Times New Roman" w:hAnsi="Times New Roman"/>
          <w:bCs/>
          <w:sz w:val="24"/>
          <w:szCs w:val="24"/>
        </w:rPr>
      </w:pPr>
      <w:r w:rsidRPr="00FB42E6">
        <w:rPr>
          <w:rFonts w:ascii="Times New Roman" w:eastAsia="Times New Roman" w:hAnsi="Times New Roman"/>
          <w:bCs/>
          <w:sz w:val="24"/>
          <w:szCs w:val="24"/>
        </w:rPr>
        <w:t>"</w:t>
      </w:r>
      <w:r w:rsidR="0030792A" w:rsidRPr="00FB42E6">
        <w:rPr>
          <w:rFonts w:ascii="Times New Roman" w:eastAsia="Times New Roman" w:hAnsi="Times New Roman"/>
          <w:bCs/>
          <w:i/>
          <w:sz w:val="24"/>
          <w:szCs w:val="24"/>
        </w:rPr>
        <w:t>Les institutions étatiques, nationales et locales, exercent de manière plus efficace leurs missions de service public et les acteurs non étatiques participent et assurent le contrôle citoyen en conformité avec les principes de bonne gouvernance et d’Etat de droit</w:t>
      </w:r>
      <w:r w:rsidR="00EE28C2" w:rsidRPr="00FB42E6">
        <w:rPr>
          <w:rFonts w:ascii="Times New Roman" w:eastAsia="Times New Roman" w:hAnsi="Times New Roman"/>
          <w:bCs/>
          <w:sz w:val="24"/>
          <w:szCs w:val="24"/>
        </w:rPr>
        <w:t>.</w:t>
      </w:r>
      <w:r w:rsidRPr="00FB42E6">
        <w:rPr>
          <w:rFonts w:ascii="Times New Roman" w:eastAsia="Times New Roman" w:hAnsi="Times New Roman"/>
          <w:bCs/>
          <w:sz w:val="24"/>
          <w:szCs w:val="24"/>
        </w:rPr>
        <w:t>"</w:t>
      </w:r>
    </w:p>
    <w:p w14:paraId="604B509E" w14:textId="77777777" w:rsidR="00303125" w:rsidRPr="00FB42E6" w:rsidRDefault="00303125" w:rsidP="0089432A">
      <w:pPr>
        <w:pStyle w:val="Paragraphedeliste"/>
        <w:numPr>
          <w:ilvl w:val="0"/>
          <w:numId w:val="8"/>
        </w:numPr>
        <w:spacing w:after="0" w:line="240" w:lineRule="auto"/>
        <w:jc w:val="both"/>
        <w:rPr>
          <w:rFonts w:ascii="Times New Roman" w:hAnsi="Times New Roman"/>
          <w:bCs/>
          <w:sz w:val="24"/>
          <w:szCs w:val="24"/>
        </w:rPr>
      </w:pPr>
      <w:r w:rsidRPr="00FB42E6">
        <w:rPr>
          <w:rFonts w:ascii="Times New Roman" w:eastAsia="Times New Roman" w:hAnsi="Times New Roman"/>
          <w:bCs/>
          <w:sz w:val="24"/>
          <w:szCs w:val="24"/>
        </w:rPr>
        <w:t>"</w:t>
      </w:r>
      <w:r w:rsidR="0030792A" w:rsidRPr="00FB42E6">
        <w:rPr>
          <w:rFonts w:ascii="Times New Roman" w:eastAsia="Times New Roman" w:hAnsi="Times New Roman"/>
          <w:bCs/>
          <w:i/>
          <w:sz w:val="24"/>
          <w:szCs w:val="24"/>
        </w:rPr>
        <w:t>D’ici 2019, les populations, en particulier les femmes et les enfants les plus vulnérables et celles affectées par les crises, ont un accès accru et équitable et utilisent les SSB de qualité</w:t>
      </w:r>
      <w:r w:rsidRPr="00FB42E6">
        <w:rPr>
          <w:rFonts w:ascii="Times New Roman" w:eastAsia="Times New Roman" w:hAnsi="Times New Roman"/>
          <w:bCs/>
          <w:sz w:val="24"/>
          <w:szCs w:val="24"/>
        </w:rPr>
        <w:t>."</w:t>
      </w:r>
    </w:p>
    <w:p w14:paraId="604B509F" w14:textId="77777777" w:rsidR="00EE28C2" w:rsidRPr="00FB42E6" w:rsidRDefault="00EE28C2" w:rsidP="0089432A">
      <w:pPr>
        <w:pStyle w:val="Paragraphedeliste"/>
        <w:numPr>
          <w:ilvl w:val="0"/>
          <w:numId w:val="8"/>
        </w:numPr>
        <w:spacing w:after="0" w:line="240" w:lineRule="auto"/>
        <w:jc w:val="both"/>
        <w:rPr>
          <w:rFonts w:ascii="Times New Roman" w:hAnsi="Times New Roman"/>
          <w:bCs/>
          <w:sz w:val="24"/>
          <w:szCs w:val="24"/>
        </w:rPr>
      </w:pPr>
      <w:r w:rsidRPr="00FB42E6">
        <w:rPr>
          <w:rFonts w:ascii="Times New Roman" w:eastAsia="Times New Roman" w:hAnsi="Times New Roman"/>
          <w:bCs/>
          <w:sz w:val="24"/>
          <w:szCs w:val="24"/>
        </w:rPr>
        <w:t>"</w:t>
      </w:r>
      <w:r w:rsidR="0030792A" w:rsidRPr="00FB42E6">
        <w:rPr>
          <w:rFonts w:ascii="Times New Roman" w:eastAsia="Times New Roman" w:hAnsi="Times New Roman"/>
          <w:bCs/>
          <w:i/>
          <w:sz w:val="24"/>
          <w:szCs w:val="24"/>
        </w:rPr>
        <w:t>Les populations défavorisées particulièrement les femmes et les jeunes, bénéficient de capacités et d’opportunités productives accrues, dans un environnement sain et durable, favorable à la réduction de la pauvreté</w:t>
      </w:r>
      <w:r w:rsidRPr="00FB42E6">
        <w:rPr>
          <w:rFonts w:ascii="Times New Roman" w:eastAsia="Times New Roman" w:hAnsi="Times New Roman"/>
          <w:bCs/>
          <w:sz w:val="24"/>
          <w:szCs w:val="24"/>
        </w:rPr>
        <w:t>."</w:t>
      </w:r>
    </w:p>
    <w:p w14:paraId="604B50A0" w14:textId="77777777" w:rsidR="00303125" w:rsidRPr="00FB42E6" w:rsidRDefault="00303125" w:rsidP="005B22B2">
      <w:pPr>
        <w:spacing w:after="0" w:line="240" w:lineRule="auto"/>
        <w:jc w:val="both"/>
        <w:rPr>
          <w:rFonts w:ascii="Times New Roman" w:eastAsia="Times New Roman" w:hAnsi="Times New Roman"/>
          <w:bCs/>
          <w:sz w:val="24"/>
          <w:szCs w:val="24"/>
        </w:rPr>
      </w:pPr>
    </w:p>
    <w:p w14:paraId="604B50A1" w14:textId="77777777" w:rsidR="001B6644" w:rsidRPr="00FB42E6" w:rsidRDefault="00A93099"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w:t>
      </w:r>
      <w:r w:rsidR="001B6644" w:rsidRPr="00FB42E6">
        <w:rPr>
          <w:rFonts w:ascii="Times New Roman" w:eastAsia="Times New Roman" w:hAnsi="Times New Roman"/>
          <w:bCs/>
          <w:sz w:val="24"/>
          <w:szCs w:val="24"/>
        </w:rPr>
        <w:t>.</w:t>
      </w:r>
      <w:r w:rsidR="001B6644" w:rsidRPr="00FB42E6">
        <w:rPr>
          <w:rFonts w:ascii="Times New Roman" w:eastAsia="Times New Roman" w:hAnsi="Times New Roman"/>
          <w:bCs/>
          <w:sz w:val="24"/>
          <w:szCs w:val="24"/>
        </w:rPr>
        <w:tab/>
        <w:t>L’évaluation à mi-parcours couvre l’ensemble des cinq Effets-UNDAF</w:t>
      </w:r>
      <w:r w:rsidR="001B6644" w:rsidRPr="00FB42E6">
        <w:rPr>
          <w:rFonts w:ascii="Times New Roman" w:eastAsia="Times New Roman" w:hAnsi="Times New Roman"/>
          <w:bCs/>
          <w:sz w:val="24"/>
          <w:szCs w:val="24"/>
          <w:vertAlign w:val="superscript"/>
        </w:rPr>
        <w:t>+</w:t>
      </w:r>
      <w:r w:rsidR="001B6644" w:rsidRPr="00FB42E6">
        <w:rPr>
          <w:rFonts w:ascii="Times New Roman" w:eastAsia="Times New Roman" w:hAnsi="Times New Roman"/>
          <w:bCs/>
          <w:sz w:val="24"/>
          <w:szCs w:val="24"/>
        </w:rPr>
        <w:t>, et s’inscrit dans le cadre de la satisfaction des exigences de redevabilité du Système des Nations vis-à-vis du Mali, de ses autres partenaires et de lui-même. Elle vise à mesurer la performance du cycle 2015-2019, à travers notamment une analyse de sa pertinence, de son efficacité, de sa durabilité, de son efficience, et de son impact. Elle conduit aussi bien à dégager les leçons apprisses de la mise en œuvre, en vue de leur capitalisation dans le cadre de la deuxième moitié du cycle. L’évaluation aidera aussi bien à réviser le document de programme pour assurer son adaptation aux évolutions intervenues dans le contexte depuis son élaboration intervenue en amont de 2015.</w:t>
      </w:r>
    </w:p>
    <w:p w14:paraId="604B50A2" w14:textId="77777777" w:rsidR="00BA3DC6" w:rsidRPr="00FB42E6" w:rsidRDefault="00BA3DC6" w:rsidP="005B22B2">
      <w:pPr>
        <w:spacing w:after="0" w:line="240" w:lineRule="auto"/>
        <w:jc w:val="both"/>
        <w:rPr>
          <w:rFonts w:ascii="Times New Roman" w:hAnsi="Times New Roman"/>
          <w:bCs/>
          <w:sz w:val="24"/>
          <w:szCs w:val="24"/>
        </w:rPr>
      </w:pPr>
    </w:p>
    <w:p w14:paraId="604B50A3" w14:textId="77777777" w:rsidR="00BA3DC6" w:rsidRPr="00FB42E6" w:rsidRDefault="00BA3DC6" w:rsidP="005B22B2">
      <w:pPr>
        <w:pStyle w:val="Titre2"/>
        <w:numPr>
          <w:ilvl w:val="0"/>
          <w:numId w:val="2"/>
        </w:numPr>
        <w:spacing w:before="0"/>
        <w:rPr>
          <w:rFonts w:ascii="Times New Roman" w:hAnsi="Times New Roman"/>
          <w:color w:val="auto"/>
          <w:sz w:val="24"/>
          <w:szCs w:val="24"/>
        </w:rPr>
      </w:pPr>
      <w:bookmarkStart w:id="29" w:name="_Toc348488280"/>
      <w:bookmarkStart w:id="30" w:name="_Toc355533883"/>
      <w:bookmarkStart w:id="31" w:name="_Toc499211578"/>
      <w:bookmarkStart w:id="32" w:name="_Toc500967831"/>
      <w:bookmarkStart w:id="33" w:name="_Toc500974511"/>
      <w:bookmarkStart w:id="34" w:name="_Toc502863847"/>
      <w:bookmarkStart w:id="35" w:name="_Toc505758454"/>
      <w:bookmarkStart w:id="36" w:name="_Toc506201546"/>
      <w:r w:rsidRPr="00FB42E6">
        <w:rPr>
          <w:rFonts w:ascii="Times New Roman" w:hAnsi="Times New Roman"/>
          <w:color w:val="auto"/>
          <w:sz w:val="24"/>
          <w:szCs w:val="24"/>
        </w:rPr>
        <w:t>Objectifs</w:t>
      </w:r>
      <w:bookmarkEnd w:id="29"/>
      <w:bookmarkEnd w:id="30"/>
      <w:r w:rsidR="00220301" w:rsidRPr="00FB42E6">
        <w:rPr>
          <w:rFonts w:ascii="Times New Roman" w:hAnsi="Times New Roman"/>
          <w:color w:val="auto"/>
          <w:sz w:val="24"/>
          <w:szCs w:val="24"/>
        </w:rPr>
        <w:t xml:space="preserve"> de l’évaluation et questions évaluatives subséquentes</w:t>
      </w:r>
      <w:bookmarkEnd w:id="31"/>
      <w:bookmarkEnd w:id="32"/>
      <w:bookmarkEnd w:id="33"/>
      <w:bookmarkEnd w:id="34"/>
      <w:bookmarkEnd w:id="35"/>
      <w:bookmarkEnd w:id="36"/>
    </w:p>
    <w:p w14:paraId="604B50A4" w14:textId="77777777" w:rsidR="00BA3DC6" w:rsidRPr="00FB42E6" w:rsidRDefault="00BA3DC6" w:rsidP="005B22B2">
      <w:pPr>
        <w:spacing w:after="0" w:line="240" w:lineRule="auto"/>
        <w:jc w:val="both"/>
        <w:rPr>
          <w:rFonts w:ascii="Times New Roman" w:hAnsi="Times New Roman"/>
          <w:bCs/>
          <w:sz w:val="14"/>
          <w:szCs w:val="14"/>
        </w:rPr>
      </w:pPr>
    </w:p>
    <w:p w14:paraId="604B50A5" w14:textId="77777777" w:rsidR="000A6F52" w:rsidRPr="00FB42E6" w:rsidRDefault="00A93099" w:rsidP="009941DA">
      <w:pPr>
        <w:spacing w:after="0" w:line="240" w:lineRule="auto"/>
        <w:jc w:val="both"/>
      </w:pPr>
      <w:r>
        <w:rPr>
          <w:rFonts w:ascii="Times New Roman" w:hAnsi="Times New Roman"/>
          <w:sz w:val="24"/>
          <w:szCs w:val="24"/>
        </w:rPr>
        <w:t>4</w:t>
      </w:r>
      <w:r w:rsidR="001B6644" w:rsidRPr="00FB42E6">
        <w:rPr>
          <w:rFonts w:ascii="Times New Roman" w:hAnsi="Times New Roman"/>
          <w:sz w:val="24"/>
          <w:szCs w:val="24"/>
        </w:rPr>
        <w:t>.</w:t>
      </w:r>
      <w:r w:rsidR="001B6644" w:rsidRPr="00FB42E6">
        <w:rPr>
          <w:rFonts w:ascii="Times New Roman" w:hAnsi="Times New Roman"/>
          <w:sz w:val="24"/>
          <w:szCs w:val="24"/>
        </w:rPr>
        <w:tab/>
        <w:t>Les termes de référence de la mission assignent à l’évaluation l’objectif  de "Dresser un bilan des progrès de la première phase de mise en œuvre du cycle 2015-2019 de l’UNDAF+ pour identifier les forces et les faiblesses, les contraintes, les défis et les opportunités afin de tirer des leçons en vue de réviser en conséquence, si de besoin, l’UNDAF+ pour mieux l’aligner (i) sur les priorités nationales ainsi que définies dans le CREDD 2016-2018, la stratégie de développement du nord, l’accord pour la paix et la réconciliation nationale, et les cibles prioritaires des ODD au Mali ; (ii) sur le m</w:t>
      </w:r>
      <w:r w:rsidR="009941DA">
        <w:rPr>
          <w:rFonts w:ascii="Times New Roman" w:hAnsi="Times New Roman"/>
          <w:sz w:val="24"/>
          <w:szCs w:val="24"/>
        </w:rPr>
        <w:t>andat revu de la MINUSMA et le N</w:t>
      </w:r>
      <w:r w:rsidR="001B6644" w:rsidRPr="00FB42E6">
        <w:rPr>
          <w:rFonts w:ascii="Times New Roman" w:hAnsi="Times New Roman"/>
          <w:sz w:val="24"/>
          <w:szCs w:val="24"/>
        </w:rPr>
        <w:t xml:space="preserve">exus humanitaire et développement ; et (iii) sur l’évolution de l’environnement institutionnel et économique." </w:t>
      </w:r>
      <w:r w:rsidR="001B6644" w:rsidRPr="00FB42E6">
        <w:rPr>
          <w:rFonts w:ascii="Times New Roman" w:hAnsi="Times New Roman"/>
          <w:sz w:val="24"/>
          <w:szCs w:val="24"/>
        </w:rPr>
        <w:lastRenderedPageBreak/>
        <w:t xml:space="preserve">Les thématiques transversales comme le genre, les droits humains, la gestion axée sur les résultats, les changements climatiques, le renforcement des capacités, seront aussi bien d’attention. </w:t>
      </w:r>
      <w:r w:rsidR="009941DA">
        <w:rPr>
          <w:rFonts w:ascii="Times New Roman" w:hAnsi="Times New Roman"/>
          <w:sz w:val="24"/>
          <w:szCs w:val="24"/>
        </w:rPr>
        <w:t>Pour le détail des questions d’évaluation en rapport avec les critères du CAD/OCDE, voir les termes de référence en annexe.</w:t>
      </w:r>
    </w:p>
    <w:p w14:paraId="604B50A6" w14:textId="77777777" w:rsidR="00F10DFB" w:rsidRPr="00FB42E6" w:rsidRDefault="00F10DFB" w:rsidP="005B22B2">
      <w:pPr>
        <w:pStyle w:val="NormalWeb"/>
        <w:rPr>
          <w:b/>
        </w:rPr>
      </w:pPr>
    </w:p>
    <w:p w14:paraId="604B50A7" w14:textId="77777777" w:rsidR="00BA3DC6" w:rsidRPr="00FB42E6" w:rsidRDefault="00BA3DC6" w:rsidP="005B22B2">
      <w:pPr>
        <w:pStyle w:val="Titre2"/>
        <w:numPr>
          <w:ilvl w:val="0"/>
          <w:numId w:val="2"/>
        </w:numPr>
        <w:spacing w:before="0"/>
        <w:rPr>
          <w:color w:val="auto"/>
        </w:rPr>
      </w:pPr>
      <w:bookmarkStart w:id="37" w:name="_Toc244316699"/>
      <w:bookmarkStart w:id="38" w:name="_Toc323037167"/>
      <w:bookmarkStart w:id="39" w:name="_Toc344485708"/>
      <w:bookmarkStart w:id="40" w:name="_Toc348488282"/>
      <w:bookmarkStart w:id="41" w:name="_Toc355533885"/>
      <w:bookmarkStart w:id="42" w:name="_Toc499211579"/>
      <w:bookmarkStart w:id="43" w:name="_Toc500967832"/>
      <w:bookmarkStart w:id="44" w:name="_Toc500974512"/>
      <w:bookmarkStart w:id="45" w:name="_Toc502863848"/>
      <w:bookmarkStart w:id="46" w:name="_Toc505758455"/>
      <w:bookmarkStart w:id="47" w:name="_Toc506201547"/>
      <w:r w:rsidRPr="00FB42E6">
        <w:rPr>
          <w:color w:val="auto"/>
        </w:rPr>
        <w:t>Méthodologie</w:t>
      </w:r>
      <w:bookmarkEnd w:id="37"/>
      <w:bookmarkEnd w:id="38"/>
      <w:bookmarkEnd w:id="39"/>
      <w:bookmarkEnd w:id="40"/>
      <w:bookmarkEnd w:id="41"/>
      <w:bookmarkEnd w:id="42"/>
      <w:bookmarkEnd w:id="43"/>
      <w:bookmarkEnd w:id="44"/>
      <w:bookmarkEnd w:id="45"/>
      <w:bookmarkEnd w:id="46"/>
      <w:bookmarkEnd w:id="47"/>
    </w:p>
    <w:p w14:paraId="604B50A8" w14:textId="77777777" w:rsidR="00BA3DC6" w:rsidRPr="00FB42E6" w:rsidRDefault="00BA3DC6" w:rsidP="005B22B2">
      <w:pPr>
        <w:spacing w:after="0" w:line="240" w:lineRule="auto"/>
        <w:jc w:val="both"/>
        <w:rPr>
          <w:rFonts w:ascii="Times New Roman" w:hAnsi="Times New Roman"/>
          <w:bCs/>
          <w:sz w:val="24"/>
          <w:szCs w:val="24"/>
        </w:rPr>
      </w:pPr>
    </w:p>
    <w:p w14:paraId="604B50A9" w14:textId="77777777" w:rsidR="00BA3DC6" w:rsidRPr="00FB42E6" w:rsidRDefault="0002348F"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5</w:t>
      </w:r>
      <w:r w:rsidR="00BA3DC6" w:rsidRPr="00FB42E6">
        <w:rPr>
          <w:rFonts w:ascii="Times New Roman" w:hAnsi="Times New Roman"/>
          <w:bCs/>
          <w:sz w:val="24"/>
          <w:szCs w:val="24"/>
        </w:rPr>
        <w:t>.</w:t>
      </w:r>
      <w:r w:rsidR="00BA3DC6" w:rsidRPr="00FB42E6">
        <w:rPr>
          <w:rFonts w:ascii="Times New Roman" w:hAnsi="Times New Roman"/>
          <w:bCs/>
          <w:sz w:val="24"/>
          <w:szCs w:val="24"/>
        </w:rPr>
        <w:tab/>
        <w:t>La méthodologie utilisée est articulée autour d’une revue documentaire, d’entretiens</w:t>
      </w:r>
      <w:r w:rsidR="001B1A2B" w:rsidRPr="00FB42E6">
        <w:rPr>
          <w:rFonts w:ascii="Times New Roman" w:hAnsi="Times New Roman"/>
          <w:bCs/>
          <w:sz w:val="24"/>
          <w:szCs w:val="24"/>
        </w:rPr>
        <w:t xml:space="preserve"> </w:t>
      </w:r>
      <w:r w:rsidR="00BA3DC6" w:rsidRPr="00FB42E6">
        <w:rPr>
          <w:rFonts w:ascii="Times New Roman" w:hAnsi="Times New Roman"/>
          <w:bCs/>
          <w:sz w:val="24"/>
          <w:szCs w:val="24"/>
        </w:rPr>
        <w:t>avec les parties prenantes au programme</w:t>
      </w:r>
      <w:r w:rsidR="00220301" w:rsidRPr="00FB42E6">
        <w:rPr>
          <w:rFonts w:ascii="Times New Roman" w:hAnsi="Times New Roman"/>
          <w:bCs/>
          <w:sz w:val="24"/>
          <w:szCs w:val="24"/>
        </w:rPr>
        <w:t xml:space="preserve"> </w:t>
      </w:r>
      <w:r w:rsidR="00BA3DC6" w:rsidRPr="00FB42E6">
        <w:rPr>
          <w:rFonts w:ascii="Times New Roman" w:hAnsi="Times New Roman"/>
          <w:bCs/>
          <w:sz w:val="24"/>
          <w:szCs w:val="24"/>
        </w:rPr>
        <w:t xml:space="preserve">(Partie nationale - institutionnels et bénéficiaires directs -, </w:t>
      </w:r>
      <w:r w:rsidR="00BA36D9" w:rsidRPr="00FB42E6">
        <w:rPr>
          <w:rFonts w:ascii="Times New Roman" w:hAnsi="Times New Roman"/>
          <w:bCs/>
          <w:sz w:val="24"/>
          <w:szCs w:val="24"/>
        </w:rPr>
        <w:t xml:space="preserve">Agences du Système au </w:t>
      </w:r>
      <w:r w:rsidR="000A6F52" w:rsidRPr="00FB42E6">
        <w:rPr>
          <w:rFonts w:ascii="Times New Roman" w:hAnsi="Times New Roman"/>
          <w:bCs/>
          <w:sz w:val="24"/>
          <w:szCs w:val="24"/>
        </w:rPr>
        <w:t>Mali</w:t>
      </w:r>
      <w:r w:rsidR="00BA3DC6" w:rsidRPr="00FB42E6">
        <w:rPr>
          <w:rFonts w:ascii="Times New Roman" w:hAnsi="Times New Roman"/>
          <w:bCs/>
          <w:sz w:val="24"/>
          <w:szCs w:val="24"/>
        </w:rPr>
        <w:t>, société civile, notamment),</w:t>
      </w:r>
      <w:r w:rsidR="001B1A2B" w:rsidRPr="00FB42E6">
        <w:rPr>
          <w:rFonts w:ascii="Times New Roman" w:hAnsi="Times New Roman"/>
          <w:bCs/>
          <w:sz w:val="24"/>
          <w:szCs w:val="24"/>
        </w:rPr>
        <w:t xml:space="preserve"> </w:t>
      </w:r>
      <w:r w:rsidR="00BA3DC6" w:rsidRPr="00FB42E6">
        <w:rPr>
          <w:rFonts w:ascii="Times New Roman" w:hAnsi="Times New Roman"/>
          <w:bCs/>
          <w:sz w:val="24"/>
          <w:szCs w:val="24"/>
        </w:rPr>
        <w:t>(voir en Annexe liste exhaustive des sources de données primaires).</w:t>
      </w:r>
    </w:p>
    <w:p w14:paraId="604B50AA" w14:textId="77777777" w:rsidR="00BA3DC6" w:rsidRPr="00FB42E6" w:rsidRDefault="00BA3DC6" w:rsidP="005B22B2">
      <w:pPr>
        <w:spacing w:after="0" w:line="240" w:lineRule="auto"/>
        <w:jc w:val="both"/>
        <w:rPr>
          <w:rFonts w:ascii="Times New Roman" w:hAnsi="Times New Roman"/>
          <w:bCs/>
          <w:sz w:val="14"/>
          <w:szCs w:val="14"/>
        </w:rPr>
      </w:pPr>
    </w:p>
    <w:p w14:paraId="604B50AB" w14:textId="77777777" w:rsidR="00BA3DC6" w:rsidRPr="00FB42E6" w:rsidRDefault="00BA3DC6" w:rsidP="005B22B2">
      <w:pPr>
        <w:pStyle w:val="Titre3"/>
        <w:numPr>
          <w:ilvl w:val="1"/>
          <w:numId w:val="2"/>
        </w:numPr>
        <w:spacing w:before="0" w:line="240" w:lineRule="auto"/>
        <w:rPr>
          <w:rFonts w:ascii="Times New Roman" w:hAnsi="Times New Roman"/>
          <w:color w:val="auto"/>
          <w:sz w:val="24"/>
          <w:szCs w:val="24"/>
        </w:rPr>
      </w:pPr>
      <w:bookmarkStart w:id="48" w:name="_Toc348488283"/>
      <w:bookmarkStart w:id="49" w:name="_Toc355533886"/>
      <w:bookmarkStart w:id="50" w:name="_Toc499211580"/>
      <w:bookmarkStart w:id="51" w:name="_Toc500967833"/>
      <w:bookmarkStart w:id="52" w:name="_Toc500974513"/>
      <w:bookmarkStart w:id="53" w:name="_Toc502863849"/>
      <w:bookmarkStart w:id="54" w:name="_Toc505758456"/>
      <w:bookmarkStart w:id="55" w:name="_Toc506201548"/>
      <w:r w:rsidRPr="00FB42E6">
        <w:rPr>
          <w:rFonts w:ascii="Times New Roman" w:hAnsi="Times New Roman"/>
          <w:color w:val="auto"/>
          <w:sz w:val="24"/>
          <w:szCs w:val="24"/>
        </w:rPr>
        <w:t>Revue documentaire</w:t>
      </w:r>
      <w:bookmarkEnd w:id="48"/>
      <w:bookmarkEnd w:id="49"/>
      <w:bookmarkEnd w:id="50"/>
      <w:bookmarkEnd w:id="51"/>
      <w:bookmarkEnd w:id="52"/>
      <w:bookmarkEnd w:id="53"/>
      <w:bookmarkEnd w:id="54"/>
      <w:bookmarkEnd w:id="55"/>
    </w:p>
    <w:p w14:paraId="604B50AC" w14:textId="77777777" w:rsidR="00BA3DC6" w:rsidRPr="00FB42E6" w:rsidRDefault="00BA3DC6" w:rsidP="005B22B2">
      <w:pPr>
        <w:spacing w:after="0" w:line="240" w:lineRule="auto"/>
        <w:jc w:val="both"/>
        <w:rPr>
          <w:rFonts w:ascii="Times New Roman" w:hAnsi="Times New Roman"/>
          <w:bCs/>
          <w:sz w:val="24"/>
          <w:szCs w:val="24"/>
        </w:rPr>
      </w:pPr>
    </w:p>
    <w:p w14:paraId="604B50AD" w14:textId="77777777" w:rsidR="00BA3DC6" w:rsidRPr="00FB42E6" w:rsidRDefault="0002348F"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6</w:t>
      </w:r>
      <w:r w:rsidR="00BA3DC6" w:rsidRPr="00FB42E6">
        <w:rPr>
          <w:rFonts w:ascii="Times New Roman" w:hAnsi="Times New Roman"/>
          <w:bCs/>
          <w:sz w:val="24"/>
          <w:szCs w:val="24"/>
        </w:rPr>
        <w:t>.</w:t>
      </w:r>
      <w:r w:rsidR="00BA3DC6" w:rsidRPr="00FB42E6">
        <w:rPr>
          <w:rFonts w:ascii="Times New Roman" w:hAnsi="Times New Roman"/>
          <w:bCs/>
          <w:sz w:val="24"/>
          <w:szCs w:val="24"/>
        </w:rPr>
        <w:tab/>
        <w:t>La revue documentaire, dont l</w:t>
      </w:r>
      <w:r w:rsidR="00073A5B" w:rsidRPr="00FB42E6">
        <w:rPr>
          <w:rFonts w:ascii="Times New Roman" w:hAnsi="Times New Roman"/>
          <w:bCs/>
          <w:sz w:val="24"/>
          <w:szCs w:val="24"/>
        </w:rPr>
        <w:t>e s</w:t>
      </w:r>
      <w:r w:rsidR="00BA3DC6" w:rsidRPr="00FB42E6">
        <w:rPr>
          <w:rFonts w:ascii="Times New Roman" w:hAnsi="Times New Roman"/>
          <w:bCs/>
          <w:sz w:val="24"/>
          <w:szCs w:val="24"/>
        </w:rPr>
        <w:t>upport est versé aux Annexes de ce rapport, a porté sur les ressources ci-dessous, notamment :</w:t>
      </w:r>
    </w:p>
    <w:p w14:paraId="604B50AE" w14:textId="77777777" w:rsidR="00FC6530" w:rsidRPr="00FB42E6" w:rsidRDefault="00FC6530" w:rsidP="005B22B2">
      <w:pPr>
        <w:spacing w:after="0" w:line="240" w:lineRule="auto"/>
        <w:jc w:val="both"/>
        <w:rPr>
          <w:rFonts w:ascii="Times New Roman" w:hAnsi="Times New Roman"/>
          <w:bCs/>
          <w:sz w:val="24"/>
          <w:szCs w:val="24"/>
        </w:rPr>
      </w:pPr>
    </w:p>
    <w:p w14:paraId="604B50AF" w14:textId="77777777" w:rsidR="00FC6530" w:rsidRPr="00FB42E6" w:rsidRDefault="00FC6530" w:rsidP="0089432A">
      <w:pPr>
        <w:numPr>
          <w:ilvl w:val="0"/>
          <w:numId w:val="15"/>
        </w:numPr>
        <w:spacing w:after="0" w:line="240" w:lineRule="auto"/>
        <w:jc w:val="both"/>
        <w:rPr>
          <w:rFonts w:ascii="Times New Roman" w:hAnsi="Times New Roman"/>
          <w:b/>
          <w:bCs/>
          <w:sz w:val="24"/>
          <w:szCs w:val="24"/>
        </w:rPr>
      </w:pPr>
      <w:r w:rsidRPr="00FB42E6">
        <w:rPr>
          <w:rFonts w:ascii="Times New Roman" w:hAnsi="Times New Roman"/>
          <w:b/>
          <w:bCs/>
          <w:sz w:val="24"/>
          <w:szCs w:val="24"/>
        </w:rPr>
        <w:t>Documents contextuels</w:t>
      </w:r>
    </w:p>
    <w:p w14:paraId="604B50B0" w14:textId="77777777" w:rsidR="00FC6530" w:rsidRPr="00FB42E6" w:rsidRDefault="00FC6530" w:rsidP="0089432A">
      <w:pPr>
        <w:numPr>
          <w:ilvl w:val="0"/>
          <w:numId w:val="9"/>
        </w:numPr>
        <w:spacing w:after="0" w:line="240" w:lineRule="auto"/>
        <w:jc w:val="both"/>
        <w:rPr>
          <w:rFonts w:ascii="Times New Roman" w:hAnsi="Times New Roman"/>
          <w:bCs/>
          <w:sz w:val="24"/>
          <w:szCs w:val="24"/>
        </w:rPr>
      </w:pPr>
      <w:r w:rsidRPr="00FB42E6">
        <w:rPr>
          <w:rFonts w:ascii="Times New Roman" w:hAnsi="Times New Roman"/>
          <w:bCs/>
          <w:sz w:val="24"/>
          <w:szCs w:val="24"/>
        </w:rPr>
        <w:t>Pays : PRED 2013-2014, CSCRP (2012-2017), PAG (2013-2018), PDARN, APRM Juin 2014, CREDD 2016-2018, Rapports de revue annuelle du CREDD</w:t>
      </w:r>
    </w:p>
    <w:p w14:paraId="604B50B1" w14:textId="77777777" w:rsidR="00FC6530" w:rsidRPr="00FB42E6" w:rsidRDefault="00FC6530" w:rsidP="0089432A">
      <w:pPr>
        <w:numPr>
          <w:ilvl w:val="0"/>
          <w:numId w:val="9"/>
        </w:numPr>
        <w:spacing w:after="0" w:line="240" w:lineRule="auto"/>
        <w:jc w:val="both"/>
        <w:rPr>
          <w:rFonts w:ascii="Times New Roman" w:hAnsi="Times New Roman"/>
          <w:bCs/>
          <w:sz w:val="24"/>
          <w:szCs w:val="24"/>
        </w:rPr>
      </w:pPr>
      <w:r w:rsidRPr="00FB42E6">
        <w:rPr>
          <w:rFonts w:ascii="Times New Roman" w:hAnsi="Times New Roman"/>
          <w:bCs/>
          <w:sz w:val="24"/>
          <w:szCs w:val="24"/>
        </w:rPr>
        <w:t>SNU : Plans Stratégiques corporate des Agences</w:t>
      </w:r>
    </w:p>
    <w:p w14:paraId="604B50B2" w14:textId="77777777" w:rsidR="00FC6530" w:rsidRPr="00FB42E6" w:rsidRDefault="00FC6530" w:rsidP="0089432A">
      <w:pPr>
        <w:numPr>
          <w:ilvl w:val="0"/>
          <w:numId w:val="15"/>
        </w:numPr>
        <w:spacing w:after="0" w:line="240" w:lineRule="auto"/>
        <w:jc w:val="both"/>
        <w:rPr>
          <w:rFonts w:ascii="Times New Roman" w:hAnsi="Times New Roman"/>
          <w:b/>
          <w:bCs/>
          <w:sz w:val="24"/>
          <w:szCs w:val="24"/>
        </w:rPr>
      </w:pPr>
      <w:r w:rsidRPr="00FB42E6">
        <w:rPr>
          <w:rFonts w:ascii="Times New Roman" w:hAnsi="Times New Roman"/>
          <w:b/>
          <w:bCs/>
          <w:sz w:val="24"/>
          <w:szCs w:val="24"/>
        </w:rPr>
        <w:t>Documents du Programme</w:t>
      </w:r>
    </w:p>
    <w:p w14:paraId="604B50B3" w14:textId="77777777" w:rsidR="00FC6530" w:rsidRPr="00FB42E6" w:rsidRDefault="00FC6530" w:rsidP="0089432A">
      <w:pPr>
        <w:numPr>
          <w:ilvl w:val="0"/>
          <w:numId w:val="10"/>
        </w:numPr>
        <w:spacing w:after="0" w:line="240" w:lineRule="auto"/>
        <w:jc w:val="both"/>
        <w:rPr>
          <w:rFonts w:ascii="Times New Roman" w:hAnsi="Times New Roman"/>
          <w:bCs/>
          <w:sz w:val="24"/>
          <w:szCs w:val="24"/>
        </w:rPr>
      </w:pPr>
      <w:r w:rsidRPr="00FB42E6">
        <w:rPr>
          <w:rFonts w:ascii="Times New Roman" w:hAnsi="Times New Roman"/>
          <w:bCs/>
          <w:sz w:val="24"/>
          <w:szCs w:val="24"/>
        </w:rPr>
        <w:t>Documents de programmation :</w:t>
      </w:r>
    </w:p>
    <w:p w14:paraId="604B50B4" w14:textId="77777777" w:rsidR="00FC6530" w:rsidRPr="00FB42E6" w:rsidRDefault="00FC6530" w:rsidP="0089432A">
      <w:pPr>
        <w:numPr>
          <w:ilvl w:val="0"/>
          <w:numId w:val="11"/>
        </w:numPr>
        <w:spacing w:after="0" w:line="240" w:lineRule="auto"/>
        <w:jc w:val="both"/>
        <w:rPr>
          <w:rFonts w:ascii="Times New Roman" w:hAnsi="Times New Roman"/>
          <w:bCs/>
          <w:sz w:val="24"/>
          <w:szCs w:val="24"/>
        </w:rPr>
      </w:pPr>
      <w:r w:rsidRPr="00FB42E6">
        <w:rPr>
          <w:rFonts w:ascii="Times New Roman" w:hAnsi="Times New Roman"/>
          <w:bCs/>
          <w:sz w:val="24"/>
          <w:szCs w:val="24"/>
        </w:rPr>
        <w:t>PRODOC/UNDAF 2015-2019</w:t>
      </w:r>
    </w:p>
    <w:p w14:paraId="604B50B5" w14:textId="77777777" w:rsidR="00FC6530" w:rsidRPr="00FB42E6" w:rsidRDefault="00FC6530" w:rsidP="0089432A">
      <w:pPr>
        <w:numPr>
          <w:ilvl w:val="0"/>
          <w:numId w:val="11"/>
        </w:numPr>
        <w:spacing w:after="0" w:line="240" w:lineRule="auto"/>
        <w:jc w:val="both"/>
        <w:rPr>
          <w:rFonts w:ascii="Times New Roman" w:hAnsi="Times New Roman"/>
          <w:bCs/>
          <w:sz w:val="24"/>
          <w:szCs w:val="24"/>
        </w:rPr>
      </w:pPr>
      <w:r w:rsidRPr="00FB42E6">
        <w:rPr>
          <w:rFonts w:ascii="Times New Roman" w:hAnsi="Times New Roman"/>
          <w:bCs/>
          <w:sz w:val="24"/>
          <w:szCs w:val="24"/>
        </w:rPr>
        <w:t>CPD/Agences ; cycle 2015-19</w:t>
      </w:r>
    </w:p>
    <w:p w14:paraId="604B50B6" w14:textId="77777777" w:rsidR="00FC6530" w:rsidRPr="00FB42E6" w:rsidRDefault="00FC6530" w:rsidP="0089432A">
      <w:pPr>
        <w:numPr>
          <w:ilvl w:val="0"/>
          <w:numId w:val="11"/>
        </w:numPr>
        <w:spacing w:after="0" w:line="240" w:lineRule="auto"/>
        <w:jc w:val="both"/>
        <w:rPr>
          <w:rFonts w:ascii="Times New Roman" w:hAnsi="Times New Roman"/>
          <w:bCs/>
          <w:sz w:val="24"/>
          <w:szCs w:val="24"/>
        </w:rPr>
      </w:pPr>
      <w:r w:rsidRPr="00FB42E6">
        <w:rPr>
          <w:rFonts w:ascii="Times New Roman" w:hAnsi="Times New Roman"/>
          <w:bCs/>
          <w:sz w:val="24"/>
          <w:szCs w:val="24"/>
        </w:rPr>
        <w:t>Plans de travail : projets et programmes conjoints et ou d’agences</w:t>
      </w:r>
    </w:p>
    <w:p w14:paraId="604B50B7" w14:textId="77777777" w:rsidR="00FC6530" w:rsidRPr="00FB42E6" w:rsidRDefault="00FC6530" w:rsidP="0089432A">
      <w:pPr>
        <w:numPr>
          <w:ilvl w:val="0"/>
          <w:numId w:val="12"/>
        </w:numPr>
        <w:spacing w:after="0" w:line="240" w:lineRule="auto"/>
        <w:jc w:val="both"/>
        <w:rPr>
          <w:rFonts w:ascii="Times New Roman" w:hAnsi="Times New Roman"/>
          <w:bCs/>
          <w:sz w:val="24"/>
          <w:szCs w:val="24"/>
        </w:rPr>
      </w:pPr>
      <w:r w:rsidRPr="00FB42E6">
        <w:rPr>
          <w:rFonts w:ascii="Times New Roman" w:hAnsi="Times New Roman"/>
          <w:bCs/>
          <w:sz w:val="24"/>
          <w:szCs w:val="24"/>
        </w:rPr>
        <w:t>Documents d’exécution</w:t>
      </w:r>
    </w:p>
    <w:p w14:paraId="604B50B8" w14:textId="77777777" w:rsidR="00FC6530" w:rsidRPr="00FB42E6" w:rsidRDefault="00FC6530" w:rsidP="0089432A">
      <w:pPr>
        <w:numPr>
          <w:ilvl w:val="0"/>
          <w:numId w:val="14"/>
        </w:numPr>
        <w:spacing w:after="0" w:line="240" w:lineRule="auto"/>
        <w:jc w:val="both"/>
        <w:rPr>
          <w:rFonts w:ascii="Times New Roman" w:hAnsi="Times New Roman"/>
          <w:bCs/>
          <w:sz w:val="24"/>
          <w:szCs w:val="24"/>
        </w:rPr>
      </w:pPr>
      <w:r w:rsidRPr="00FB42E6">
        <w:rPr>
          <w:rFonts w:ascii="Times New Roman" w:hAnsi="Times New Roman"/>
          <w:bCs/>
          <w:sz w:val="24"/>
          <w:szCs w:val="24"/>
        </w:rPr>
        <w:t>Rapports annuels et d’évaluation de projets et programmes Agences</w:t>
      </w:r>
    </w:p>
    <w:p w14:paraId="604B50B9" w14:textId="77777777" w:rsidR="00FC6530" w:rsidRPr="00FB42E6" w:rsidRDefault="00FC6530" w:rsidP="0089432A">
      <w:pPr>
        <w:numPr>
          <w:ilvl w:val="0"/>
          <w:numId w:val="14"/>
        </w:numPr>
        <w:spacing w:after="0" w:line="240" w:lineRule="auto"/>
        <w:jc w:val="both"/>
        <w:rPr>
          <w:rFonts w:ascii="Times New Roman" w:hAnsi="Times New Roman"/>
          <w:bCs/>
          <w:sz w:val="24"/>
          <w:szCs w:val="24"/>
        </w:rPr>
      </w:pPr>
      <w:r w:rsidRPr="00FB42E6">
        <w:rPr>
          <w:rFonts w:ascii="Times New Roman" w:hAnsi="Times New Roman"/>
          <w:bCs/>
          <w:sz w:val="24"/>
          <w:szCs w:val="24"/>
        </w:rPr>
        <w:t>Rapports d’évaluation Agences : CPD et Programmes de coopération : cycle 2015-19</w:t>
      </w:r>
    </w:p>
    <w:p w14:paraId="604B50BA" w14:textId="77777777" w:rsidR="00FC6530" w:rsidRPr="00FB42E6" w:rsidRDefault="00FC6530" w:rsidP="0089432A">
      <w:pPr>
        <w:numPr>
          <w:ilvl w:val="0"/>
          <w:numId w:val="13"/>
        </w:numPr>
        <w:spacing w:after="0" w:line="240" w:lineRule="auto"/>
        <w:jc w:val="both"/>
        <w:rPr>
          <w:rFonts w:ascii="Times New Roman" w:hAnsi="Times New Roman"/>
          <w:bCs/>
          <w:sz w:val="24"/>
          <w:szCs w:val="24"/>
        </w:rPr>
      </w:pPr>
      <w:r w:rsidRPr="00FB42E6">
        <w:rPr>
          <w:rFonts w:ascii="Times New Roman" w:hAnsi="Times New Roman"/>
          <w:bCs/>
          <w:sz w:val="24"/>
          <w:szCs w:val="24"/>
        </w:rPr>
        <w:t xml:space="preserve">Rapports annuels des Agences ; cycle 2015-19 </w:t>
      </w:r>
    </w:p>
    <w:p w14:paraId="604B50BB" w14:textId="77777777" w:rsidR="00FC6530" w:rsidRPr="00FB42E6" w:rsidRDefault="00FC6530" w:rsidP="0089432A">
      <w:pPr>
        <w:numPr>
          <w:ilvl w:val="0"/>
          <w:numId w:val="13"/>
        </w:numPr>
        <w:spacing w:after="0" w:line="240" w:lineRule="auto"/>
        <w:jc w:val="both"/>
        <w:rPr>
          <w:rFonts w:ascii="Times New Roman" w:hAnsi="Times New Roman"/>
          <w:bCs/>
          <w:sz w:val="24"/>
          <w:szCs w:val="24"/>
        </w:rPr>
      </w:pPr>
      <w:r w:rsidRPr="00FB42E6">
        <w:rPr>
          <w:rFonts w:ascii="Times New Roman" w:hAnsi="Times New Roman"/>
          <w:bCs/>
          <w:sz w:val="24"/>
          <w:szCs w:val="24"/>
        </w:rPr>
        <w:t>Rapports d’études thématiques</w:t>
      </w:r>
    </w:p>
    <w:p w14:paraId="604B50BC" w14:textId="77777777" w:rsidR="00FC6530" w:rsidRPr="00FB42E6" w:rsidRDefault="00FC6530" w:rsidP="005B22B2">
      <w:pPr>
        <w:spacing w:after="0" w:line="240" w:lineRule="auto"/>
        <w:jc w:val="both"/>
        <w:rPr>
          <w:rFonts w:ascii="Times New Roman" w:hAnsi="Times New Roman"/>
          <w:bCs/>
          <w:sz w:val="24"/>
          <w:szCs w:val="24"/>
        </w:rPr>
      </w:pPr>
    </w:p>
    <w:p w14:paraId="604B50BD" w14:textId="77777777" w:rsidR="00BA3DC6" w:rsidRPr="00FB42E6" w:rsidRDefault="0002348F"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7</w:t>
      </w:r>
      <w:r w:rsidR="00BA3DC6" w:rsidRPr="00FB42E6">
        <w:rPr>
          <w:rFonts w:ascii="Times New Roman" w:hAnsi="Times New Roman"/>
          <w:bCs/>
          <w:sz w:val="24"/>
          <w:szCs w:val="24"/>
        </w:rPr>
        <w:t>.</w:t>
      </w:r>
      <w:r w:rsidR="00BA3DC6" w:rsidRPr="00FB42E6">
        <w:rPr>
          <w:rFonts w:ascii="Times New Roman" w:hAnsi="Times New Roman"/>
          <w:bCs/>
          <w:sz w:val="24"/>
          <w:szCs w:val="24"/>
        </w:rPr>
        <w:tab/>
        <w:t>L</w:t>
      </w:r>
      <w:r w:rsidR="005F4C9A" w:rsidRPr="00FB42E6">
        <w:rPr>
          <w:rFonts w:ascii="Times New Roman" w:hAnsi="Times New Roman"/>
          <w:bCs/>
          <w:sz w:val="24"/>
          <w:szCs w:val="24"/>
        </w:rPr>
        <w:t>’exploitation des documents</w:t>
      </w:r>
      <w:r w:rsidR="00BA3DC6" w:rsidRPr="00FB42E6">
        <w:rPr>
          <w:rFonts w:ascii="Times New Roman" w:hAnsi="Times New Roman"/>
          <w:bCs/>
          <w:sz w:val="24"/>
          <w:szCs w:val="24"/>
        </w:rPr>
        <w:t xml:space="preserve"> a permis de construire une première visibilité sur la programmation et son opérationnalisation. Elle a conduit à affiner la méthodologie et les outils d’évaluation</w:t>
      </w:r>
      <w:r w:rsidR="001B1A2B" w:rsidRPr="00FB42E6">
        <w:rPr>
          <w:rFonts w:ascii="Times New Roman" w:hAnsi="Times New Roman"/>
          <w:bCs/>
          <w:sz w:val="24"/>
          <w:szCs w:val="24"/>
        </w:rPr>
        <w:t xml:space="preserve">, le tout acté dans un </w:t>
      </w:r>
      <w:r w:rsidR="00EF5143" w:rsidRPr="00FB42E6">
        <w:rPr>
          <w:rFonts w:ascii="Times New Roman" w:hAnsi="Times New Roman"/>
          <w:bCs/>
          <w:sz w:val="24"/>
          <w:szCs w:val="24"/>
        </w:rPr>
        <w:t xml:space="preserve">Rapport initial </w:t>
      </w:r>
      <w:r w:rsidR="001B1A2B" w:rsidRPr="00FB42E6">
        <w:rPr>
          <w:rFonts w:ascii="Times New Roman" w:hAnsi="Times New Roman"/>
          <w:bCs/>
          <w:sz w:val="24"/>
          <w:szCs w:val="24"/>
        </w:rPr>
        <w:t xml:space="preserve">qui est le premier livrable </w:t>
      </w:r>
      <w:r w:rsidR="00EF5143" w:rsidRPr="00FB42E6">
        <w:rPr>
          <w:rFonts w:ascii="Times New Roman" w:hAnsi="Times New Roman"/>
          <w:bCs/>
          <w:sz w:val="24"/>
          <w:szCs w:val="24"/>
        </w:rPr>
        <w:t>de</w:t>
      </w:r>
      <w:r w:rsidR="00BA3DC6" w:rsidRPr="00FB42E6">
        <w:rPr>
          <w:rFonts w:ascii="Times New Roman" w:hAnsi="Times New Roman"/>
          <w:bCs/>
          <w:sz w:val="24"/>
          <w:szCs w:val="24"/>
        </w:rPr>
        <w:t xml:space="preserve"> </w:t>
      </w:r>
      <w:r w:rsidR="001B1A2B" w:rsidRPr="00FB42E6">
        <w:rPr>
          <w:rFonts w:ascii="Times New Roman" w:hAnsi="Times New Roman"/>
          <w:bCs/>
          <w:sz w:val="24"/>
          <w:szCs w:val="24"/>
        </w:rPr>
        <w:t xml:space="preserve">la </w:t>
      </w:r>
      <w:r w:rsidR="00BA3DC6" w:rsidRPr="00FB42E6">
        <w:rPr>
          <w:rFonts w:ascii="Times New Roman" w:hAnsi="Times New Roman"/>
          <w:bCs/>
          <w:sz w:val="24"/>
          <w:szCs w:val="24"/>
        </w:rPr>
        <w:t>mission.</w:t>
      </w:r>
    </w:p>
    <w:p w14:paraId="604B50BE" w14:textId="77777777" w:rsidR="00BA3DC6" w:rsidRPr="00FB42E6" w:rsidRDefault="00BA3DC6" w:rsidP="005B22B2">
      <w:pPr>
        <w:spacing w:after="0" w:line="240" w:lineRule="auto"/>
        <w:jc w:val="both"/>
        <w:rPr>
          <w:rFonts w:ascii="Times New Roman" w:hAnsi="Times New Roman"/>
          <w:bCs/>
          <w:sz w:val="14"/>
          <w:szCs w:val="14"/>
        </w:rPr>
      </w:pPr>
    </w:p>
    <w:p w14:paraId="604B50BF" w14:textId="77777777" w:rsidR="00BA3DC6" w:rsidRPr="00FB42E6" w:rsidRDefault="00BA3DC6" w:rsidP="005B22B2">
      <w:pPr>
        <w:pStyle w:val="Titre3"/>
        <w:numPr>
          <w:ilvl w:val="1"/>
          <w:numId w:val="2"/>
        </w:numPr>
        <w:spacing w:before="0" w:line="240" w:lineRule="auto"/>
        <w:rPr>
          <w:rFonts w:ascii="Times New Roman" w:hAnsi="Times New Roman"/>
          <w:color w:val="auto"/>
          <w:sz w:val="24"/>
          <w:szCs w:val="24"/>
        </w:rPr>
      </w:pPr>
      <w:bookmarkStart w:id="56" w:name="_Toc348488284"/>
      <w:bookmarkStart w:id="57" w:name="_Toc355533887"/>
      <w:bookmarkStart w:id="58" w:name="_Toc499211581"/>
      <w:bookmarkStart w:id="59" w:name="_Toc500967834"/>
      <w:bookmarkStart w:id="60" w:name="_Toc500974514"/>
      <w:bookmarkStart w:id="61" w:name="_Toc502863850"/>
      <w:bookmarkStart w:id="62" w:name="_Toc505758457"/>
      <w:bookmarkStart w:id="63" w:name="_Toc506201549"/>
      <w:r w:rsidRPr="00FB42E6">
        <w:rPr>
          <w:rFonts w:ascii="Times New Roman" w:hAnsi="Times New Roman"/>
          <w:color w:val="auto"/>
          <w:sz w:val="24"/>
          <w:szCs w:val="24"/>
        </w:rPr>
        <w:t>Entretiens</w:t>
      </w:r>
      <w:bookmarkEnd w:id="56"/>
      <w:bookmarkEnd w:id="57"/>
      <w:bookmarkEnd w:id="58"/>
      <w:bookmarkEnd w:id="59"/>
      <w:bookmarkEnd w:id="60"/>
      <w:bookmarkEnd w:id="61"/>
      <w:bookmarkEnd w:id="62"/>
      <w:bookmarkEnd w:id="63"/>
    </w:p>
    <w:p w14:paraId="604B50C0" w14:textId="77777777" w:rsidR="00BA3DC6" w:rsidRPr="00FB42E6" w:rsidRDefault="00BA3DC6" w:rsidP="005B22B2">
      <w:pPr>
        <w:spacing w:after="0" w:line="240" w:lineRule="auto"/>
        <w:jc w:val="both"/>
        <w:rPr>
          <w:rFonts w:ascii="Times New Roman" w:hAnsi="Times New Roman"/>
          <w:bCs/>
          <w:sz w:val="14"/>
          <w:szCs w:val="14"/>
        </w:rPr>
      </w:pPr>
    </w:p>
    <w:p w14:paraId="604B50C1" w14:textId="77777777" w:rsidR="00BA3DC6" w:rsidRPr="00FB42E6" w:rsidRDefault="0002348F"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8</w:t>
      </w:r>
      <w:r w:rsidR="00BA3DC6" w:rsidRPr="00FB42E6">
        <w:rPr>
          <w:rFonts w:ascii="Times New Roman" w:hAnsi="Times New Roman"/>
          <w:bCs/>
          <w:sz w:val="24"/>
          <w:szCs w:val="24"/>
        </w:rPr>
        <w:t>.</w:t>
      </w:r>
      <w:r w:rsidR="00BA3DC6" w:rsidRPr="00FB42E6">
        <w:rPr>
          <w:rFonts w:ascii="Times New Roman" w:hAnsi="Times New Roman"/>
          <w:bCs/>
          <w:sz w:val="24"/>
          <w:szCs w:val="24"/>
        </w:rPr>
        <w:tab/>
        <w:t>Les entretiens ont concerné </w:t>
      </w:r>
      <w:r w:rsidR="001B1A2B" w:rsidRPr="00FB42E6">
        <w:rPr>
          <w:rFonts w:ascii="Times New Roman" w:hAnsi="Times New Roman"/>
          <w:bCs/>
          <w:sz w:val="24"/>
          <w:szCs w:val="24"/>
        </w:rPr>
        <w:t>les</w:t>
      </w:r>
      <w:r w:rsidR="00BA3DC6" w:rsidRPr="00FB42E6">
        <w:rPr>
          <w:rFonts w:ascii="Times New Roman" w:hAnsi="Times New Roman"/>
          <w:bCs/>
          <w:sz w:val="24"/>
          <w:szCs w:val="24"/>
        </w:rPr>
        <w:t xml:space="preserve"> groupes d’acteurs </w:t>
      </w:r>
      <w:r w:rsidR="001B1A2B" w:rsidRPr="00FB42E6">
        <w:rPr>
          <w:rFonts w:ascii="Times New Roman" w:hAnsi="Times New Roman"/>
          <w:bCs/>
          <w:sz w:val="24"/>
          <w:szCs w:val="24"/>
        </w:rPr>
        <w:t xml:space="preserve">suivants, </w:t>
      </w:r>
      <w:r w:rsidR="00BA3DC6" w:rsidRPr="00FB42E6">
        <w:rPr>
          <w:rFonts w:ascii="Times New Roman" w:hAnsi="Times New Roman"/>
          <w:bCs/>
          <w:sz w:val="24"/>
          <w:szCs w:val="24"/>
        </w:rPr>
        <w:t xml:space="preserve">répartis </w:t>
      </w:r>
      <w:r w:rsidR="001B1A2B" w:rsidRPr="00FB42E6">
        <w:rPr>
          <w:rFonts w:ascii="Times New Roman" w:hAnsi="Times New Roman"/>
          <w:bCs/>
          <w:sz w:val="24"/>
          <w:szCs w:val="24"/>
        </w:rPr>
        <w:t xml:space="preserve">entre </w:t>
      </w:r>
      <w:r w:rsidR="00BA3DC6" w:rsidRPr="00FB42E6">
        <w:rPr>
          <w:rFonts w:ascii="Times New Roman" w:hAnsi="Times New Roman"/>
          <w:bCs/>
          <w:sz w:val="24"/>
          <w:szCs w:val="24"/>
        </w:rPr>
        <w:t>d</w:t>
      </w:r>
      <w:r w:rsidR="001B1A2B" w:rsidRPr="00FB42E6">
        <w:rPr>
          <w:rFonts w:ascii="Times New Roman" w:hAnsi="Times New Roman"/>
          <w:bCs/>
          <w:sz w:val="24"/>
          <w:szCs w:val="24"/>
        </w:rPr>
        <w:t xml:space="preserve">ivers statuts et </w:t>
      </w:r>
      <w:r w:rsidR="00BA3DC6" w:rsidRPr="00FB42E6">
        <w:rPr>
          <w:rFonts w:ascii="Times New Roman" w:hAnsi="Times New Roman"/>
          <w:bCs/>
          <w:sz w:val="24"/>
          <w:szCs w:val="24"/>
        </w:rPr>
        <w:t>institutions :</w:t>
      </w:r>
    </w:p>
    <w:p w14:paraId="604B50C2" w14:textId="77777777" w:rsidR="00BA36D9" w:rsidRPr="00FB42E6" w:rsidRDefault="00BA36D9" w:rsidP="0089432A">
      <w:pPr>
        <w:pStyle w:val="Paragraphedeliste"/>
        <w:numPr>
          <w:ilvl w:val="0"/>
          <w:numId w:val="17"/>
        </w:numPr>
        <w:spacing w:after="0" w:line="240" w:lineRule="auto"/>
        <w:jc w:val="both"/>
        <w:rPr>
          <w:rFonts w:ascii="Times New Roman" w:hAnsi="Times New Roman"/>
          <w:sz w:val="24"/>
          <w:szCs w:val="24"/>
        </w:rPr>
      </w:pPr>
      <w:bookmarkStart w:id="64" w:name="_Toc428889268"/>
      <w:bookmarkStart w:id="65" w:name="_Toc499211582"/>
      <w:r w:rsidRPr="00FB42E6">
        <w:rPr>
          <w:rFonts w:ascii="Times New Roman" w:hAnsi="Times New Roman"/>
          <w:sz w:val="24"/>
          <w:szCs w:val="24"/>
        </w:rPr>
        <w:t>Entretiens individualisés avec les acteurs clés et autres personnes ressources, au sein de l’UNDAF</w:t>
      </w:r>
      <w:r w:rsidR="00FC6530" w:rsidRPr="00FB42E6">
        <w:rPr>
          <w:rFonts w:ascii="Times New Roman" w:hAnsi="Times New Roman"/>
          <w:sz w:val="24"/>
          <w:szCs w:val="24"/>
          <w:vertAlign w:val="superscript"/>
        </w:rPr>
        <w:t>+</w:t>
      </w:r>
      <w:r w:rsidRPr="00FB42E6">
        <w:rPr>
          <w:rFonts w:ascii="Times New Roman" w:hAnsi="Times New Roman"/>
          <w:sz w:val="24"/>
          <w:szCs w:val="24"/>
        </w:rPr>
        <w:t xml:space="preserve"> comme dans son environnement.</w:t>
      </w:r>
    </w:p>
    <w:p w14:paraId="604B50C3" w14:textId="77777777" w:rsidR="00BA36D9" w:rsidRPr="00FB42E6" w:rsidRDefault="00BA36D9" w:rsidP="0089432A">
      <w:pPr>
        <w:pStyle w:val="Paragraphedeliste"/>
        <w:numPr>
          <w:ilvl w:val="0"/>
          <w:numId w:val="17"/>
        </w:numPr>
        <w:spacing w:after="0" w:line="240" w:lineRule="auto"/>
        <w:jc w:val="both"/>
        <w:rPr>
          <w:rFonts w:ascii="Times New Roman" w:hAnsi="Times New Roman"/>
          <w:sz w:val="24"/>
          <w:szCs w:val="24"/>
        </w:rPr>
      </w:pPr>
      <w:r w:rsidRPr="00FB42E6">
        <w:rPr>
          <w:rFonts w:ascii="Times New Roman" w:hAnsi="Times New Roman"/>
          <w:sz w:val="24"/>
          <w:szCs w:val="24"/>
        </w:rPr>
        <w:t>Focus groupes : cette technique a surtout utilisée pour échanger avec les bénéficiaires et recueillir leurs perceptions.</w:t>
      </w:r>
    </w:p>
    <w:p w14:paraId="604B50C4" w14:textId="77777777" w:rsidR="00BA36D9" w:rsidRPr="00FB42E6" w:rsidRDefault="00BA36D9" w:rsidP="005B22B2">
      <w:pPr>
        <w:spacing w:after="0" w:line="240" w:lineRule="auto"/>
        <w:jc w:val="both"/>
        <w:rPr>
          <w:rFonts w:ascii="Times New Roman" w:hAnsi="Times New Roman"/>
          <w:sz w:val="24"/>
          <w:szCs w:val="24"/>
        </w:rPr>
      </w:pPr>
    </w:p>
    <w:p w14:paraId="604B50C5" w14:textId="77777777" w:rsidR="00FC6530" w:rsidRPr="00FB42E6" w:rsidRDefault="00FC6530" w:rsidP="005B22B2">
      <w:pPr>
        <w:pStyle w:val="Titre3"/>
        <w:numPr>
          <w:ilvl w:val="1"/>
          <w:numId w:val="2"/>
        </w:numPr>
        <w:spacing w:before="0" w:line="240" w:lineRule="auto"/>
        <w:rPr>
          <w:rFonts w:ascii="Times New Roman" w:hAnsi="Times New Roman"/>
          <w:color w:val="auto"/>
          <w:sz w:val="24"/>
          <w:szCs w:val="24"/>
        </w:rPr>
      </w:pPr>
      <w:bookmarkStart w:id="66" w:name="_Toc502863851"/>
      <w:bookmarkStart w:id="67" w:name="_Toc505758458"/>
      <w:bookmarkStart w:id="68" w:name="_Toc506201550"/>
      <w:r w:rsidRPr="00FB42E6">
        <w:rPr>
          <w:rFonts w:ascii="Times New Roman" w:hAnsi="Times New Roman"/>
          <w:color w:val="auto"/>
          <w:sz w:val="24"/>
          <w:szCs w:val="24"/>
        </w:rPr>
        <w:t>Visites de sites et d’ouvrages/réalisations</w:t>
      </w:r>
      <w:bookmarkEnd w:id="66"/>
      <w:bookmarkEnd w:id="67"/>
      <w:bookmarkEnd w:id="68"/>
    </w:p>
    <w:p w14:paraId="604B50C6" w14:textId="77777777" w:rsidR="00FC6530" w:rsidRPr="00FB42E6" w:rsidRDefault="00FC6530" w:rsidP="005B22B2">
      <w:pPr>
        <w:spacing w:after="0" w:line="240" w:lineRule="auto"/>
        <w:jc w:val="both"/>
        <w:rPr>
          <w:rFonts w:ascii="Times New Roman" w:hAnsi="Times New Roman"/>
          <w:sz w:val="24"/>
          <w:szCs w:val="24"/>
        </w:rPr>
      </w:pPr>
    </w:p>
    <w:p w14:paraId="604B50C7" w14:textId="77777777" w:rsidR="00FC6530" w:rsidRPr="00FB42E6" w:rsidRDefault="00A93099" w:rsidP="005B22B2">
      <w:pPr>
        <w:spacing w:after="0" w:line="240" w:lineRule="auto"/>
        <w:jc w:val="both"/>
        <w:rPr>
          <w:rFonts w:ascii="Times New Roman" w:hAnsi="Times New Roman"/>
          <w:sz w:val="24"/>
          <w:szCs w:val="24"/>
        </w:rPr>
      </w:pPr>
      <w:r>
        <w:rPr>
          <w:rFonts w:ascii="Times New Roman" w:hAnsi="Times New Roman"/>
          <w:sz w:val="24"/>
          <w:szCs w:val="24"/>
        </w:rPr>
        <w:t>9</w:t>
      </w:r>
      <w:r w:rsidR="00FC6530" w:rsidRPr="00FB42E6">
        <w:rPr>
          <w:rFonts w:ascii="Times New Roman" w:hAnsi="Times New Roman"/>
          <w:sz w:val="24"/>
          <w:szCs w:val="24"/>
        </w:rPr>
        <w:t>.</w:t>
      </w:r>
      <w:r w:rsidR="00FC6530" w:rsidRPr="00FB42E6">
        <w:rPr>
          <w:rFonts w:ascii="Times New Roman" w:hAnsi="Times New Roman"/>
          <w:sz w:val="24"/>
          <w:szCs w:val="24"/>
        </w:rPr>
        <w:tab/>
        <w:t>Il s’agi</w:t>
      </w:r>
      <w:r w:rsidR="001F707D" w:rsidRPr="00FB42E6">
        <w:rPr>
          <w:rFonts w:ascii="Times New Roman" w:hAnsi="Times New Roman"/>
          <w:sz w:val="24"/>
          <w:szCs w:val="24"/>
        </w:rPr>
        <w:t>t</w:t>
      </w:r>
      <w:r w:rsidR="00FC6530" w:rsidRPr="00FB42E6">
        <w:rPr>
          <w:rFonts w:ascii="Times New Roman" w:hAnsi="Times New Roman"/>
          <w:sz w:val="24"/>
          <w:szCs w:val="24"/>
        </w:rPr>
        <w:t xml:space="preserve">, à ce niveau, de mesurer par </w:t>
      </w:r>
      <w:r w:rsidR="00FC6530" w:rsidRPr="00DD4E35">
        <w:rPr>
          <w:rFonts w:ascii="Times New Roman" w:hAnsi="Times New Roman"/>
          <w:sz w:val="24"/>
          <w:szCs w:val="24"/>
        </w:rPr>
        <w:t>contact direct et témoignage de premier rang de</w:t>
      </w:r>
      <w:r w:rsidR="00FC6530" w:rsidRPr="00FB42E6">
        <w:rPr>
          <w:rFonts w:ascii="Times New Roman" w:hAnsi="Times New Roman"/>
          <w:sz w:val="24"/>
          <w:szCs w:val="24"/>
        </w:rPr>
        <w:t xml:space="preserve"> la qualité des réalisations du programme. Pour déterminer les sites et réalisations à observer, ainsi que les personnes à rencontrer, il sera procédé à un échantillonnage qualitatif établi d’accord </w:t>
      </w:r>
      <w:r w:rsidR="00FC6530" w:rsidRPr="00FB42E6">
        <w:rPr>
          <w:rFonts w:ascii="Times New Roman" w:hAnsi="Times New Roman"/>
          <w:sz w:val="24"/>
          <w:szCs w:val="24"/>
        </w:rPr>
        <w:lastRenderedPageBreak/>
        <w:t>parties avec l’Equipe de pays de l’UNDAF</w:t>
      </w:r>
      <w:r w:rsidR="00FC6530" w:rsidRPr="00FB42E6">
        <w:rPr>
          <w:rFonts w:ascii="Times New Roman" w:hAnsi="Times New Roman"/>
          <w:sz w:val="24"/>
          <w:szCs w:val="24"/>
          <w:vertAlign w:val="superscript"/>
        </w:rPr>
        <w:t>+</w:t>
      </w:r>
      <w:r w:rsidR="00FC6530" w:rsidRPr="00FB42E6">
        <w:rPr>
          <w:rFonts w:ascii="Times New Roman" w:hAnsi="Times New Roman"/>
          <w:sz w:val="24"/>
          <w:szCs w:val="24"/>
        </w:rPr>
        <w:t xml:space="preserve"> et ses partenaires. Les modalités de cet exercice sont déclinées dans une section suivante dédiée.</w:t>
      </w:r>
    </w:p>
    <w:p w14:paraId="604B50C8" w14:textId="77777777" w:rsidR="00FC6530" w:rsidRPr="00FB42E6" w:rsidRDefault="00FC6530" w:rsidP="005B22B2">
      <w:pPr>
        <w:spacing w:after="0" w:line="240" w:lineRule="auto"/>
        <w:jc w:val="both"/>
        <w:rPr>
          <w:rFonts w:ascii="Times New Roman" w:hAnsi="Times New Roman"/>
          <w:sz w:val="24"/>
          <w:szCs w:val="24"/>
        </w:rPr>
      </w:pPr>
    </w:p>
    <w:p w14:paraId="604B50C9" w14:textId="77777777" w:rsidR="00BA3DC6" w:rsidRPr="00FB42E6" w:rsidRDefault="00BA3DC6" w:rsidP="005B22B2">
      <w:pPr>
        <w:pStyle w:val="Titre2"/>
        <w:numPr>
          <w:ilvl w:val="1"/>
          <w:numId w:val="2"/>
        </w:numPr>
        <w:spacing w:before="0"/>
        <w:rPr>
          <w:rFonts w:ascii="Times New Roman" w:eastAsia="Calibri" w:hAnsi="Times New Roman"/>
          <w:color w:val="auto"/>
          <w:sz w:val="24"/>
          <w:szCs w:val="24"/>
        </w:rPr>
      </w:pPr>
      <w:bookmarkStart w:id="69" w:name="_Toc500967835"/>
      <w:bookmarkStart w:id="70" w:name="_Toc500974515"/>
      <w:bookmarkStart w:id="71" w:name="_Toc502863852"/>
      <w:bookmarkStart w:id="72" w:name="_Toc505758459"/>
      <w:bookmarkStart w:id="73" w:name="_Toc506201551"/>
      <w:r w:rsidRPr="00FB42E6">
        <w:rPr>
          <w:rFonts w:ascii="Times New Roman" w:eastAsia="Calibri" w:hAnsi="Times New Roman"/>
          <w:color w:val="auto"/>
          <w:sz w:val="24"/>
          <w:szCs w:val="24"/>
        </w:rPr>
        <w:t>Echantillonnage</w:t>
      </w:r>
      <w:bookmarkEnd w:id="64"/>
      <w:bookmarkEnd w:id="65"/>
      <w:bookmarkEnd w:id="69"/>
      <w:bookmarkEnd w:id="70"/>
      <w:bookmarkEnd w:id="71"/>
      <w:bookmarkEnd w:id="72"/>
      <w:bookmarkEnd w:id="73"/>
    </w:p>
    <w:p w14:paraId="604B50CA" w14:textId="77777777" w:rsidR="00BA3DC6" w:rsidRPr="00FB42E6" w:rsidRDefault="00BA3DC6" w:rsidP="005B22B2">
      <w:pPr>
        <w:spacing w:after="0" w:line="240" w:lineRule="auto"/>
        <w:jc w:val="both"/>
        <w:rPr>
          <w:rFonts w:ascii="Times New Roman" w:hAnsi="Times New Roman"/>
          <w:sz w:val="24"/>
          <w:szCs w:val="24"/>
        </w:rPr>
      </w:pPr>
    </w:p>
    <w:p w14:paraId="604B50CB" w14:textId="77777777" w:rsidR="00BA3DC6" w:rsidRPr="00FB42E6" w:rsidRDefault="00DD4E35" w:rsidP="005B22B2">
      <w:pPr>
        <w:spacing w:after="0" w:line="240" w:lineRule="auto"/>
        <w:jc w:val="both"/>
        <w:rPr>
          <w:rFonts w:ascii="Times New Roman" w:hAnsi="Times New Roman"/>
          <w:sz w:val="24"/>
          <w:szCs w:val="24"/>
        </w:rPr>
      </w:pPr>
      <w:r>
        <w:rPr>
          <w:rFonts w:ascii="Times New Roman" w:hAnsi="Times New Roman"/>
          <w:sz w:val="24"/>
          <w:szCs w:val="24"/>
        </w:rPr>
        <w:t>10</w:t>
      </w:r>
      <w:r w:rsidR="00BA3DC6" w:rsidRPr="00FB42E6">
        <w:rPr>
          <w:rFonts w:ascii="Times New Roman" w:hAnsi="Times New Roman"/>
          <w:sz w:val="24"/>
          <w:szCs w:val="24"/>
        </w:rPr>
        <w:t>.</w:t>
      </w:r>
      <w:r w:rsidR="00BA3DC6" w:rsidRPr="00FB42E6">
        <w:rPr>
          <w:rFonts w:ascii="Times New Roman" w:hAnsi="Times New Roman"/>
          <w:sz w:val="24"/>
          <w:szCs w:val="24"/>
        </w:rPr>
        <w:tab/>
        <w:t xml:space="preserve">La revue documentaire a couvert l’ensemble du portefeuille attaché </w:t>
      </w:r>
      <w:r w:rsidR="00EF5143" w:rsidRPr="00FB42E6">
        <w:rPr>
          <w:rFonts w:ascii="Times New Roman" w:hAnsi="Times New Roman"/>
          <w:sz w:val="24"/>
          <w:szCs w:val="24"/>
        </w:rPr>
        <w:t>au programme</w:t>
      </w:r>
      <w:r w:rsidR="00BA3DC6" w:rsidRPr="00FB42E6">
        <w:rPr>
          <w:rFonts w:ascii="Times New Roman" w:hAnsi="Times New Roman"/>
          <w:sz w:val="24"/>
          <w:szCs w:val="24"/>
        </w:rPr>
        <w:t xml:space="preserve">. Les entretiens et les visites de </w:t>
      </w:r>
      <w:r w:rsidR="001B1A2B" w:rsidRPr="00FB42E6">
        <w:rPr>
          <w:rFonts w:ascii="Times New Roman" w:hAnsi="Times New Roman"/>
          <w:sz w:val="24"/>
          <w:szCs w:val="24"/>
        </w:rPr>
        <w:t>réalisations</w:t>
      </w:r>
      <w:r w:rsidR="00BA3DC6" w:rsidRPr="00FB42E6">
        <w:rPr>
          <w:rFonts w:ascii="Times New Roman" w:hAnsi="Times New Roman"/>
          <w:sz w:val="24"/>
          <w:szCs w:val="24"/>
        </w:rPr>
        <w:t>, en revanche, ont porté sur un échantillon</w:t>
      </w:r>
      <w:r w:rsidR="001B1A2B" w:rsidRPr="00FB42E6">
        <w:rPr>
          <w:rFonts w:ascii="Times New Roman" w:hAnsi="Times New Roman"/>
          <w:sz w:val="24"/>
          <w:szCs w:val="24"/>
        </w:rPr>
        <w:t xml:space="preserve"> de personnes et d’actifs</w:t>
      </w:r>
      <w:r w:rsidR="00BA3DC6" w:rsidRPr="00FB42E6">
        <w:rPr>
          <w:rFonts w:ascii="Times New Roman" w:hAnsi="Times New Roman"/>
          <w:sz w:val="24"/>
          <w:szCs w:val="24"/>
        </w:rPr>
        <w:t xml:space="preserve"> choisis, d’accord parties entre la mission et les gestionnaires de portefeuille, mais selon les critères d’inclusion ci-dessous arrêtés par les évaluateurs :</w:t>
      </w:r>
    </w:p>
    <w:p w14:paraId="604B50CC" w14:textId="77777777" w:rsidR="00BA3DC6" w:rsidRPr="00FB42E6" w:rsidRDefault="00BA3DC6" w:rsidP="005B22B2">
      <w:pPr>
        <w:spacing w:after="0" w:line="240" w:lineRule="auto"/>
        <w:jc w:val="both"/>
        <w:rPr>
          <w:rFonts w:ascii="Times New Roman" w:hAnsi="Times New Roman"/>
          <w:sz w:val="24"/>
          <w:szCs w:val="24"/>
        </w:rPr>
      </w:pPr>
    </w:p>
    <w:p w14:paraId="604B50CD" w14:textId="77777777" w:rsidR="00BA3DC6" w:rsidRPr="00FB42E6" w:rsidRDefault="00BA3DC6" w:rsidP="005B22B2">
      <w:pPr>
        <w:pStyle w:val="Paragraphedeliste"/>
        <w:numPr>
          <w:ilvl w:val="0"/>
          <w:numId w:val="6"/>
        </w:numPr>
        <w:spacing w:after="0" w:line="240" w:lineRule="auto"/>
        <w:jc w:val="both"/>
        <w:rPr>
          <w:rFonts w:ascii="Times New Roman" w:hAnsi="Times New Roman"/>
          <w:sz w:val="24"/>
          <w:szCs w:val="24"/>
        </w:rPr>
      </w:pPr>
      <w:r w:rsidRPr="00FB42E6">
        <w:rPr>
          <w:rFonts w:ascii="Times New Roman" w:hAnsi="Times New Roman"/>
          <w:b/>
          <w:i/>
          <w:sz w:val="24"/>
          <w:szCs w:val="24"/>
        </w:rPr>
        <w:t>Couverture stratégique du portefeuille</w:t>
      </w:r>
      <w:r w:rsidR="005F4C9A" w:rsidRPr="00FB42E6">
        <w:rPr>
          <w:rFonts w:ascii="Times New Roman" w:hAnsi="Times New Roman"/>
          <w:sz w:val="24"/>
          <w:szCs w:val="24"/>
        </w:rPr>
        <w:t xml:space="preserve"> : </w:t>
      </w:r>
      <w:r w:rsidRPr="00FB42E6">
        <w:rPr>
          <w:rFonts w:ascii="Times New Roman" w:hAnsi="Times New Roman"/>
          <w:sz w:val="24"/>
          <w:szCs w:val="24"/>
        </w:rPr>
        <w:t>avoir des personnes et des interventions qui représentent les différentes composantes du</w:t>
      </w:r>
      <w:r w:rsidR="00EF5143" w:rsidRPr="00FB42E6">
        <w:rPr>
          <w:rFonts w:ascii="Times New Roman" w:hAnsi="Times New Roman"/>
          <w:sz w:val="24"/>
          <w:szCs w:val="24"/>
        </w:rPr>
        <w:t xml:space="preserve"> p</w:t>
      </w:r>
      <w:r w:rsidRPr="00FB42E6">
        <w:rPr>
          <w:rFonts w:ascii="Times New Roman" w:hAnsi="Times New Roman"/>
          <w:sz w:val="24"/>
          <w:szCs w:val="24"/>
        </w:rPr>
        <w:t>rogramme</w:t>
      </w:r>
    </w:p>
    <w:p w14:paraId="604B50CE" w14:textId="77777777" w:rsidR="00BA3DC6" w:rsidRPr="00FB42E6" w:rsidRDefault="00BA3DC6" w:rsidP="005B22B2">
      <w:pPr>
        <w:pStyle w:val="Paragraphedeliste"/>
        <w:numPr>
          <w:ilvl w:val="0"/>
          <w:numId w:val="6"/>
        </w:numPr>
        <w:spacing w:after="0" w:line="240" w:lineRule="auto"/>
        <w:jc w:val="both"/>
        <w:rPr>
          <w:rFonts w:ascii="Times New Roman" w:hAnsi="Times New Roman"/>
          <w:sz w:val="24"/>
          <w:szCs w:val="24"/>
        </w:rPr>
      </w:pPr>
      <w:r w:rsidRPr="00FB42E6">
        <w:rPr>
          <w:rFonts w:ascii="Times New Roman" w:hAnsi="Times New Roman"/>
          <w:b/>
          <w:i/>
          <w:sz w:val="24"/>
          <w:szCs w:val="24"/>
        </w:rPr>
        <w:t>Taille stratégique/volumique</w:t>
      </w:r>
      <w:r w:rsidR="005F4C9A" w:rsidRPr="00FB42E6">
        <w:rPr>
          <w:rFonts w:ascii="Times New Roman" w:hAnsi="Times New Roman"/>
          <w:sz w:val="24"/>
          <w:szCs w:val="24"/>
        </w:rPr>
        <w:t xml:space="preserve"> : </w:t>
      </w:r>
      <w:r w:rsidRPr="00FB42E6">
        <w:rPr>
          <w:rFonts w:ascii="Times New Roman" w:hAnsi="Times New Roman"/>
          <w:sz w:val="24"/>
          <w:szCs w:val="24"/>
        </w:rPr>
        <w:t>avoir des interventions d’une certaine significative</w:t>
      </w:r>
    </w:p>
    <w:p w14:paraId="604B50CF" w14:textId="77777777" w:rsidR="00BA3DC6" w:rsidRPr="00FB42E6" w:rsidRDefault="00BA3DC6" w:rsidP="005B22B2">
      <w:pPr>
        <w:pStyle w:val="Paragraphedeliste"/>
        <w:numPr>
          <w:ilvl w:val="0"/>
          <w:numId w:val="6"/>
        </w:numPr>
        <w:spacing w:after="0" w:line="240" w:lineRule="auto"/>
        <w:jc w:val="both"/>
        <w:rPr>
          <w:rFonts w:ascii="Times New Roman" w:hAnsi="Times New Roman"/>
          <w:sz w:val="24"/>
          <w:szCs w:val="24"/>
        </w:rPr>
      </w:pPr>
      <w:r w:rsidRPr="00FB42E6">
        <w:rPr>
          <w:rFonts w:ascii="Times New Roman" w:hAnsi="Times New Roman"/>
          <w:b/>
          <w:i/>
          <w:sz w:val="24"/>
          <w:szCs w:val="24"/>
        </w:rPr>
        <w:t>Diversité géographique</w:t>
      </w:r>
      <w:r w:rsidR="005F4C9A" w:rsidRPr="00FB42E6">
        <w:rPr>
          <w:rFonts w:ascii="Times New Roman" w:hAnsi="Times New Roman"/>
          <w:sz w:val="24"/>
          <w:szCs w:val="24"/>
        </w:rPr>
        <w:t xml:space="preserve"> : </w:t>
      </w:r>
      <w:r w:rsidRPr="00FB42E6">
        <w:rPr>
          <w:rFonts w:ascii="Times New Roman" w:hAnsi="Times New Roman"/>
          <w:sz w:val="24"/>
          <w:szCs w:val="24"/>
        </w:rPr>
        <w:t>avoir des interventions montrant une couverture sinon exhaustive du moins divers</w:t>
      </w:r>
      <w:r w:rsidR="005F4C9A" w:rsidRPr="00FB42E6">
        <w:rPr>
          <w:rFonts w:ascii="Times New Roman" w:hAnsi="Times New Roman"/>
          <w:sz w:val="24"/>
          <w:szCs w:val="24"/>
        </w:rPr>
        <w:t>ifiée des zones de concentration du</w:t>
      </w:r>
      <w:r w:rsidR="00EF5143" w:rsidRPr="00FB42E6">
        <w:rPr>
          <w:rFonts w:ascii="Times New Roman" w:hAnsi="Times New Roman"/>
          <w:sz w:val="24"/>
          <w:szCs w:val="24"/>
        </w:rPr>
        <w:t xml:space="preserve"> </w:t>
      </w:r>
      <w:r w:rsidR="005F4C9A" w:rsidRPr="00FB42E6">
        <w:rPr>
          <w:rFonts w:ascii="Times New Roman" w:hAnsi="Times New Roman"/>
          <w:sz w:val="24"/>
          <w:szCs w:val="24"/>
        </w:rPr>
        <w:t>programme</w:t>
      </w:r>
    </w:p>
    <w:p w14:paraId="604B50D0" w14:textId="77777777" w:rsidR="00BA3DC6" w:rsidRPr="00FB42E6" w:rsidRDefault="00BA3DC6" w:rsidP="005B22B2">
      <w:pPr>
        <w:pStyle w:val="Paragraphedeliste"/>
        <w:numPr>
          <w:ilvl w:val="0"/>
          <w:numId w:val="6"/>
        </w:numPr>
        <w:spacing w:after="0" w:line="240" w:lineRule="auto"/>
        <w:jc w:val="both"/>
        <w:rPr>
          <w:rFonts w:ascii="Times New Roman" w:hAnsi="Times New Roman"/>
          <w:sz w:val="24"/>
          <w:szCs w:val="24"/>
        </w:rPr>
      </w:pPr>
      <w:r w:rsidRPr="00FB42E6">
        <w:rPr>
          <w:rFonts w:ascii="Times New Roman" w:hAnsi="Times New Roman"/>
          <w:b/>
          <w:i/>
          <w:sz w:val="24"/>
          <w:szCs w:val="24"/>
        </w:rPr>
        <w:t>Qualité</w:t>
      </w:r>
      <w:r w:rsidR="005F4C9A" w:rsidRPr="00FB42E6">
        <w:rPr>
          <w:rFonts w:ascii="Times New Roman" w:hAnsi="Times New Roman"/>
          <w:sz w:val="24"/>
          <w:szCs w:val="24"/>
        </w:rPr>
        <w:t xml:space="preserve"> : </w:t>
      </w:r>
      <w:r w:rsidRPr="00FB42E6">
        <w:rPr>
          <w:rFonts w:ascii="Times New Roman" w:hAnsi="Times New Roman"/>
          <w:sz w:val="24"/>
          <w:szCs w:val="24"/>
        </w:rPr>
        <w:t xml:space="preserve">avoir des interventions réputées performantes et d’autres qui le seraient moins, pour permettre des apprentissages diversifiés, articulées </w:t>
      </w:r>
      <w:r w:rsidR="005F4C9A" w:rsidRPr="00FB42E6">
        <w:rPr>
          <w:rFonts w:ascii="Times New Roman" w:hAnsi="Times New Roman"/>
          <w:sz w:val="24"/>
          <w:szCs w:val="24"/>
        </w:rPr>
        <w:t>sur les succès et les insuccès</w:t>
      </w:r>
    </w:p>
    <w:p w14:paraId="604B50D1" w14:textId="77777777" w:rsidR="00BA3DC6" w:rsidRPr="00FB42E6" w:rsidRDefault="00BA3DC6" w:rsidP="005B22B2">
      <w:pPr>
        <w:spacing w:after="0" w:line="240" w:lineRule="auto"/>
        <w:jc w:val="both"/>
        <w:rPr>
          <w:rFonts w:ascii="Times New Roman" w:hAnsi="Times New Roman"/>
          <w:sz w:val="24"/>
          <w:szCs w:val="24"/>
        </w:rPr>
      </w:pPr>
    </w:p>
    <w:p w14:paraId="604B50D2" w14:textId="77777777" w:rsidR="00BC317C" w:rsidRPr="00FB42E6" w:rsidRDefault="0002348F" w:rsidP="005B22B2">
      <w:pPr>
        <w:spacing w:after="0" w:line="240" w:lineRule="auto"/>
        <w:jc w:val="both"/>
        <w:rPr>
          <w:rFonts w:ascii="Times New Roman" w:hAnsi="Times New Roman"/>
          <w:sz w:val="24"/>
          <w:szCs w:val="24"/>
        </w:rPr>
      </w:pPr>
      <w:r w:rsidRPr="00FB42E6">
        <w:rPr>
          <w:rFonts w:ascii="Times New Roman" w:hAnsi="Times New Roman"/>
          <w:sz w:val="24"/>
          <w:szCs w:val="24"/>
        </w:rPr>
        <w:t>1</w:t>
      </w:r>
      <w:r w:rsidR="00DD4E35">
        <w:rPr>
          <w:rFonts w:ascii="Times New Roman" w:hAnsi="Times New Roman"/>
          <w:sz w:val="24"/>
          <w:szCs w:val="24"/>
        </w:rPr>
        <w:t>1</w:t>
      </w:r>
      <w:r w:rsidRPr="00FB42E6">
        <w:rPr>
          <w:rFonts w:ascii="Times New Roman" w:hAnsi="Times New Roman"/>
          <w:sz w:val="24"/>
          <w:szCs w:val="24"/>
        </w:rPr>
        <w:t>.</w:t>
      </w:r>
      <w:r w:rsidR="00BC317C" w:rsidRPr="00FB42E6">
        <w:rPr>
          <w:rFonts w:ascii="Times New Roman" w:hAnsi="Times New Roman"/>
          <w:sz w:val="24"/>
          <w:szCs w:val="24"/>
        </w:rPr>
        <w:tab/>
        <w:t>L</w:t>
      </w:r>
      <w:r w:rsidR="0007392A" w:rsidRPr="00FB42E6">
        <w:rPr>
          <w:rFonts w:ascii="Times New Roman" w:hAnsi="Times New Roman"/>
          <w:sz w:val="24"/>
          <w:szCs w:val="24"/>
        </w:rPr>
        <w:t xml:space="preserve">’observation d’interventions opérationnelles a </w:t>
      </w:r>
      <w:r w:rsidR="00BC317C" w:rsidRPr="00FB42E6">
        <w:rPr>
          <w:rFonts w:ascii="Times New Roman" w:hAnsi="Times New Roman"/>
          <w:sz w:val="24"/>
          <w:szCs w:val="24"/>
        </w:rPr>
        <w:t xml:space="preserve">été </w:t>
      </w:r>
      <w:r w:rsidR="001F707D" w:rsidRPr="00FB42E6">
        <w:rPr>
          <w:rFonts w:ascii="Times New Roman" w:hAnsi="Times New Roman"/>
          <w:sz w:val="24"/>
          <w:szCs w:val="24"/>
        </w:rPr>
        <w:t>faite</w:t>
      </w:r>
      <w:r w:rsidR="00BC317C" w:rsidRPr="00FB42E6">
        <w:rPr>
          <w:rFonts w:ascii="Times New Roman" w:hAnsi="Times New Roman"/>
          <w:sz w:val="24"/>
          <w:szCs w:val="24"/>
        </w:rPr>
        <w:t xml:space="preserve"> </w:t>
      </w:r>
      <w:r w:rsidR="0007392A" w:rsidRPr="00FB42E6">
        <w:rPr>
          <w:rFonts w:ascii="Times New Roman" w:hAnsi="Times New Roman"/>
          <w:sz w:val="24"/>
          <w:szCs w:val="24"/>
        </w:rPr>
        <w:t xml:space="preserve">dans la région de </w:t>
      </w:r>
      <w:r w:rsidR="001F707D" w:rsidRPr="00FB42E6">
        <w:rPr>
          <w:rFonts w:ascii="Times New Roman" w:hAnsi="Times New Roman"/>
          <w:sz w:val="24"/>
          <w:szCs w:val="24"/>
        </w:rPr>
        <w:t xml:space="preserve">Ségou. Alors qu’un déplacement à Gao a également été programmé, il n’a finalement </w:t>
      </w:r>
      <w:r w:rsidR="00DA686D" w:rsidRPr="00FB42E6">
        <w:rPr>
          <w:rFonts w:ascii="Times New Roman" w:hAnsi="Times New Roman"/>
          <w:sz w:val="24"/>
          <w:szCs w:val="24"/>
        </w:rPr>
        <w:t xml:space="preserve">pas </w:t>
      </w:r>
      <w:r w:rsidR="001F707D" w:rsidRPr="00FB42E6">
        <w:rPr>
          <w:rFonts w:ascii="Times New Roman" w:hAnsi="Times New Roman"/>
          <w:sz w:val="24"/>
          <w:szCs w:val="24"/>
        </w:rPr>
        <w:t>eu lieu faute de logistique</w:t>
      </w:r>
      <w:r w:rsidR="00DA686D" w:rsidRPr="00FB42E6">
        <w:rPr>
          <w:rFonts w:ascii="Times New Roman" w:hAnsi="Times New Roman"/>
          <w:sz w:val="24"/>
          <w:szCs w:val="24"/>
        </w:rPr>
        <w:t xml:space="preserve"> adéquate</w:t>
      </w:r>
      <w:r w:rsidR="001F707D" w:rsidRPr="00FB42E6">
        <w:rPr>
          <w:rFonts w:ascii="Times New Roman" w:hAnsi="Times New Roman"/>
          <w:sz w:val="24"/>
          <w:szCs w:val="24"/>
        </w:rPr>
        <w:t>.</w:t>
      </w:r>
    </w:p>
    <w:p w14:paraId="604B50D3" w14:textId="77777777" w:rsidR="00BC317C" w:rsidRPr="00FB42E6" w:rsidRDefault="00BC317C" w:rsidP="005B22B2">
      <w:pPr>
        <w:spacing w:after="0" w:line="240" w:lineRule="auto"/>
        <w:jc w:val="both"/>
        <w:rPr>
          <w:rFonts w:ascii="Times New Roman" w:hAnsi="Times New Roman"/>
          <w:sz w:val="24"/>
          <w:szCs w:val="24"/>
        </w:rPr>
      </w:pPr>
    </w:p>
    <w:p w14:paraId="604B50D4" w14:textId="77777777" w:rsidR="00BA3DC6" w:rsidRPr="00FB42E6" w:rsidRDefault="00BA3DC6" w:rsidP="005B22B2">
      <w:pPr>
        <w:pStyle w:val="Titre3"/>
        <w:numPr>
          <w:ilvl w:val="1"/>
          <w:numId w:val="2"/>
        </w:numPr>
        <w:spacing w:before="0" w:line="240" w:lineRule="auto"/>
        <w:rPr>
          <w:rFonts w:ascii="Times New Roman" w:hAnsi="Times New Roman"/>
          <w:color w:val="auto"/>
          <w:sz w:val="24"/>
          <w:szCs w:val="24"/>
        </w:rPr>
      </w:pPr>
      <w:bookmarkStart w:id="74" w:name="_Toc348488285"/>
      <w:bookmarkStart w:id="75" w:name="_Toc355533888"/>
      <w:bookmarkStart w:id="76" w:name="_Toc499211583"/>
      <w:bookmarkStart w:id="77" w:name="_Toc500967836"/>
      <w:bookmarkStart w:id="78" w:name="_Toc500974516"/>
      <w:bookmarkStart w:id="79" w:name="_Toc502863853"/>
      <w:bookmarkStart w:id="80" w:name="_Toc505758460"/>
      <w:bookmarkStart w:id="81" w:name="_Toc506201552"/>
      <w:r w:rsidRPr="00FB42E6">
        <w:rPr>
          <w:rFonts w:ascii="Times New Roman" w:hAnsi="Times New Roman"/>
          <w:color w:val="auto"/>
          <w:sz w:val="24"/>
          <w:szCs w:val="24"/>
        </w:rPr>
        <w:t>Cadre d’analyse</w:t>
      </w:r>
      <w:bookmarkEnd w:id="74"/>
      <w:bookmarkEnd w:id="75"/>
      <w:bookmarkEnd w:id="76"/>
      <w:bookmarkEnd w:id="77"/>
      <w:bookmarkEnd w:id="78"/>
      <w:bookmarkEnd w:id="79"/>
      <w:bookmarkEnd w:id="80"/>
      <w:bookmarkEnd w:id="81"/>
    </w:p>
    <w:p w14:paraId="604B50D5" w14:textId="77777777" w:rsidR="00BA3DC6" w:rsidRPr="00FB42E6" w:rsidRDefault="00BA3DC6" w:rsidP="005B22B2">
      <w:pPr>
        <w:spacing w:after="0" w:line="240" w:lineRule="auto"/>
        <w:jc w:val="both"/>
        <w:rPr>
          <w:rFonts w:ascii="Times New Roman" w:hAnsi="Times New Roman"/>
          <w:bCs/>
          <w:sz w:val="14"/>
          <w:szCs w:val="14"/>
        </w:rPr>
      </w:pPr>
    </w:p>
    <w:p w14:paraId="604B50D6" w14:textId="77777777" w:rsidR="00BA3DC6" w:rsidRPr="00FB42E6" w:rsidRDefault="00BA3DC6"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1</w:t>
      </w:r>
      <w:r w:rsidR="00DD4E35">
        <w:rPr>
          <w:rFonts w:ascii="Times New Roman" w:hAnsi="Times New Roman"/>
          <w:bCs/>
          <w:sz w:val="24"/>
          <w:szCs w:val="24"/>
        </w:rPr>
        <w:t>2</w:t>
      </w:r>
      <w:r w:rsidRPr="00FB42E6">
        <w:rPr>
          <w:rFonts w:ascii="Times New Roman" w:hAnsi="Times New Roman"/>
          <w:bCs/>
          <w:sz w:val="24"/>
          <w:szCs w:val="24"/>
        </w:rPr>
        <w:t>.</w:t>
      </w:r>
      <w:r w:rsidRPr="00FB42E6">
        <w:rPr>
          <w:rFonts w:ascii="Times New Roman" w:hAnsi="Times New Roman"/>
          <w:bCs/>
          <w:sz w:val="24"/>
          <w:szCs w:val="24"/>
        </w:rPr>
        <w:tab/>
        <w:t>Le cadre analytique adopté s’appuie sur les critères de l’évaluation explicitement visés par les terme</w:t>
      </w:r>
      <w:r w:rsidR="00BA36D9" w:rsidRPr="00FB42E6">
        <w:rPr>
          <w:rFonts w:ascii="Times New Roman" w:hAnsi="Times New Roman"/>
          <w:bCs/>
          <w:sz w:val="24"/>
          <w:szCs w:val="24"/>
        </w:rPr>
        <w:t>s de référence de la mission : Pertinence, E</w:t>
      </w:r>
      <w:r w:rsidRPr="00FB42E6">
        <w:rPr>
          <w:rFonts w:ascii="Times New Roman" w:hAnsi="Times New Roman"/>
          <w:bCs/>
          <w:sz w:val="24"/>
          <w:szCs w:val="24"/>
        </w:rPr>
        <w:t xml:space="preserve">fficacité, </w:t>
      </w:r>
      <w:r w:rsidR="00BA36D9" w:rsidRPr="00FB42E6">
        <w:rPr>
          <w:rFonts w:ascii="Times New Roman" w:hAnsi="Times New Roman"/>
          <w:bCs/>
          <w:sz w:val="24"/>
          <w:szCs w:val="24"/>
        </w:rPr>
        <w:t>E</w:t>
      </w:r>
      <w:r w:rsidRPr="00FB42E6">
        <w:rPr>
          <w:rFonts w:ascii="Times New Roman" w:hAnsi="Times New Roman"/>
          <w:bCs/>
          <w:sz w:val="24"/>
          <w:szCs w:val="24"/>
        </w:rPr>
        <w:t xml:space="preserve">fficience, </w:t>
      </w:r>
      <w:r w:rsidR="00BA36D9" w:rsidRPr="00FB42E6">
        <w:rPr>
          <w:rFonts w:ascii="Times New Roman" w:hAnsi="Times New Roman"/>
          <w:bCs/>
          <w:sz w:val="24"/>
          <w:szCs w:val="24"/>
        </w:rPr>
        <w:t>D</w:t>
      </w:r>
      <w:r w:rsidRPr="00FB42E6">
        <w:rPr>
          <w:rFonts w:ascii="Times New Roman" w:hAnsi="Times New Roman"/>
          <w:bCs/>
          <w:sz w:val="24"/>
          <w:szCs w:val="24"/>
        </w:rPr>
        <w:t>urabilité. L’approche prend également en compte le</w:t>
      </w:r>
      <w:r w:rsidR="005F4C9A" w:rsidRPr="00FB42E6">
        <w:rPr>
          <w:rFonts w:ascii="Times New Roman" w:hAnsi="Times New Roman"/>
          <w:bCs/>
          <w:sz w:val="24"/>
          <w:szCs w:val="24"/>
        </w:rPr>
        <w:t xml:space="preserve">s thématiques transversales comme </w:t>
      </w:r>
      <w:r w:rsidR="001B1A2B" w:rsidRPr="00FB42E6">
        <w:rPr>
          <w:rFonts w:ascii="Times New Roman" w:hAnsi="Times New Roman"/>
          <w:bCs/>
          <w:sz w:val="24"/>
          <w:szCs w:val="24"/>
        </w:rPr>
        <w:t xml:space="preserve">le genre, les droits humains, </w:t>
      </w:r>
      <w:r w:rsidR="005F4C9A" w:rsidRPr="00FB42E6">
        <w:rPr>
          <w:rFonts w:ascii="Times New Roman" w:hAnsi="Times New Roman"/>
          <w:bCs/>
          <w:sz w:val="24"/>
          <w:szCs w:val="24"/>
        </w:rPr>
        <w:t>le</w:t>
      </w:r>
      <w:r w:rsidR="00EF5143" w:rsidRPr="00FB42E6">
        <w:rPr>
          <w:rFonts w:ascii="Times New Roman" w:hAnsi="Times New Roman"/>
          <w:bCs/>
          <w:sz w:val="24"/>
          <w:szCs w:val="24"/>
        </w:rPr>
        <w:t xml:space="preserve"> renforcement de capacités</w:t>
      </w:r>
      <w:r w:rsidR="005F4C9A" w:rsidRPr="00FB42E6">
        <w:rPr>
          <w:rFonts w:ascii="Times New Roman" w:hAnsi="Times New Roman"/>
          <w:bCs/>
          <w:sz w:val="24"/>
          <w:szCs w:val="24"/>
        </w:rPr>
        <w:t xml:space="preserve">, </w:t>
      </w:r>
      <w:r w:rsidRPr="00FB42E6">
        <w:rPr>
          <w:rFonts w:ascii="Times New Roman" w:hAnsi="Times New Roman"/>
          <w:bCs/>
          <w:sz w:val="24"/>
          <w:szCs w:val="24"/>
        </w:rPr>
        <w:t>l’appropriation nationale</w:t>
      </w:r>
      <w:r w:rsidR="005F4C9A" w:rsidRPr="00FB42E6">
        <w:rPr>
          <w:rFonts w:ascii="Times New Roman" w:hAnsi="Times New Roman"/>
          <w:bCs/>
          <w:sz w:val="24"/>
          <w:szCs w:val="24"/>
        </w:rPr>
        <w:t xml:space="preserve"> </w:t>
      </w:r>
      <w:r w:rsidRPr="00FB42E6">
        <w:rPr>
          <w:rFonts w:ascii="Times New Roman" w:hAnsi="Times New Roman"/>
          <w:bCs/>
          <w:sz w:val="24"/>
          <w:szCs w:val="24"/>
        </w:rPr>
        <w:t>en relation avec la durabilité</w:t>
      </w:r>
      <w:r w:rsidR="005F4C9A" w:rsidRPr="00FB42E6">
        <w:rPr>
          <w:rFonts w:ascii="Times New Roman" w:hAnsi="Times New Roman"/>
          <w:bCs/>
          <w:sz w:val="24"/>
          <w:szCs w:val="24"/>
        </w:rPr>
        <w:t>, notamment</w:t>
      </w:r>
      <w:r w:rsidRPr="00FB42E6">
        <w:rPr>
          <w:rFonts w:ascii="Times New Roman" w:hAnsi="Times New Roman"/>
          <w:bCs/>
          <w:sz w:val="24"/>
          <w:szCs w:val="24"/>
        </w:rPr>
        <w:t>.</w:t>
      </w:r>
    </w:p>
    <w:p w14:paraId="604B50D7" w14:textId="77777777" w:rsidR="00BA3DC6" w:rsidRPr="00FB42E6" w:rsidRDefault="00BA3DC6" w:rsidP="005B22B2">
      <w:pPr>
        <w:spacing w:after="0" w:line="240" w:lineRule="auto"/>
        <w:jc w:val="both"/>
        <w:rPr>
          <w:rFonts w:ascii="Times New Roman" w:hAnsi="Times New Roman"/>
          <w:bCs/>
          <w:sz w:val="24"/>
          <w:szCs w:val="24"/>
        </w:rPr>
      </w:pPr>
    </w:p>
    <w:p w14:paraId="604B50D8" w14:textId="77777777" w:rsidR="00BA3DC6" w:rsidRPr="00FB42E6" w:rsidRDefault="00BA3DC6"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1</w:t>
      </w:r>
      <w:r w:rsidR="00DD4E35">
        <w:rPr>
          <w:rFonts w:ascii="Times New Roman" w:hAnsi="Times New Roman"/>
          <w:bCs/>
          <w:sz w:val="24"/>
          <w:szCs w:val="24"/>
        </w:rPr>
        <w:t>3</w:t>
      </w:r>
      <w:r w:rsidRPr="00FB42E6">
        <w:rPr>
          <w:rFonts w:ascii="Times New Roman" w:hAnsi="Times New Roman"/>
          <w:bCs/>
          <w:sz w:val="24"/>
          <w:szCs w:val="24"/>
        </w:rPr>
        <w:t>.</w:t>
      </w:r>
      <w:r w:rsidRPr="00FB42E6">
        <w:rPr>
          <w:rFonts w:ascii="Times New Roman" w:hAnsi="Times New Roman"/>
          <w:bCs/>
          <w:sz w:val="24"/>
          <w:szCs w:val="24"/>
        </w:rPr>
        <w:tab/>
        <w:t xml:space="preserve">L’analyse débouche sur un système de notation des performances assorti d’une échelle de valeurs </w:t>
      </w:r>
      <w:r w:rsidR="005F4C9A" w:rsidRPr="00FB42E6">
        <w:rPr>
          <w:rFonts w:ascii="Times New Roman" w:hAnsi="Times New Roman"/>
          <w:bCs/>
          <w:sz w:val="24"/>
          <w:szCs w:val="24"/>
        </w:rPr>
        <w:t xml:space="preserve">qualitative </w:t>
      </w:r>
      <w:r w:rsidRPr="00FB42E6">
        <w:rPr>
          <w:rFonts w:ascii="Times New Roman" w:hAnsi="Times New Roman"/>
          <w:bCs/>
          <w:sz w:val="24"/>
          <w:szCs w:val="24"/>
        </w:rPr>
        <w:t xml:space="preserve">à trois </w:t>
      </w:r>
      <w:r w:rsidR="005F4C9A" w:rsidRPr="00FB42E6">
        <w:rPr>
          <w:rFonts w:ascii="Times New Roman" w:hAnsi="Times New Roman"/>
          <w:bCs/>
          <w:sz w:val="24"/>
          <w:szCs w:val="24"/>
        </w:rPr>
        <w:t>seuils</w:t>
      </w:r>
      <w:r w:rsidRPr="00FB42E6">
        <w:rPr>
          <w:rFonts w:ascii="Times New Roman" w:hAnsi="Times New Roman"/>
          <w:bCs/>
          <w:sz w:val="24"/>
          <w:szCs w:val="24"/>
        </w:rPr>
        <w:t> : « E » pour élevé, « M » pour moyen et « F-N » pour Faible à Nul. En amont de chaque attribution de note, les déterminants de celle-</w:t>
      </w:r>
      <w:r w:rsidR="005F4C9A" w:rsidRPr="00FB42E6">
        <w:rPr>
          <w:rFonts w:ascii="Times New Roman" w:hAnsi="Times New Roman"/>
          <w:bCs/>
          <w:sz w:val="24"/>
          <w:szCs w:val="24"/>
        </w:rPr>
        <w:t>ci sont exposés dans le détail</w:t>
      </w:r>
      <w:r w:rsidRPr="00FB42E6">
        <w:rPr>
          <w:rFonts w:ascii="Times New Roman" w:hAnsi="Times New Roman"/>
          <w:bCs/>
          <w:sz w:val="24"/>
          <w:szCs w:val="24"/>
        </w:rPr>
        <w:t>.</w:t>
      </w:r>
    </w:p>
    <w:p w14:paraId="604B50D9" w14:textId="77777777" w:rsidR="00BA3DC6" w:rsidRPr="00FB42E6" w:rsidRDefault="00BA3DC6" w:rsidP="005B22B2">
      <w:pPr>
        <w:spacing w:after="0" w:line="240" w:lineRule="auto"/>
        <w:jc w:val="both"/>
        <w:rPr>
          <w:rFonts w:ascii="Times New Roman" w:hAnsi="Times New Roman"/>
          <w:bCs/>
          <w:sz w:val="24"/>
          <w:szCs w:val="24"/>
        </w:rPr>
      </w:pPr>
    </w:p>
    <w:p w14:paraId="604B50DA" w14:textId="77777777" w:rsidR="00BA3DC6" w:rsidRPr="00FB42E6" w:rsidRDefault="00BA3DC6" w:rsidP="005B22B2">
      <w:pPr>
        <w:pStyle w:val="Titre3"/>
        <w:numPr>
          <w:ilvl w:val="1"/>
          <w:numId w:val="2"/>
        </w:numPr>
        <w:spacing w:before="0" w:line="240" w:lineRule="auto"/>
        <w:rPr>
          <w:rFonts w:ascii="Times New Roman" w:hAnsi="Times New Roman"/>
          <w:color w:val="auto"/>
          <w:sz w:val="24"/>
          <w:szCs w:val="24"/>
        </w:rPr>
      </w:pPr>
      <w:bookmarkStart w:id="82" w:name="_Toc348488286"/>
      <w:bookmarkStart w:id="83" w:name="_Toc355533890"/>
      <w:bookmarkStart w:id="84" w:name="_Toc499211584"/>
      <w:bookmarkStart w:id="85" w:name="_Toc500967837"/>
      <w:bookmarkStart w:id="86" w:name="_Toc500974517"/>
      <w:bookmarkStart w:id="87" w:name="_Toc502863854"/>
      <w:bookmarkStart w:id="88" w:name="_Toc505758461"/>
      <w:bookmarkStart w:id="89" w:name="_Toc506201553"/>
      <w:r w:rsidRPr="00FB42E6">
        <w:rPr>
          <w:rFonts w:ascii="Times New Roman" w:hAnsi="Times New Roman"/>
          <w:color w:val="auto"/>
          <w:sz w:val="24"/>
          <w:szCs w:val="24"/>
        </w:rPr>
        <w:t>Limitations et mesures de remédiation</w:t>
      </w:r>
      <w:bookmarkEnd w:id="82"/>
      <w:bookmarkEnd w:id="83"/>
      <w:bookmarkEnd w:id="84"/>
      <w:bookmarkEnd w:id="85"/>
      <w:bookmarkEnd w:id="86"/>
      <w:bookmarkEnd w:id="87"/>
      <w:bookmarkEnd w:id="88"/>
      <w:bookmarkEnd w:id="89"/>
    </w:p>
    <w:p w14:paraId="604B50DB" w14:textId="77777777" w:rsidR="00BA3DC6" w:rsidRPr="00FB42E6" w:rsidRDefault="00BA3DC6"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 xml:space="preserve"> </w:t>
      </w:r>
    </w:p>
    <w:p w14:paraId="604B50DC" w14:textId="77777777" w:rsidR="00BA3DC6" w:rsidRPr="00FB42E6" w:rsidRDefault="00BA3DC6"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1</w:t>
      </w:r>
      <w:r w:rsidR="00DD4E35">
        <w:rPr>
          <w:rFonts w:ascii="Times New Roman" w:hAnsi="Times New Roman"/>
          <w:bCs/>
          <w:sz w:val="24"/>
          <w:szCs w:val="24"/>
        </w:rPr>
        <w:t>4</w:t>
      </w:r>
      <w:r w:rsidRPr="00FB42E6">
        <w:rPr>
          <w:rFonts w:ascii="Times New Roman" w:hAnsi="Times New Roman"/>
          <w:bCs/>
          <w:sz w:val="24"/>
          <w:szCs w:val="24"/>
        </w:rPr>
        <w:t>.</w:t>
      </w:r>
      <w:r w:rsidRPr="00FB42E6">
        <w:rPr>
          <w:rFonts w:ascii="Times New Roman" w:hAnsi="Times New Roman"/>
          <w:bCs/>
          <w:sz w:val="24"/>
          <w:szCs w:val="24"/>
        </w:rPr>
        <w:tab/>
        <w:t>L</w:t>
      </w:r>
      <w:r w:rsidR="00BA36D9" w:rsidRPr="00FB42E6">
        <w:rPr>
          <w:rFonts w:ascii="Times New Roman" w:hAnsi="Times New Roman"/>
          <w:bCs/>
          <w:sz w:val="24"/>
          <w:szCs w:val="24"/>
        </w:rPr>
        <w:t xml:space="preserve">a </w:t>
      </w:r>
      <w:r w:rsidR="00DA686D" w:rsidRPr="00FB42E6">
        <w:rPr>
          <w:rFonts w:ascii="Times New Roman" w:hAnsi="Times New Roman"/>
          <w:bCs/>
          <w:sz w:val="24"/>
          <w:szCs w:val="24"/>
        </w:rPr>
        <w:t xml:space="preserve">principale limitation est le contexte sécuritaire particulièrement délicat : </w:t>
      </w:r>
      <w:r w:rsidR="001F7F84" w:rsidRPr="00FB42E6">
        <w:rPr>
          <w:rFonts w:ascii="Times New Roman" w:hAnsi="Times New Roman"/>
          <w:bCs/>
          <w:sz w:val="24"/>
          <w:szCs w:val="24"/>
        </w:rPr>
        <w:t xml:space="preserve">la mission n’a pas pu se rendre dans </w:t>
      </w:r>
      <w:r w:rsidR="00DA686D" w:rsidRPr="00FB42E6">
        <w:rPr>
          <w:rFonts w:ascii="Times New Roman" w:hAnsi="Times New Roman"/>
          <w:bCs/>
          <w:sz w:val="24"/>
          <w:szCs w:val="24"/>
        </w:rPr>
        <w:t>les régions du Centre et du Nord</w:t>
      </w:r>
      <w:r w:rsidR="001F7F84" w:rsidRPr="00FB42E6">
        <w:rPr>
          <w:rFonts w:ascii="Times New Roman" w:hAnsi="Times New Roman"/>
          <w:bCs/>
          <w:sz w:val="24"/>
          <w:szCs w:val="24"/>
        </w:rPr>
        <w:t>, où les enjeux humanitaires et de développement sont les plus tendus. Les déplacement</w:t>
      </w:r>
      <w:r w:rsidR="000F4D40">
        <w:rPr>
          <w:rFonts w:ascii="Times New Roman" w:hAnsi="Times New Roman"/>
          <w:bCs/>
          <w:sz w:val="24"/>
          <w:szCs w:val="24"/>
        </w:rPr>
        <w:t>s</w:t>
      </w:r>
      <w:r w:rsidR="001F7F84" w:rsidRPr="00FB42E6">
        <w:rPr>
          <w:rFonts w:ascii="Times New Roman" w:hAnsi="Times New Roman"/>
          <w:bCs/>
          <w:sz w:val="24"/>
          <w:szCs w:val="24"/>
        </w:rPr>
        <w:t xml:space="preserve"> vers ces régions </w:t>
      </w:r>
      <w:r w:rsidR="00DA686D" w:rsidRPr="00FB42E6">
        <w:rPr>
          <w:rFonts w:ascii="Times New Roman" w:hAnsi="Times New Roman"/>
          <w:bCs/>
          <w:sz w:val="24"/>
          <w:szCs w:val="24"/>
        </w:rPr>
        <w:t>se font par voie aérienne, avec difficulté d’avoir un</w:t>
      </w:r>
      <w:r w:rsidR="001F7F84" w:rsidRPr="00FB42E6">
        <w:rPr>
          <w:rFonts w:ascii="Times New Roman" w:hAnsi="Times New Roman"/>
          <w:bCs/>
          <w:sz w:val="24"/>
          <w:szCs w:val="24"/>
        </w:rPr>
        <w:t xml:space="preserve">e réservation ferme, compte tenu de la pression des demandes de transport. </w:t>
      </w:r>
      <w:r w:rsidR="00835714" w:rsidRPr="00FB42E6">
        <w:rPr>
          <w:rFonts w:ascii="Times New Roman" w:hAnsi="Times New Roman"/>
          <w:bCs/>
          <w:sz w:val="24"/>
          <w:szCs w:val="24"/>
        </w:rPr>
        <w:t xml:space="preserve">Comme stratégie de mitigation, l’évaluation </w:t>
      </w:r>
      <w:r w:rsidR="001F7F84" w:rsidRPr="00FB42E6">
        <w:rPr>
          <w:rFonts w:ascii="Times New Roman" w:hAnsi="Times New Roman"/>
          <w:bCs/>
          <w:sz w:val="24"/>
          <w:szCs w:val="24"/>
        </w:rPr>
        <w:t>s’est rabattue sur la région de Ségou plus accessible par transport terrestre</w:t>
      </w:r>
      <w:r w:rsidR="001166FD" w:rsidRPr="00FB42E6">
        <w:rPr>
          <w:rFonts w:ascii="Times New Roman" w:hAnsi="Times New Roman"/>
          <w:bCs/>
          <w:sz w:val="24"/>
          <w:szCs w:val="24"/>
        </w:rPr>
        <w:t>.</w:t>
      </w:r>
    </w:p>
    <w:p w14:paraId="604B50DD" w14:textId="77777777" w:rsidR="00BA3DC6" w:rsidRPr="00FB42E6" w:rsidRDefault="00BA3DC6" w:rsidP="005B22B2">
      <w:pPr>
        <w:spacing w:after="0" w:line="240" w:lineRule="auto"/>
        <w:jc w:val="both"/>
        <w:rPr>
          <w:rFonts w:ascii="Times New Roman" w:hAnsi="Times New Roman"/>
          <w:bCs/>
          <w:color w:val="FF0000"/>
          <w:sz w:val="24"/>
          <w:szCs w:val="24"/>
        </w:rPr>
      </w:pPr>
      <w:bookmarkStart w:id="90" w:name="_Toc344485709"/>
      <w:bookmarkStart w:id="91" w:name="_Toc348488287"/>
    </w:p>
    <w:p w14:paraId="604B50DE" w14:textId="77777777" w:rsidR="00BA3DC6" w:rsidRPr="00FB42E6" w:rsidRDefault="00BA3DC6" w:rsidP="005B22B2">
      <w:pPr>
        <w:pStyle w:val="Titre3"/>
        <w:numPr>
          <w:ilvl w:val="1"/>
          <w:numId w:val="2"/>
        </w:numPr>
        <w:spacing w:before="0" w:line="240" w:lineRule="auto"/>
        <w:rPr>
          <w:rFonts w:ascii="Times New Roman" w:hAnsi="Times New Roman"/>
          <w:color w:val="auto"/>
          <w:sz w:val="24"/>
          <w:szCs w:val="24"/>
        </w:rPr>
      </w:pPr>
      <w:bookmarkStart w:id="92" w:name="_Toc355533891"/>
      <w:bookmarkStart w:id="93" w:name="_Toc499211585"/>
      <w:bookmarkStart w:id="94" w:name="_Toc500967838"/>
      <w:bookmarkStart w:id="95" w:name="_Toc500974518"/>
      <w:bookmarkStart w:id="96" w:name="_Toc502863855"/>
      <w:bookmarkStart w:id="97" w:name="_Toc505758462"/>
      <w:bookmarkStart w:id="98" w:name="_Toc506201554"/>
      <w:r w:rsidRPr="00FB42E6">
        <w:rPr>
          <w:rFonts w:ascii="Times New Roman" w:hAnsi="Times New Roman"/>
          <w:color w:val="auto"/>
          <w:sz w:val="24"/>
          <w:szCs w:val="24"/>
        </w:rPr>
        <w:t>Calendrier de la mission</w:t>
      </w:r>
      <w:bookmarkEnd w:id="90"/>
      <w:bookmarkEnd w:id="91"/>
      <w:bookmarkEnd w:id="92"/>
      <w:bookmarkEnd w:id="93"/>
      <w:bookmarkEnd w:id="94"/>
      <w:bookmarkEnd w:id="95"/>
      <w:bookmarkEnd w:id="96"/>
      <w:bookmarkEnd w:id="97"/>
      <w:bookmarkEnd w:id="98"/>
    </w:p>
    <w:p w14:paraId="604B50DF" w14:textId="77777777" w:rsidR="00BA3DC6" w:rsidRPr="00FB42E6" w:rsidRDefault="00BA3DC6" w:rsidP="005B22B2">
      <w:pPr>
        <w:spacing w:after="0" w:line="240" w:lineRule="auto"/>
        <w:jc w:val="both"/>
        <w:rPr>
          <w:rFonts w:ascii="Times New Roman" w:hAnsi="Times New Roman"/>
          <w:bCs/>
          <w:sz w:val="24"/>
          <w:szCs w:val="24"/>
        </w:rPr>
      </w:pPr>
    </w:p>
    <w:p w14:paraId="604B50E0" w14:textId="77777777" w:rsidR="00BA3DC6" w:rsidRPr="00FB42E6" w:rsidRDefault="00BA3DC6"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1</w:t>
      </w:r>
      <w:r w:rsidR="00DD4E35">
        <w:rPr>
          <w:rFonts w:ascii="Times New Roman" w:hAnsi="Times New Roman"/>
          <w:bCs/>
          <w:sz w:val="24"/>
          <w:szCs w:val="24"/>
        </w:rPr>
        <w:t>5</w:t>
      </w:r>
      <w:r w:rsidRPr="00FB42E6">
        <w:rPr>
          <w:rFonts w:ascii="Times New Roman" w:hAnsi="Times New Roman"/>
          <w:bCs/>
          <w:sz w:val="24"/>
          <w:szCs w:val="24"/>
        </w:rPr>
        <w:t>.</w:t>
      </w:r>
      <w:r w:rsidRPr="00FB42E6">
        <w:rPr>
          <w:rFonts w:ascii="Times New Roman" w:hAnsi="Times New Roman"/>
          <w:bCs/>
          <w:sz w:val="24"/>
          <w:szCs w:val="24"/>
        </w:rPr>
        <w:tab/>
      </w:r>
      <w:r w:rsidR="00A2631A" w:rsidRPr="00FB42E6">
        <w:rPr>
          <w:rFonts w:ascii="Times New Roman" w:hAnsi="Times New Roman"/>
          <w:bCs/>
          <w:sz w:val="24"/>
          <w:szCs w:val="24"/>
        </w:rPr>
        <w:t>L</w:t>
      </w:r>
      <w:r w:rsidR="007A2BC3" w:rsidRPr="00FB42E6">
        <w:rPr>
          <w:rFonts w:ascii="Times New Roman" w:hAnsi="Times New Roman"/>
          <w:bCs/>
          <w:sz w:val="24"/>
          <w:szCs w:val="24"/>
        </w:rPr>
        <w:t xml:space="preserve">a mission </w:t>
      </w:r>
      <w:r w:rsidRPr="00FB42E6">
        <w:rPr>
          <w:rFonts w:ascii="Times New Roman" w:hAnsi="Times New Roman"/>
          <w:bCs/>
          <w:sz w:val="24"/>
          <w:szCs w:val="24"/>
        </w:rPr>
        <w:t xml:space="preserve">en République </w:t>
      </w:r>
      <w:r w:rsidR="007A2BC3" w:rsidRPr="00FB42E6">
        <w:rPr>
          <w:rFonts w:ascii="Times New Roman" w:hAnsi="Times New Roman"/>
          <w:bCs/>
          <w:sz w:val="24"/>
          <w:szCs w:val="24"/>
        </w:rPr>
        <w:t>d</w:t>
      </w:r>
      <w:r w:rsidR="00A2631A" w:rsidRPr="00FB42E6">
        <w:rPr>
          <w:rFonts w:ascii="Times New Roman" w:hAnsi="Times New Roman"/>
          <w:bCs/>
          <w:sz w:val="24"/>
          <w:szCs w:val="24"/>
        </w:rPr>
        <w:t xml:space="preserve">u </w:t>
      </w:r>
      <w:r w:rsidR="001F7F84" w:rsidRPr="00FB42E6">
        <w:rPr>
          <w:rFonts w:ascii="Times New Roman" w:hAnsi="Times New Roman"/>
          <w:bCs/>
          <w:sz w:val="24"/>
          <w:szCs w:val="24"/>
        </w:rPr>
        <w:t>Mali</w:t>
      </w:r>
      <w:r w:rsidR="00A2631A" w:rsidRPr="00FB42E6">
        <w:rPr>
          <w:rFonts w:ascii="Times New Roman" w:hAnsi="Times New Roman"/>
          <w:bCs/>
          <w:sz w:val="24"/>
          <w:szCs w:val="24"/>
        </w:rPr>
        <w:t xml:space="preserve"> </w:t>
      </w:r>
      <w:r w:rsidR="007A2BC3" w:rsidRPr="00FB42E6">
        <w:rPr>
          <w:rFonts w:ascii="Times New Roman" w:hAnsi="Times New Roman"/>
          <w:bCs/>
          <w:sz w:val="24"/>
          <w:szCs w:val="24"/>
        </w:rPr>
        <w:t xml:space="preserve">a eu lieu </w:t>
      </w:r>
      <w:r w:rsidRPr="00FB42E6">
        <w:rPr>
          <w:rFonts w:ascii="Times New Roman" w:hAnsi="Times New Roman"/>
          <w:bCs/>
          <w:sz w:val="24"/>
          <w:szCs w:val="24"/>
        </w:rPr>
        <w:t xml:space="preserve">du </w:t>
      </w:r>
      <w:r w:rsidR="001F7F84" w:rsidRPr="00FB42E6">
        <w:rPr>
          <w:rFonts w:ascii="Times New Roman" w:hAnsi="Times New Roman"/>
          <w:bCs/>
          <w:sz w:val="24"/>
          <w:szCs w:val="24"/>
        </w:rPr>
        <w:t>4</w:t>
      </w:r>
      <w:r w:rsidR="00A2631A" w:rsidRPr="00FB42E6">
        <w:rPr>
          <w:rFonts w:ascii="Times New Roman" w:hAnsi="Times New Roman"/>
          <w:bCs/>
          <w:sz w:val="24"/>
          <w:szCs w:val="24"/>
        </w:rPr>
        <w:t xml:space="preserve"> </w:t>
      </w:r>
      <w:r w:rsidR="001F7F84" w:rsidRPr="00FB42E6">
        <w:rPr>
          <w:rFonts w:ascii="Times New Roman" w:hAnsi="Times New Roman"/>
          <w:bCs/>
          <w:sz w:val="24"/>
          <w:szCs w:val="24"/>
        </w:rPr>
        <w:t>au</w:t>
      </w:r>
      <w:r w:rsidR="00A2631A" w:rsidRPr="00FB42E6">
        <w:rPr>
          <w:rFonts w:ascii="Times New Roman" w:hAnsi="Times New Roman"/>
          <w:bCs/>
          <w:sz w:val="24"/>
          <w:szCs w:val="24"/>
        </w:rPr>
        <w:t xml:space="preserve"> </w:t>
      </w:r>
      <w:r w:rsidR="001F7F84" w:rsidRPr="00FB42E6">
        <w:rPr>
          <w:rFonts w:ascii="Times New Roman" w:hAnsi="Times New Roman"/>
          <w:bCs/>
          <w:sz w:val="24"/>
          <w:szCs w:val="24"/>
        </w:rPr>
        <w:t>21</w:t>
      </w:r>
      <w:r w:rsidR="00A2631A" w:rsidRPr="00FB42E6">
        <w:rPr>
          <w:rFonts w:ascii="Times New Roman" w:hAnsi="Times New Roman"/>
          <w:bCs/>
          <w:sz w:val="24"/>
          <w:szCs w:val="24"/>
        </w:rPr>
        <w:t xml:space="preserve"> </w:t>
      </w:r>
      <w:r w:rsidR="009D3E2D" w:rsidRPr="00FB42E6">
        <w:rPr>
          <w:rFonts w:ascii="Times New Roman" w:hAnsi="Times New Roman"/>
          <w:bCs/>
          <w:sz w:val="24"/>
          <w:szCs w:val="24"/>
        </w:rPr>
        <w:t>Décem</w:t>
      </w:r>
      <w:r w:rsidR="007A2BC3" w:rsidRPr="00FB42E6">
        <w:rPr>
          <w:rFonts w:ascii="Times New Roman" w:hAnsi="Times New Roman"/>
          <w:bCs/>
          <w:sz w:val="24"/>
          <w:szCs w:val="24"/>
        </w:rPr>
        <w:t xml:space="preserve">bre </w:t>
      </w:r>
      <w:r w:rsidR="00A2631A" w:rsidRPr="00FB42E6">
        <w:rPr>
          <w:rFonts w:ascii="Times New Roman" w:hAnsi="Times New Roman"/>
          <w:bCs/>
          <w:sz w:val="24"/>
          <w:szCs w:val="24"/>
        </w:rPr>
        <w:t>2017</w:t>
      </w:r>
      <w:r w:rsidR="009D3E2D" w:rsidRPr="00FB42E6">
        <w:rPr>
          <w:rFonts w:ascii="Times New Roman" w:hAnsi="Times New Roman"/>
          <w:bCs/>
          <w:sz w:val="24"/>
          <w:szCs w:val="24"/>
        </w:rPr>
        <w:t xml:space="preserve">. Elle a été précédée par une phase de revue documentaire sanctionnée par un rapport initial sur la méthodologie et le cadre de mise en œuvre de l’évaluation, et a débouché sur une phase </w:t>
      </w:r>
      <w:r w:rsidR="009D3E2D" w:rsidRPr="00FB42E6">
        <w:rPr>
          <w:rFonts w:ascii="Times New Roman" w:hAnsi="Times New Roman"/>
          <w:bCs/>
          <w:sz w:val="24"/>
          <w:szCs w:val="24"/>
        </w:rPr>
        <w:lastRenderedPageBreak/>
        <w:t>d’exploitation et d’analyse de données sanctionné</w:t>
      </w:r>
      <w:r w:rsidR="001F7F84" w:rsidRPr="00FB42E6">
        <w:rPr>
          <w:rFonts w:ascii="Times New Roman" w:hAnsi="Times New Roman"/>
          <w:bCs/>
          <w:sz w:val="24"/>
          <w:szCs w:val="24"/>
        </w:rPr>
        <w:t>e</w:t>
      </w:r>
      <w:r w:rsidR="009D3E2D" w:rsidRPr="00FB42E6">
        <w:rPr>
          <w:rFonts w:ascii="Times New Roman" w:hAnsi="Times New Roman"/>
          <w:bCs/>
          <w:sz w:val="24"/>
          <w:szCs w:val="24"/>
        </w:rPr>
        <w:t xml:space="preserve"> par le rapport </w:t>
      </w:r>
      <w:r w:rsidR="001F7F84" w:rsidRPr="00FB42E6">
        <w:rPr>
          <w:rFonts w:ascii="Times New Roman" w:hAnsi="Times New Roman"/>
          <w:bCs/>
          <w:sz w:val="24"/>
          <w:szCs w:val="24"/>
        </w:rPr>
        <w:t xml:space="preserve">provisoire </w:t>
      </w:r>
      <w:r w:rsidR="009D3E2D" w:rsidRPr="00FB42E6">
        <w:rPr>
          <w:rFonts w:ascii="Times New Roman" w:hAnsi="Times New Roman"/>
          <w:bCs/>
          <w:sz w:val="24"/>
          <w:szCs w:val="24"/>
        </w:rPr>
        <w:t xml:space="preserve">d’évaluation livré le </w:t>
      </w:r>
      <w:r w:rsidR="001F7F84" w:rsidRPr="00FB42E6">
        <w:rPr>
          <w:rFonts w:ascii="Times New Roman" w:hAnsi="Times New Roman"/>
          <w:bCs/>
          <w:sz w:val="24"/>
          <w:szCs w:val="24"/>
        </w:rPr>
        <w:t>24</w:t>
      </w:r>
      <w:r w:rsidR="009D3E2D" w:rsidRPr="00FB42E6">
        <w:rPr>
          <w:rFonts w:ascii="Times New Roman" w:hAnsi="Times New Roman"/>
          <w:bCs/>
          <w:sz w:val="24"/>
          <w:szCs w:val="24"/>
        </w:rPr>
        <w:t xml:space="preserve"> Décembre 2017</w:t>
      </w:r>
      <w:r w:rsidR="001F7F84" w:rsidRPr="00FB42E6">
        <w:rPr>
          <w:rFonts w:ascii="Times New Roman" w:hAnsi="Times New Roman"/>
          <w:bCs/>
          <w:sz w:val="24"/>
          <w:szCs w:val="24"/>
        </w:rPr>
        <w:t>, et le rapport de révision livré le 15 Janvier 2018</w:t>
      </w:r>
      <w:r w:rsidR="009D3E2D" w:rsidRPr="00FB42E6">
        <w:rPr>
          <w:rFonts w:ascii="Times New Roman" w:hAnsi="Times New Roman"/>
          <w:bCs/>
          <w:sz w:val="24"/>
          <w:szCs w:val="24"/>
        </w:rPr>
        <w:t>.</w:t>
      </w:r>
    </w:p>
    <w:p w14:paraId="604B50E1" w14:textId="77777777" w:rsidR="0076625E" w:rsidRPr="00FB42E6" w:rsidRDefault="0076625E" w:rsidP="005B22B2">
      <w:pPr>
        <w:tabs>
          <w:tab w:val="left" w:pos="1945"/>
        </w:tabs>
        <w:spacing w:after="0" w:line="240" w:lineRule="auto"/>
        <w:jc w:val="both"/>
        <w:rPr>
          <w:rFonts w:ascii="Times New Roman" w:hAnsi="Times New Roman"/>
          <w:bCs/>
          <w:sz w:val="24"/>
          <w:szCs w:val="24"/>
        </w:rPr>
      </w:pPr>
      <w:r w:rsidRPr="00FB42E6">
        <w:rPr>
          <w:rFonts w:ascii="Times New Roman" w:hAnsi="Times New Roman"/>
          <w:bCs/>
          <w:sz w:val="24"/>
          <w:szCs w:val="24"/>
        </w:rPr>
        <w:tab/>
      </w:r>
    </w:p>
    <w:p w14:paraId="604B50E2" w14:textId="77777777" w:rsidR="00BA3DC6" w:rsidRPr="00FB42E6" w:rsidRDefault="00C9419B" w:rsidP="005B22B2">
      <w:pPr>
        <w:spacing w:after="0" w:line="240" w:lineRule="auto"/>
        <w:jc w:val="both"/>
        <w:rPr>
          <w:rFonts w:ascii="Times New Roman" w:hAnsi="Times New Roman"/>
          <w:bCs/>
          <w:sz w:val="24"/>
          <w:szCs w:val="24"/>
        </w:rPr>
      </w:pPr>
      <w:r w:rsidRPr="00FB42E6">
        <w:rPr>
          <w:rFonts w:ascii="Times New Roman" w:hAnsi="Times New Roman"/>
          <w:bCs/>
          <w:sz w:val="24"/>
          <w:szCs w:val="24"/>
        </w:rPr>
        <w:t>1</w:t>
      </w:r>
      <w:r w:rsidR="00DD4E35">
        <w:rPr>
          <w:rFonts w:ascii="Times New Roman" w:hAnsi="Times New Roman"/>
          <w:bCs/>
          <w:sz w:val="24"/>
          <w:szCs w:val="24"/>
        </w:rPr>
        <w:t>6</w:t>
      </w:r>
      <w:r w:rsidRPr="00FB42E6">
        <w:rPr>
          <w:rFonts w:ascii="Times New Roman" w:hAnsi="Times New Roman"/>
          <w:bCs/>
          <w:sz w:val="24"/>
          <w:szCs w:val="24"/>
        </w:rPr>
        <w:t>.</w:t>
      </w:r>
      <w:r w:rsidR="00BA3DC6" w:rsidRPr="00FB42E6">
        <w:rPr>
          <w:rFonts w:ascii="Times New Roman" w:hAnsi="Times New Roman"/>
          <w:bCs/>
          <w:sz w:val="24"/>
          <w:szCs w:val="24"/>
        </w:rPr>
        <w:tab/>
        <w:t>L</w:t>
      </w:r>
      <w:r w:rsidR="00464B45" w:rsidRPr="00FB42E6">
        <w:rPr>
          <w:rFonts w:ascii="Times New Roman" w:hAnsi="Times New Roman"/>
          <w:bCs/>
          <w:sz w:val="24"/>
          <w:szCs w:val="24"/>
        </w:rPr>
        <w:t xml:space="preserve">a mission au </w:t>
      </w:r>
      <w:r w:rsidR="001F7F84" w:rsidRPr="00FB42E6">
        <w:rPr>
          <w:rFonts w:ascii="Times New Roman" w:hAnsi="Times New Roman"/>
          <w:bCs/>
          <w:sz w:val="24"/>
          <w:szCs w:val="24"/>
        </w:rPr>
        <w:t>Mali</w:t>
      </w:r>
      <w:r w:rsidR="00C71246" w:rsidRPr="00FB42E6">
        <w:rPr>
          <w:rFonts w:ascii="Times New Roman" w:hAnsi="Times New Roman"/>
          <w:bCs/>
          <w:sz w:val="24"/>
          <w:szCs w:val="24"/>
        </w:rPr>
        <w:t xml:space="preserve"> a</w:t>
      </w:r>
      <w:r w:rsidR="00BA3DC6" w:rsidRPr="00FB42E6">
        <w:rPr>
          <w:rFonts w:ascii="Times New Roman" w:hAnsi="Times New Roman"/>
          <w:bCs/>
          <w:sz w:val="24"/>
          <w:szCs w:val="24"/>
        </w:rPr>
        <w:t xml:space="preserve"> démarré par un briefing </w:t>
      </w:r>
      <w:r w:rsidR="00C71246" w:rsidRPr="00FB42E6">
        <w:rPr>
          <w:rFonts w:ascii="Times New Roman" w:hAnsi="Times New Roman"/>
          <w:bCs/>
          <w:sz w:val="24"/>
          <w:szCs w:val="24"/>
        </w:rPr>
        <w:t>au</w:t>
      </w:r>
      <w:r w:rsidR="00BA3DC6" w:rsidRPr="00FB42E6">
        <w:rPr>
          <w:rFonts w:ascii="Times New Roman" w:hAnsi="Times New Roman"/>
          <w:bCs/>
          <w:sz w:val="24"/>
          <w:szCs w:val="24"/>
        </w:rPr>
        <w:t xml:space="preserve"> niveau </w:t>
      </w:r>
      <w:r w:rsidR="001F7F84" w:rsidRPr="00FB42E6">
        <w:rPr>
          <w:rFonts w:ascii="Times New Roman" w:hAnsi="Times New Roman"/>
          <w:bCs/>
          <w:sz w:val="24"/>
          <w:szCs w:val="24"/>
        </w:rPr>
        <w:t xml:space="preserve">stratégique avec l’Equpe Pays (Chef d’agence), puis </w:t>
      </w:r>
      <w:r w:rsidR="00464B45" w:rsidRPr="00FB42E6">
        <w:rPr>
          <w:rFonts w:ascii="Times New Roman" w:hAnsi="Times New Roman"/>
          <w:bCs/>
          <w:sz w:val="24"/>
          <w:szCs w:val="24"/>
        </w:rPr>
        <w:t>technique</w:t>
      </w:r>
      <w:r w:rsidR="00C71246" w:rsidRPr="00FB42E6">
        <w:rPr>
          <w:rFonts w:ascii="Times New Roman" w:hAnsi="Times New Roman"/>
          <w:bCs/>
          <w:sz w:val="24"/>
          <w:szCs w:val="24"/>
        </w:rPr>
        <w:t xml:space="preserve"> avec le Groupe de </w:t>
      </w:r>
      <w:r w:rsidR="001F7F84" w:rsidRPr="00FB42E6">
        <w:rPr>
          <w:rFonts w:ascii="Times New Roman" w:hAnsi="Times New Roman"/>
          <w:bCs/>
          <w:sz w:val="24"/>
          <w:szCs w:val="24"/>
        </w:rPr>
        <w:t>référence de l’Evaluation (les</w:t>
      </w:r>
      <w:r w:rsidR="00C71246" w:rsidRPr="00FB42E6">
        <w:rPr>
          <w:rFonts w:ascii="Times New Roman" w:hAnsi="Times New Roman"/>
          <w:bCs/>
          <w:sz w:val="24"/>
          <w:szCs w:val="24"/>
        </w:rPr>
        <w:t xml:space="preserve"> chargé</w:t>
      </w:r>
      <w:r w:rsidR="001F7F84" w:rsidRPr="00FB42E6">
        <w:rPr>
          <w:rFonts w:ascii="Times New Roman" w:hAnsi="Times New Roman"/>
          <w:bCs/>
          <w:sz w:val="24"/>
          <w:szCs w:val="24"/>
        </w:rPr>
        <w:t>s</w:t>
      </w:r>
      <w:r w:rsidR="00C71246" w:rsidRPr="00FB42E6">
        <w:rPr>
          <w:rFonts w:ascii="Times New Roman" w:hAnsi="Times New Roman"/>
          <w:bCs/>
          <w:sz w:val="24"/>
          <w:szCs w:val="24"/>
        </w:rPr>
        <w:t xml:space="preserve"> du Suivi-Evaluation</w:t>
      </w:r>
      <w:r w:rsidR="001F7F84" w:rsidRPr="00FB42E6">
        <w:rPr>
          <w:rFonts w:ascii="Times New Roman" w:hAnsi="Times New Roman"/>
          <w:bCs/>
          <w:sz w:val="24"/>
          <w:szCs w:val="24"/>
        </w:rPr>
        <w:t xml:space="preserve"> dans le Système)</w:t>
      </w:r>
      <w:r w:rsidR="00464B45" w:rsidRPr="00FB42E6">
        <w:rPr>
          <w:rFonts w:ascii="Times New Roman" w:hAnsi="Times New Roman"/>
          <w:bCs/>
          <w:sz w:val="24"/>
          <w:szCs w:val="24"/>
        </w:rPr>
        <w:t>, et s’</w:t>
      </w:r>
      <w:r w:rsidR="00BA3DC6" w:rsidRPr="00FB42E6">
        <w:rPr>
          <w:rFonts w:ascii="Times New Roman" w:hAnsi="Times New Roman"/>
          <w:bCs/>
          <w:sz w:val="24"/>
          <w:szCs w:val="24"/>
        </w:rPr>
        <w:t xml:space="preserve">est </w:t>
      </w:r>
      <w:r w:rsidR="00415BCF" w:rsidRPr="00FB42E6">
        <w:rPr>
          <w:rFonts w:ascii="Times New Roman" w:hAnsi="Times New Roman"/>
          <w:bCs/>
          <w:sz w:val="24"/>
          <w:szCs w:val="24"/>
        </w:rPr>
        <w:t>conclu</w:t>
      </w:r>
      <w:r w:rsidR="00464B45" w:rsidRPr="00FB42E6">
        <w:rPr>
          <w:rFonts w:ascii="Times New Roman" w:hAnsi="Times New Roman"/>
          <w:bCs/>
          <w:sz w:val="24"/>
          <w:szCs w:val="24"/>
        </w:rPr>
        <w:t>e</w:t>
      </w:r>
      <w:r w:rsidR="00415BCF" w:rsidRPr="00FB42E6">
        <w:rPr>
          <w:rFonts w:ascii="Times New Roman" w:hAnsi="Times New Roman"/>
          <w:bCs/>
          <w:sz w:val="24"/>
          <w:szCs w:val="24"/>
        </w:rPr>
        <w:t xml:space="preserve"> </w:t>
      </w:r>
      <w:r w:rsidR="00BA3DC6" w:rsidRPr="00FB42E6">
        <w:rPr>
          <w:rFonts w:ascii="Times New Roman" w:hAnsi="Times New Roman"/>
          <w:bCs/>
          <w:sz w:val="24"/>
          <w:szCs w:val="24"/>
        </w:rPr>
        <w:t xml:space="preserve">par un débriefing avec </w:t>
      </w:r>
      <w:r w:rsidR="00C71246" w:rsidRPr="00FB42E6">
        <w:rPr>
          <w:rFonts w:ascii="Times New Roman" w:hAnsi="Times New Roman"/>
          <w:bCs/>
          <w:sz w:val="24"/>
          <w:szCs w:val="24"/>
        </w:rPr>
        <w:t>l</w:t>
      </w:r>
      <w:r w:rsidR="005D2341" w:rsidRPr="00FB42E6">
        <w:rPr>
          <w:rFonts w:ascii="Times New Roman" w:hAnsi="Times New Roman"/>
          <w:bCs/>
          <w:sz w:val="24"/>
          <w:szCs w:val="24"/>
        </w:rPr>
        <w:t xml:space="preserve">es mêmes instances. </w:t>
      </w:r>
      <w:r w:rsidR="00BA3DC6" w:rsidRPr="00FB42E6">
        <w:rPr>
          <w:rFonts w:ascii="Times New Roman" w:hAnsi="Times New Roman"/>
          <w:bCs/>
          <w:sz w:val="24"/>
          <w:szCs w:val="24"/>
        </w:rPr>
        <w:t>L</w:t>
      </w:r>
      <w:r w:rsidR="005D2341" w:rsidRPr="00FB42E6">
        <w:rPr>
          <w:rFonts w:ascii="Times New Roman" w:hAnsi="Times New Roman"/>
          <w:bCs/>
          <w:sz w:val="24"/>
          <w:szCs w:val="24"/>
        </w:rPr>
        <w:t xml:space="preserve">e premier type de </w:t>
      </w:r>
      <w:r w:rsidR="004D2D13" w:rsidRPr="00FB42E6">
        <w:rPr>
          <w:rFonts w:ascii="Times New Roman" w:hAnsi="Times New Roman"/>
          <w:bCs/>
          <w:sz w:val="24"/>
          <w:szCs w:val="24"/>
        </w:rPr>
        <w:t xml:space="preserve">rencontre a </w:t>
      </w:r>
      <w:r w:rsidR="00BA3DC6" w:rsidRPr="00FB42E6">
        <w:rPr>
          <w:rFonts w:ascii="Times New Roman" w:hAnsi="Times New Roman"/>
          <w:bCs/>
          <w:sz w:val="24"/>
          <w:szCs w:val="24"/>
        </w:rPr>
        <w:t xml:space="preserve">permis </w:t>
      </w:r>
      <w:r w:rsidR="001A1105" w:rsidRPr="00FB42E6">
        <w:rPr>
          <w:rFonts w:ascii="Times New Roman" w:hAnsi="Times New Roman"/>
          <w:bCs/>
          <w:sz w:val="24"/>
          <w:szCs w:val="24"/>
        </w:rPr>
        <w:t xml:space="preserve">au </w:t>
      </w:r>
      <w:r w:rsidR="004D2D13" w:rsidRPr="00FB42E6">
        <w:rPr>
          <w:rFonts w:ascii="Times New Roman" w:hAnsi="Times New Roman"/>
          <w:bCs/>
          <w:sz w:val="24"/>
          <w:szCs w:val="24"/>
        </w:rPr>
        <w:t xml:space="preserve">Système </w:t>
      </w:r>
      <w:r w:rsidR="00BA3DC6" w:rsidRPr="00FB42E6">
        <w:rPr>
          <w:rFonts w:ascii="Times New Roman" w:hAnsi="Times New Roman"/>
          <w:bCs/>
          <w:sz w:val="24"/>
          <w:szCs w:val="24"/>
        </w:rPr>
        <w:t>de préciser ses attentes</w:t>
      </w:r>
      <w:r w:rsidR="004D2D13" w:rsidRPr="00FB42E6">
        <w:rPr>
          <w:rFonts w:ascii="Times New Roman" w:hAnsi="Times New Roman"/>
          <w:bCs/>
          <w:sz w:val="24"/>
          <w:szCs w:val="24"/>
        </w:rPr>
        <w:t xml:space="preserve">, et aux </w:t>
      </w:r>
      <w:r w:rsidR="00BA3DC6" w:rsidRPr="00FB42E6">
        <w:rPr>
          <w:rFonts w:ascii="Times New Roman" w:hAnsi="Times New Roman"/>
          <w:bCs/>
          <w:sz w:val="24"/>
          <w:szCs w:val="24"/>
        </w:rPr>
        <w:t>évaluateurs de partager leur</w:t>
      </w:r>
      <w:r w:rsidR="00464B45" w:rsidRPr="00FB42E6">
        <w:rPr>
          <w:rFonts w:ascii="Times New Roman" w:hAnsi="Times New Roman"/>
          <w:bCs/>
          <w:sz w:val="24"/>
          <w:szCs w:val="24"/>
        </w:rPr>
        <w:t xml:space="preserve"> compréhension de la mission, </w:t>
      </w:r>
      <w:r w:rsidR="004D2D13" w:rsidRPr="00FB42E6">
        <w:rPr>
          <w:rFonts w:ascii="Times New Roman" w:hAnsi="Times New Roman"/>
          <w:bCs/>
          <w:sz w:val="24"/>
          <w:szCs w:val="24"/>
        </w:rPr>
        <w:t xml:space="preserve">et de faire valider le rapport </w:t>
      </w:r>
      <w:r w:rsidR="00464B45" w:rsidRPr="00FB42E6">
        <w:rPr>
          <w:rFonts w:ascii="Times New Roman" w:hAnsi="Times New Roman"/>
          <w:bCs/>
          <w:sz w:val="24"/>
          <w:szCs w:val="24"/>
        </w:rPr>
        <w:t>initial</w:t>
      </w:r>
      <w:r w:rsidR="005D2341" w:rsidRPr="00FB42E6">
        <w:rPr>
          <w:rFonts w:ascii="Times New Roman" w:hAnsi="Times New Roman"/>
          <w:bCs/>
          <w:sz w:val="24"/>
          <w:szCs w:val="24"/>
        </w:rPr>
        <w:t xml:space="preserve">, </w:t>
      </w:r>
      <w:r w:rsidR="004D2D13" w:rsidRPr="00FB42E6">
        <w:rPr>
          <w:rFonts w:ascii="Times New Roman" w:hAnsi="Times New Roman"/>
          <w:bCs/>
          <w:sz w:val="24"/>
          <w:szCs w:val="24"/>
        </w:rPr>
        <w:t xml:space="preserve"> et la méthodologie et les outils y contenus, t</w:t>
      </w:r>
      <w:r w:rsidR="00BA3DC6" w:rsidRPr="00FB42E6">
        <w:rPr>
          <w:rFonts w:ascii="Times New Roman" w:hAnsi="Times New Roman"/>
          <w:bCs/>
          <w:sz w:val="24"/>
          <w:szCs w:val="24"/>
        </w:rPr>
        <w:t>andis que le</w:t>
      </w:r>
      <w:r w:rsidR="005D2341" w:rsidRPr="00FB42E6">
        <w:rPr>
          <w:rFonts w:ascii="Times New Roman" w:hAnsi="Times New Roman"/>
          <w:bCs/>
          <w:sz w:val="24"/>
          <w:szCs w:val="24"/>
        </w:rPr>
        <w:t xml:space="preserve"> second type </w:t>
      </w:r>
      <w:r w:rsidR="00BA3DC6" w:rsidRPr="00FB42E6">
        <w:rPr>
          <w:rFonts w:ascii="Times New Roman" w:hAnsi="Times New Roman"/>
          <w:bCs/>
          <w:sz w:val="24"/>
          <w:szCs w:val="24"/>
        </w:rPr>
        <w:t xml:space="preserve">a donné aux Consultants l’opportunité de restituer leurs </w:t>
      </w:r>
      <w:r w:rsidR="001A1105" w:rsidRPr="00FB42E6">
        <w:rPr>
          <w:rFonts w:ascii="Times New Roman" w:hAnsi="Times New Roman"/>
          <w:bCs/>
          <w:sz w:val="24"/>
          <w:szCs w:val="24"/>
        </w:rPr>
        <w:t xml:space="preserve">observations </w:t>
      </w:r>
      <w:r w:rsidR="00BA3DC6" w:rsidRPr="00FB42E6">
        <w:rPr>
          <w:rFonts w:ascii="Times New Roman" w:hAnsi="Times New Roman"/>
          <w:bCs/>
          <w:sz w:val="24"/>
          <w:szCs w:val="24"/>
        </w:rPr>
        <w:t>intermédiaires et de recueillir le premier feedback des parties avant d’aller plus avant dans l’élaboration du rapport.</w:t>
      </w:r>
    </w:p>
    <w:p w14:paraId="604B50E3" w14:textId="77777777" w:rsidR="006D47EF" w:rsidRPr="00FB42E6" w:rsidRDefault="006D47EF" w:rsidP="005B22B2">
      <w:pPr>
        <w:spacing w:after="0" w:line="240" w:lineRule="auto"/>
        <w:jc w:val="both"/>
        <w:rPr>
          <w:rFonts w:ascii="Times New Roman" w:hAnsi="Times New Roman"/>
          <w:bCs/>
          <w:sz w:val="24"/>
          <w:szCs w:val="24"/>
        </w:rPr>
      </w:pPr>
    </w:p>
    <w:p w14:paraId="604B50E4" w14:textId="77777777" w:rsidR="00BA3DC6" w:rsidRPr="00FB42E6" w:rsidRDefault="00BA3DC6" w:rsidP="005B22B2">
      <w:pPr>
        <w:pStyle w:val="Titre1"/>
        <w:numPr>
          <w:ilvl w:val="0"/>
          <w:numId w:val="3"/>
        </w:numPr>
        <w:spacing w:before="0" w:line="240" w:lineRule="auto"/>
        <w:rPr>
          <w:rFonts w:ascii="Times New Roman" w:hAnsi="Times New Roman"/>
          <w:color w:val="auto"/>
          <w:sz w:val="24"/>
          <w:szCs w:val="24"/>
        </w:rPr>
      </w:pPr>
      <w:bookmarkStart w:id="99" w:name="_Toc502863856"/>
      <w:bookmarkStart w:id="100" w:name="_Toc505758463"/>
      <w:bookmarkStart w:id="101" w:name="_Toc506201555"/>
      <w:bookmarkStart w:id="102" w:name="_Toc499211587"/>
      <w:bookmarkStart w:id="103" w:name="_Toc500967839"/>
      <w:bookmarkStart w:id="104" w:name="_Toc500974519"/>
      <w:r w:rsidRPr="00FB42E6">
        <w:rPr>
          <w:rFonts w:ascii="Times New Roman" w:hAnsi="Times New Roman"/>
          <w:color w:val="auto"/>
          <w:sz w:val="24"/>
          <w:szCs w:val="24"/>
        </w:rPr>
        <w:t>Contexte</w:t>
      </w:r>
      <w:bookmarkEnd w:id="99"/>
      <w:bookmarkEnd w:id="100"/>
      <w:bookmarkEnd w:id="101"/>
      <w:r w:rsidRPr="00FB42E6">
        <w:rPr>
          <w:rFonts w:ascii="Times New Roman" w:hAnsi="Times New Roman"/>
          <w:color w:val="auto"/>
          <w:sz w:val="24"/>
          <w:szCs w:val="24"/>
        </w:rPr>
        <w:t xml:space="preserve"> </w:t>
      </w:r>
      <w:bookmarkEnd w:id="102"/>
      <w:bookmarkEnd w:id="103"/>
      <w:bookmarkEnd w:id="104"/>
    </w:p>
    <w:p w14:paraId="604B50E5" w14:textId="77777777" w:rsidR="003B61FD" w:rsidRPr="00FB42E6" w:rsidRDefault="003B61FD" w:rsidP="005B22B2">
      <w:pPr>
        <w:spacing w:after="0" w:line="240" w:lineRule="auto"/>
        <w:jc w:val="both"/>
        <w:rPr>
          <w:rFonts w:ascii="Times New Roman" w:hAnsi="Times New Roman"/>
          <w:sz w:val="24"/>
          <w:szCs w:val="24"/>
        </w:rPr>
      </w:pPr>
    </w:p>
    <w:p w14:paraId="604B50E6" w14:textId="77777777" w:rsidR="003B61FD" w:rsidRPr="00FB42E6" w:rsidRDefault="003B61FD" w:rsidP="005B22B2">
      <w:pPr>
        <w:spacing w:after="0" w:line="240" w:lineRule="auto"/>
        <w:jc w:val="both"/>
        <w:rPr>
          <w:rFonts w:ascii="Times New Roman" w:hAnsi="Times New Roman"/>
          <w:sz w:val="24"/>
          <w:szCs w:val="24"/>
        </w:rPr>
      </w:pPr>
      <w:r w:rsidRPr="00FB42E6">
        <w:rPr>
          <w:rFonts w:ascii="Times New Roman" w:hAnsi="Times New Roman"/>
          <w:sz w:val="24"/>
          <w:szCs w:val="24"/>
        </w:rPr>
        <w:t>1</w:t>
      </w:r>
      <w:r w:rsidR="00DD4E35">
        <w:rPr>
          <w:rFonts w:ascii="Times New Roman" w:hAnsi="Times New Roman"/>
          <w:sz w:val="24"/>
          <w:szCs w:val="24"/>
        </w:rPr>
        <w:t>7</w:t>
      </w:r>
      <w:r w:rsidRPr="00FB42E6">
        <w:rPr>
          <w:rFonts w:ascii="Times New Roman" w:hAnsi="Times New Roman"/>
          <w:sz w:val="24"/>
          <w:szCs w:val="24"/>
        </w:rPr>
        <w:t>.</w:t>
      </w:r>
      <w:r w:rsidRPr="00FB42E6">
        <w:rPr>
          <w:rFonts w:ascii="Times New Roman" w:hAnsi="Times New Roman"/>
          <w:sz w:val="24"/>
          <w:szCs w:val="24"/>
        </w:rPr>
        <w:tab/>
        <w:t>En introduction aux contextes thématiques spécifiques sur lesquels s’articulent les différents axes du programme, il est important de mentionner que cette première moitié de  L’UNDAF</w:t>
      </w:r>
      <w:r w:rsidRPr="00FB42E6">
        <w:rPr>
          <w:rFonts w:ascii="Times New Roman" w:hAnsi="Times New Roman"/>
          <w:sz w:val="24"/>
          <w:szCs w:val="24"/>
          <w:vertAlign w:val="superscript"/>
        </w:rPr>
        <w:t>+</w:t>
      </w:r>
      <w:r w:rsidRPr="00FB42E6">
        <w:rPr>
          <w:rFonts w:ascii="Times New Roman" w:hAnsi="Times New Roman"/>
          <w:sz w:val="24"/>
          <w:szCs w:val="24"/>
        </w:rPr>
        <w:t xml:space="preserve">, Cadre des Nations Unies pour l’Assistance au Développement, </w:t>
      </w:r>
      <w:r w:rsidR="008C1DF1" w:rsidRPr="00FB42E6">
        <w:rPr>
          <w:rFonts w:ascii="Times New Roman" w:hAnsi="Times New Roman"/>
          <w:sz w:val="24"/>
          <w:szCs w:val="24"/>
        </w:rPr>
        <w:t xml:space="preserve">intégrant les agences d’un côté et la Mission de l’autre, </w:t>
      </w:r>
      <w:r w:rsidRPr="00FB42E6">
        <w:rPr>
          <w:rFonts w:ascii="Times New Roman" w:hAnsi="Times New Roman"/>
          <w:sz w:val="24"/>
          <w:szCs w:val="24"/>
        </w:rPr>
        <w:t xml:space="preserve">est à cheval </w:t>
      </w:r>
      <w:r w:rsidR="008C1DF1" w:rsidRPr="00FB42E6">
        <w:rPr>
          <w:rFonts w:ascii="Times New Roman" w:hAnsi="Times New Roman"/>
          <w:sz w:val="24"/>
          <w:szCs w:val="24"/>
        </w:rPr>
        <w:t>sur</w:t>
      </w:r>
      <w:r w:rsidRPr="00FB42E6">
        <w:rPr>
          <w:rFonts w:ascii="Times New Roman" w:hAnsi="Times New Roman"/>
          <w:sz w:val="24"/>
          <w:szCs w:val="24"/>
        </w:rPr>
        <w:t xml:space="preserve"> la fin de cycle des Objectifs d</w:t>
      </w:r>
      <w:r w:rsidR="008C1DF1" w:rsidRPr="00FB42E6">
        <w:rPr>
          <w:rFonts w:ascii="Times New Roman" w:hAnsi="Times New Roman"/>
          <w:sz w:val="24"/>
          <w:szCs w:val="24"/>
        </w:rPr>
        <w:t>u</w:t>
      </w:r>
      <w:r w:rsidRPr="00FB42E6">
        <w:rPr>
          <w:rFonts w:ascii="Times New Roman" w:hAnsi="Times New Roman"/>
          <w:sz w:val="24"/>
          <w:szCs w:val="24"/>
        </w:rPr>
        <w:t xml:space="preserve"> </w:t>
      </w:r>
      <w:r w:rsidR="008C1DF1" w:rsidRPr="00FB42E6">
        <w:rPr>
          <w:rFonts w:ascii="Times New Roman" w:hAnsi="Times New Roman"/>
          <w:sz w:val="24"/>
          <w:szCs w:val="24"/>
        </w:rPr>
        <w:t>Millénaire pour le D</w:t>
      </w:r>
      <w:r w:rsidRPr="00FB42E6">
        <w:rPr>
          <w:rFonts w:ascii="Times New Roman" w:hAnsi="Times New Roman"/>
          <w:sz w:val="24"/>
          <w:szCs w:val="24"/>
        </w:rPr>
        <w:t>éveloppement qui lui ont servi de contexte d’élaboration et de mise en œuvre de la première année de programmation, d’une part, et les deux premières années des Objectifs de Développement Durable</w:t>
      </w:r>
      <w:r w:rsidR="008C1DF1" w:rsidRPr="00FB42E6">
        <w:rPr>
          <w:rFonts w:ascii="Times New Roman" w:hAnsi="Times New Roman"/>
          <w:sz w:val="24"/>
          <w:szCs w:val="24"/>
        </w:rPr>
        <w:t>,</w:t>
      </w:r>
      <w:r w:rsidRPr="00FB42E6">
        <w:rPr>
          <w:rFonts w:ascii="Times New Roman" w:hAnsi="Times New Roman"/>
          <w:sz w:val="24"/>
          <w:szCs w:val="24"/>
        </w:rPr>
        <w:t xml:space="preserve"> que le pays a d’ailleurs consacrées à les prioriser, d’autre part.</w:t>
      </w:r>
    </w:p>
    <w:p w14:paraId="604B50E7" w14:textId="77777777" w:rsidR="003B61FD" w:rsidRPr="00FB42E6" w:rsidRDefault="003B61FD" w:rsidP="005B22B2">
      <w:pPr>
        <w:spacing w:after="0" w:line="240" w:lineRule="auto"/>
        <w:jc w:val="both"/>
        <w:rPr>
          <w:rFonts w:ascii="Times New Roman" w:hAnsi="Times New Roman"/>
          <w:b/>
          <w:bCs/>
          <w:sz w:val="24"/>
          <w:szCs w:val="24"/>
        </w:rPr>
      </w:pPr>
    </w:p>
    <w:p w14:paraId="604B50E8" w14:textId="77777777" w:rsidR="003B61FD" w:rsidRPr="00FB42E6" w:rsidRDefault="003B61FD" w:rsidP="005B22B2">
      <w:pPr>
        <w:numPr>
          <w:ilvl w:val="1"/>
          <w:numId w:val="3"/>
        </w:numPr>
        <w:spacing w:after="0" w:line="240" w:lineRule="auto"/>
        <w:jc w:val="both"/>
        <w:rPr>
          <w:rFonts w:ascii="Times New Roman" w:hAnsi="Times New Roman"/>
          <w:b/>
          <w:bCs/>
          <w:sz w:val="24"/>
          <w:szCs w:val="24"/>
        </w:rPr>
      </w:pPr>
      <w:bookmarkStart w:id="105" w:name="_Toc499211588"/>
      <w:bookmarkStart w:id="106" w:name="_Toc499213861"/>
      <w:r w:rsidRPr="00FB42E6">
        <w:rPr>
          <w:rFonts w:ascii="Times New Roman" w:hAnsi="Times New Roman"/>
          <w:b/>
          <w:bCs/>
          <w:sz w:val="24"/>
          <w:szCs w:val="24"/>
        </w:rPr>
        <w:t>Milieu naturel</w:t>
      </w:r>
      <w:bookmarkEnd w:id="105"/>
      <w:bookmarkEnd w:id="106"/>
    </w:p>
    <w:p w14:paraId="604B50E9" w14:textId="77777777" w:rsidR="003B61FD" w:rsidRPr="00FB42E6" w:rsidRDefault="003B61FD" w:rsidP="005B22B2">
      <w:pPr>
        <w:spacing w:after="0" w:line="240" w:lineRule="auto"/>
        <w:jc w:val="both"/>
        <w:rPr>
          <w:rFonts w:ascii="Times New Roman" w:hAnsi="Times New Roman"/>
          <w:sz w:val="24"/>
          <w:szCs w:val="24"/>
        </w:rPr>
      </w:pPr>
    </w:p>
    <w:p w14:paraId="604B50EA" w14:textId="77777777" w:rsidR="003B61FD" w:rsidRPr="00FB42E6" w:rsidRDefault="003B61FD" w:rsidP="005B22B2">
      <w:pPr>
        <w:spacing w:after="0" w:line="240" w:lineRule="auto"/>
        <w:jc w:val="both"/>
        <w:rPr>
          <w:rFonts w:ascii="Times New Roman" w:hAnsi="Times New Roman"/>
          <w:sz w:val="24"/>
          <w:szCs w:val="24"/>
        </w:rPr>
      </w:pPr>
      <w:r w:rsidRPr="00FB42E6">
        <w:rPr>
          <w:rFonts w:ascii="Times New Roman" w:hAnsi="Times New Roman"/>
          <w:sz w:val="24"/>
          <w:szCs w:val="24"/>
        </w:rPr>
        <w:t>1</w:t>
      </w:r>
      <w:r w:rsidR="00DD4E35">
        <w:rPr>
          <w:rFonts w:ascii="Times New Roman" w:hAnsi="Times New Roman"/>
          <w:sz w:val="24"/>
          <w:szCs w:val="24"/>
        </w:rPr>
        <w:t>8</w:t>
      </w:r>
      <w:r w:rsidRPr="00FB42E6">
        <w:rPr>
          <w:rFonts w:ascii="Times New Roman" w:hAnsi="Times New Roman"/>
          <w:sz w:val="24"/>
          <w:szCs w:val="24"/>
        </w:rPr>
        <w:t>.</w:t>
      </w:r>
      <w:r w:rsidRPr="00FB42E6">
        <w:rPr>
          <w:rFonts w:ascii="Times New Roman" w:hAnsi="Times New Roman"/>
          <w:sz w:val="24"/>
          <w:szCs w:val="24"/>
        </w:rPr>
        <w:tab/>
        <w:t xml:space="preserve">Le Mali couvre une superficie de 1.241.238 Km2, avec une population estimée à 17,5 millions habitants en 2015 (source : Direction nationale de la Population), dont 50,4% de femmes. A 3,6% en rythme annuel, la croissance naturelle est importante, parmi les plus élevées de la région. La densité démographique est très variable d’une zone à une autre, passant de 90 habitants/Km2 à moins de 5 habitants/Km2 dans l’extrême nord du pays. </w:t>
      </w:r>
    </w:p>
    <w:p w14:paraId="604B50EB" w14:textId="77777777" w:rsidR="003B61FD" w:rsidRPr="00FB42E6" w:rsidRDefault="003B61FD" w:rsidP="005B22B2">
      <w:pPr>
        <w:spacing w:after="0" w:line="240" w:lineRule="auto"/>
        <w:jc w:val="both"/>
        <w:rPr>
          <w:rFonts w:ascii="Times New Roman" w:hAnsi="Times New Roman"/>
          <w:sz w:val="24"/>
          <w:szCs w:val="24"/>
        </w:rPr>
      </w:pPr>
    </w:p>
    <w:p w14:paraId="604B50EC" w14:textId="77777777" w:rsidR="003B61FD" w:rsidRPr="00FB42E6" w:rsidRDefault="003B61FD" w:rsidP="005B22B2">
      <w:pPr>
        <w:numPr>
          <w:ilvl w:val="1"/>
          <w:numId w:val="3"/>
        </w:numPr>
        <w:spacing w:after="0" w:line="240" w:lineRule="auto"/>
        <w:jc w:val="both"/>
        <w:rPr>
          <w:rFonts w:ascii="Times New Roman" w:hAnsi="Times New Roman"/>
          <w:b/>
          <w:bCs/>
          <w:sz w:val="24"/>
          <w:szCs w:val="24"/>
        </w:rPr>
      </w:pPr>
      <w:bookmarkStart w:id="107" w:name="_Toc464410985"/>
      <w:bookmarkStart w:id="108" w:name="_Toc499211589"/>
      <w:bookmarkStart w:id="109" w:name="_Toc499213862"/>
      <w:r w:rsidRPr="00FB42E6">
        <w:rPr>
          <w:rFonts w:ascii="Times New Roman" w:hAnsi="Times New Roman"/>
          <w:b/>
          <w:bCs/>
          <w:sz w:val="24"/>
          <w:szCs w:val="24"/>
        </w:rPr>
        <w:t>Gouvernance</w:t>
      </w:r>
      <w:bookmarkEnd w:id="107"/>
      <w:r w:rsidRPr="00FB42E6">
        <w:rPr>
          <w:rFonts w:ascii="Times New Roman" w:hAnsi="Times New Roman"/>
          <w:b/>
          <w:bCs/>
          <w:sz w:val="24"/>
          <w:szCs w:val="24"/>
        </w:rPr>
        <w:t xml:space="preserve"> et de sécurité</w:t>
      </w:r>
      <w:bookmarkEnd w:id="108"/>
      <w:bookmarkEnd w:id="109"/>
    </w:p>
    <w:p w14:paraId="604B50ED" w14:textId="77777777" w:rsidR="003B61FD" w:rsidRPr="00FB42E6" w:rsidRDefault="003B61FD" w:rsidP="005B22B2">
      <w:pPr>
        <w:spacing w:after="0" w:line="240" w:lineRule="auto"/>
        <w:jc w:val="both"/>
        <w:rPr>
          <w:rFonts w:ascii="Times New Roman" w:hAnsi="Times New Roman"/>
          <w:sz w:val="24"/>
          <w:szCs w:val="24"/>
        </w:rPr>
      </w:pPr>
    </w:p>
    <w:p w14:paraId="604B50EE" w14:textId="77777777" w:rsidR="003B61FD" w:rsidRPr="00FB42E6" w:rsidRDefault="00DD4E35" w:rsidP="005B22B2">
      <w:pPr>
        <w:spacing w:after="0" w:line="240" w:lineRule="auto"/>
        <w:jc w:val="both"/>
        <w:rPr>
          <w:rFonts w:ascii="Times New Roman" w:hAnsi="Times New Roman"/>
          <w:sz w:val="24"/>
          <w:szCs w:val="24"/>
        </w:rPr>
      </w:pPr>
      <w:r>
        <w:rPr>
          <w:rFonts w:ascii="Times New Roman" w:hAnsi="Times New Roman"/>
          <w:sz w:val="24"/>
          <w:szCs w:val="24"/>
        </w:rPr>
        <w:t>19</w:t>
      </w:r>
      <w:r w:rsidR="003B61FD" w:rsidRPr="00FB42E6">
        <w:rPr>
          <w:rFonts w:ascii="Times New Roman" w:hAnsi="Times New Roman"/>
          <w:sz w:val="24"/>
          <w:szCs w:val="24"/>
        </w:rPr>
        <w:t>.</w:t>
      </w:r>
      <w:r w:rsidR="003B61FD" w:rsidRPr="00FB42E6">
        <w:rPr>
          <w:rFonts w:ascii="Times New Roman" w:hAnsi="Times New Roman"/>
          <w:sz w:val="24"/>
          <w:szCs w:val="24"/>
        </w:rPr>
        <w:tab/>
        <w:t xml:space="preserve">Le pays est une République laïque, avec un parlement monocaméral, l’Assemblée Nationale, qui exerce le pouvoir législatif. Le pouvoir exécutif est </w:t>
      </w:r>
      <w:r w:rsidR="00D41809">
        <w:rPr>
          <w:rFonts w:ascii="Times New Roman" w:hAnsi="Times New Roman"/>
          <w:sz w:val="24"/>
          <w:szCs w:val="24"/>
        </w:rPr>
        <w:t>assumé</w:t>
      </w:r>
      <w:r w:rsidR="003B61FD" w:rsidRPr="00FB42E6">
        <w:rPr>
          <w:rFonts w:ascii="Times New Roman" w:hAnsi="Times New Roman"/>
          <w:sz w:val="24"/>
          <w:szCs w:val="24"/>
        </w:rPr>
        <w:t xml:space="preserve"> par un Président élu au suffrage universel direct et son gouvernement</w:t>
      </w:r>
      <w:r w:rsidR="00D41809">
        <w:rPr>
          <w:rFonts w:ascii="Times New Roman" w:hAnsi="Times New Roman"/>
          <w:sz w:val="24"/>
          <w:szCs w:val="24"/>
        </w:rPr>
        <w:t>,</w:t>
      </w:r>
      <w:r w:rsidR="003B61FD" w:rsidRPr="00FB42E6">
        <w:rPr>
          <w:rFonts w:ascii="Times New Roman" w:hAnsi="Times New Roman"/>
          <w:sz w:val="24"/>
          <w:szCs w:val="24"/>
        </w:rPr>
        <w:t xml:space="preserve"> dirigé par un Premier Ministre. La plus haute autorité judiciaire est la Cour Suprême. Des organes élus, à travers les collectivités territoriales, assurent des responsabilités dans la conception et la mise en œuvre du développement local. Les réformes en faveur de la décentralisation se succèdent, sans donner pour le moment de pleins résultats s’agissant du transfert des compétences et des ressources en faveur des collectivités locales.</w:t>
      </w:r>
    </w:p>
    <w:p w14:paraId="604B50EF" w14:textId="77777777" w:rsidR="003B61FD" w:rsidRPr="00FB42E6" w:rsidRDefault="003B61FD" w:rsidP="005B22B2">
      <w:pPr>
        <w:spacing w:after="0" w:line="240" w:lineRule="auto"/>
        <w:jc w:val="both"/>
        <w:rPr>
          <w:rFonts w:ascii="Times New Roman" w:hAnsi="Times New Roman"/>
          <w:sz w:val="24"/>
          <w:szCs w:val="24"/>
        </w:rPr>
      </w:pPr>
    </w:p>
    <w:p w14:paraId="604B50F0" w14:textId="77777777" w:rsidR="003B61FD" w:rsidRPr="00FB42E6" w:rsidRDefault="00DD4E35" w:rsidP="005B22B2">
      <w:pPr>
        <w:spacing w:after="0" w:line="240" w:lineRule="auto"/>
        <w:jc w:val="both"/>
        <w:rPr>
          <w:rFonts w:ascii="Times New Roman" w:hAnsi="Times New Roman"/>
          <w:sz w:val="24"/>
          <w:szCs w:val="24"/>
        </w:rPr>
      </w:pPr>
      <w:r>
        <w:rPr>
          <w:rFonts w:ascii="Times New Roman" w:hAnsi="Times New Roman"/>
          <w:sz w:val="24"/>
          <w:szCs w:val="24"/>
        </w:rPr>
        <w:t>20</w:t>
      </w:r>
      <w:r w:rsidR="003B61FD" w:rsidRPr="00FB42E6">
        <w:rPr>
          <w:rFonts w:ascii="Times New Roman" w:hAnsi="Times New Roman"/>
          <w:sz w:val="24"/>
          <w:szCs w:val="24"/>
        </w:rPr>
        <w:t>.</w:t>
      </w:r>
      <w:r w:rsidR="003B61FD" w:rsidRPr="00FB42E6">
        <w:rPr>
          <w:rFonts w:ascii="Times New Roman" w:hAnsi="Times New Roman"/>
          <w:sz w:val="24"/>
          <w:szCs w:val="24"/>
        </w:rPr>
        <w:tab/>
        <w:t xml:space="preserve">Sur le plan sécuritaire, un Accord de Paix et de Réconciliation a été signé en 2014. Mais sa mise en œuvre rencontre encore de nombreuses difficultés. Les questions de sécurité  restent brûlantes dans le pays, en particulier dans </w:t>
      </w:r>
      <w:r w:rsidR="00D41809">
        <w:rPr>
          <w:rFonts w:ascii="Times New Roman" w:hAnsi="Times New Roman"/>
          <w:sz w:val="24"/>
          <w:szCs w:val="24"/>
        </w:rPr>
        <w:t xml:space="preserve">les régions du Nord et, plus récemment, </w:t>
      </w:r>
      <w:r w:rsidR="003B61FD" w:rsidRPr="00FB42E6">
        <w:rPr>
          <w:rFonts w:ascii="Times New Roman" w:hAnsi="Times New Roman"/>
          <w:sz w:val="24"/>
          <w:szCs w:val="24"/>
        </w:rPr>
        <w:t>du Centre. Le rétablissement de l’autorité de l’État, le retour des réfugiés et des personnes déplacées dans le pays</w:t>
      </w:r>
      <w:r w:rsidR="00D41809">
        <w:rPr>
          <w:rFonts w:ascii="Times New Roman" w:hAnsi="Times New Roman"/>
          <w:sz w:val="24"/>
          <w:szCs w:val="24"/>
        </w:rPr>
        <w:t>,</w:t>
      </w:r>
      <w:r w:rsidR="003B61FD" w:rsidRPr="00FB42E6">
        <w:rPr>
          <w:rFonts w:ascii="Times New Roman" w:hAnsi="Times New Roman"/>
          <w:sz w:val="24"/>
          <w:szCs w:val="24"/>
        </w:rPr>
        <w:t xml:space="preserve"> et l’accès aux zones d’intervention restent des défis majeurs. L’insécurité s’est d’autant plus aggravée depuis le lancement du programme, qu’il s’accompagne de métastases sous-régionales, qui rendent plus difficile encore son traitement par un Etat pris isolément. </w:t>
      </w:r>
      <w:r w:rsidR="003B61FD" w:rsidRPr="00FB42E6">
        <w:rPr>
          <w:rFonts w:ascii="Times New Roman" w:hAnsi="Times New Roman"/>
          <w:sz w:val="24"/>
          <w:szCs w:val="24"/>
        </w:rPr>
        <w:lastRenderedPageBreak/>
        <w:t>Conscients de cette nouvelle donne, le pays et 4 autres de la sous-région, ont mis en place le cadre de réponse intégré qu’est le G5 Sahel.</w:t>
      </w:r>
    </w:p>
    <w:p w14:paraId="604B50F1" w14:textId="77777777" w:rsidR="003B61FD" w:rsidRPr="00FB42E6" w:rsidRDefault="003B61FD" w:rsidP="005B22B2">
      <w:pPr>
        <w:spacing w:after="0" w:line="240" w:lineRule="auto"/>
        <w:jc w:val="both"/>
        <w:rPr>
          <w:rFonts w:ascii="Times New Roman" w:hAnsi="Times New Roman"/>
          <w:sz w:val="24"/>
          <w:szCs w:val="24"/>
        </w:rPr>
      </w:pPr>
    </w:p>
    <w:p w14:paraId="604B50F2" w14:textId="77777777" w:rsidR="003B61FD" w:rsidRPr="00FB42E6" w:rsidRDefault="00DD4E35" w:rsidP="005B22B2">
      <w:pPr>
        <w:spacing w:after="0" w:line="240" w:lineRule="auto"/>
        <w:jc w:val="both"/>
        <w:rPr>
          <w:rFonts w:ascii="Times New Roman" w:hAnsi="Times New Roman"/>
          <w:sz w:val="24"/>
          <w:szCs w:val="24"/>
        </w:rPr>
      </w:pPr>
      <w:r>
        <w:rPr>
          <w:rFonts w:ascii="Times New Roman" w:hAnsi="Times New Roman"/>
          <w:sz w:val="24"/>
          <w:szCs w:val="24"/>
        </w:rPr>
        <w:t>21</w:t>
      </w:r>
      <w:r w:rsidR="003B61FD" w:rsidRPr="00FB42E6">
        <w:rPr>
          <w:rFonts w:ascii="Times New Roman" w:hAnsi="Times New Roman"/>
          <w:sz w:val="24"/>
          <w:szCs w:val="24"/>
        </w:rPr>
        <w:t>.</w:t>
      </w:r>
      <w:r w:rsidR="003B61FD" w:rsidRPr="00FB42E6">
        <w:rPr>
          <w:rFonts w:ascii="Times New Roman" w:hAnsi="Times New Roman"/>
          <w:sz w:val="24"/>
          <w:szCs w:val="24"/>
        </w:rPr>
        <w:tab/>
        <w:t xml:space="preserve">Depuis 2013, à la suite de l’intervention militaire de la France contre les groupes armés qui menaçaient la souveraineté du pays, intervention dont subsiste encore un dispositif </w:t>
      </w:r>
      <w:r w:rsidR="00D41809">
        <w:rPr>
          <w:rFonts w:ascii="Times New Roman" w:hAnsi="Times New Roman"/>
          <w:sz w:val="24"/>
          <w:szCs w:val="24"/>
        </w:rPr>
        <w:t>armé</w:t>
      </w:r>
      <w:r w:rsidR="003B61FD" w:rsidRPr="00FB42E6">
        <w:rPr>
          <w:rFonts w:ascii="Times New Roman" w:hAnsi="Times New Roman"/>
          <w:sz w:val="24"/>
          <w:szCs w:val="24"/>
        </w:rPr>
        <w:t xml:space="preserve"> à portée régionale, la communauté internationale a déployé la Mission Multidimensionnelle Intégrée des Nations Unies pour la Stabilisation au Mali (MINUSMA), Conformément à la Décision 24/2008 de Juin 2008 du Secrétaire Général de l’ONU, un cadre d’intégration des interventions entre les Agences du SNU et la MINUSMA existe à </w:t>
      </w:r>
      <w:r w:rsidR="00D41809">
        <w:rPr>
          <w:rFonts w:ascii="Times New Roman" w:hAnsi="Times New Roman"/>
          <w:sz w:val="24"/>
          <w:szCs w:val="24"/>
        </w:rPr>
        <w:t xml:space="preserve">travers </w:t>
      </w:r>
      <w:r w:rsidR="003B61FD" w:rsidRPr="00FB42E6">
        <w:rPr>
          <w:rFonts w:ascii="Times New Roman" w:hAnsi="Times New Roman"/>
          <w:sz w:val="24"/>
          <w:szCs w:val="24"/>
        </w:rPr>
        <w:t>l’UNDAF</w:t>
      </w:r>
      <w:r w:rsidR="003B61FD" w:rsidRPr="00FB42E6">
        <w:rPr>
          <w:rFonts w:ascii="Times New Roman" w:hAnsi="Times New Roman"/>
          <w:sz w:val="24"/>
          <w:szCs w:val="24"/>
          <w:vertAlign w:val="superscript"/>
        </w:rPr>
        <w:t>+</w:t>
      </w:r>
      <w:r w:rsidR="003B61FD" w:rsidRPr="00FB42E6">
        <w:rPr>
          <w:rFonts w:ascii="Times New Roman" w:hAnsi="Times New Roman"/>
          <w:sz w:val="24"/>
          <w:szCs w:val="24"/>
        </w:rPr>
        <w:t>. Malgré le contexte toujours volatile, des évolutions sont entrevue</w:t>
      </w:r>
      <w:r w:rsidR="00D41809">
        <w:rPr>
          <w:rFonts w:ascii="Times New Roman" w:hAnsi="Times New Roman"/>
          <w:sz w:val="24"/>
          <w:szCs w:val="24"/>
        </w:rPr>
        <w:t>s</w:t>
      </w:r>
      <w:r w:rsidR="003B61FD" w:rsidRPr="00FB42E6">
        <w:rPr>
          <w:rFonts w:ascii="Times New Roman" w:hAnsi="Times New Roman"/>
          <w:sz w:val="24"/>
          <w:szCs w:val="24"/>
        </w:rPr>
        <w:t xml:space="preserve"> dans le mandat la Mission. La stratégie de sortie de celle-ci </w:t>
      </w:r>
      <w:r w:rsidR="00D41809">
        <w:rPr>
          <w:rFonts w:ascii="Times New Roman" w:hAnsi="Times New Roman"/>
          <w:sz w:val="24"/>
          <w:szCs w:val="24"/>
        </w:rPr>
        <w:t>va de pair avec</w:t>
      </w:r>
      <w:r w:rsidR="003B61FD" w:rsidRPr="00FB42E6">
        <w:rPr>
          <w:rFonts w:ascii="Times New Roman" w:hAnsi="Times New Roman"/>
          <w:sz w:val="24"/>
          <w:szCs w:val="24"/>
        </w:rPr>
        <w:t xml:space="preserve"> une réflexion sur le repositionnement des  agences, fonds et programmes du SNU dans ce cadre. Ces dynamiques ne sauraient manquer d’avoir une </w:t>
      </w:r>
      <w:r w:rsidR="00D41809">
        <w:rPr>
          <w:rFonts w:ascii="Times New Roman" w:hAnsi="Times New Roman"/>
          <w:sz w:val="24"/>
          <w:szCs w:val="24"/>
        </w:rPr>
        <w:t xml:space="preserve">certaine </w:t>
      </w:r>
      <w:r w:rsidR="003B61FD" w:rsidRPr="00FB42E6">
        <w:rPr>
          <w:rFonts w:ascii="Times New Roman" w:hAnsi="Times New Roman"/>
          <w:sz w:val="24"/>
          <w:szCs w:val="24"/>
        </w:rPr>
        <w:t xml:space="preserve">résonnance sur </w:t>
      </w:r>
      <w:r w:rsidR="00D41809">
        <w:rPr>
          <w:rFonts w:ascii="Times New Roman" w:hAnsi="Times New Roman"/>
          <w:sz w:val="24"/>
          <w:szCs w:val="24"/>
        </w:rPr>
        <w:t xml:space="preserve">la seconde moitié du cycle de vie de </w:t>
      </w:r>
      <w:r w:rsidR="003B61FD" w:rsidRPr="00FB42E6">
        <w:rPr>
          <w:rFonts w:ascii="Times New Roman" w:hAnsi="Times New Roman"/>
          <w:sz w:val="24"/>
          <w:szCs w:val="24"/>
        </w:rPr>
        <w:t>l’UNDAF</w:t>
      </w:r>
      <w:r w:rsidR="003B61FD" w:rsidRPr="00FB42E6">
        <w:rPr>
          <w:rFonts w:ascii="Times New Roman" w:hAnsi="Times New Roman"/>
          <w:sz w:val="24"/>
          <w:szCs w:val="24"/>
          <w:vertAlign w:val="superscript"/>
        </w:rPr>
        <w:t>+</w:t>
      </w:r>
    </w:p>
    <w:p w14:paraId="604B50F3" w14:textId="77777777" w:rsidR="003B61FD" w:rsidRPr="00FB42E6" w:rsidRDefault="003B61FD" w:rsidP="005B22B2">
      <w:pPr>
        <w:spacing w:after="0" w:line="240" w:lineRule="auto"/>
        <w:jc w:val="both"/>
        <w:rPr>
          <w:rFonts w:ascii="Times New Roman" w:hAnsi="Times New Roman"/>
          <w:sz w:val="24"/>
          <w:szCs w:val="24"/>
        </w:rPr>
      </w:pPr>
    </w:p>
    <w:p w14:paraId="604B50F4" w14:textId="77777777" w:rsidR="003B61FD" w:rsidRPr="00FB42E6" w:rsidRDefault="003B61FD" w:rsidP="005B22B2">
      <w:pPr>
        <w:numPr>
          <w:ilvl w:val="1"/>
          <w:numId w:val="3"/>
        </w:numPr>
        <w:spacing w:after="0" w:line="240" w:lineRule="auto"/>
        <w:jc w:val="both"/>
        <w:rPr>
          <w:rFonts w:ascii="Times New Roman" w:hAnsi="Times New Roman"/>
          <w:b/>
          <w:bCs/>
          <w:sz w:val="24"/>
          <w:szCs w:val="24"/>
        </w:rPr>
      </w:pPr>
      <w:bookmarkStart w:id="110" w:name="_Toc464410986"/>
      <w:bookmarkStart w:id="111" w:name="_Toc499211590"/>
      <w:bookmarkStart w:id="112" w:name="_Toc499213863"/>
      <w:r w:rsidRPr="00FB42E6">
        <w:rPr>
          <w:rFonts w:ascii="Times New Roman" w:hAnsi="Times New Roman"/>
          <w:b/>
          <w:bCs/>
          <w:sz w:val="24"/>
          <w:szCs w:val="24"/>
        </w:rPr>
        <w:t>Economie et développement humain</w:t>
      </w:r>
      <w:bookmarkEnd w:id="110"/>
      <w:bookmarkEnd w:id="111"/>
      <w:bookmarkEnd w:id="112"/>
    </w:p>
    <w:p w14:paraId="604B50F5" w14:textId="77777777" w:rsidR="003B61FD" w:rsidRPr="00FB42E6" w:rsidRDefault="003B61FD" w:rsidP="005B22B2">
      <w:pPr>
        <w:spacing w:after="0" w:line="240" w:lineRule="auto"/>
        <w:jc w:val="both"/>
        <w:rPr>
          <w:rFonts w:ascii="Times New Roman" w:hAnsi="Times New Roman"/>
          <w:sz w:val="24"/>
          <w:szCs w:val="24"/>
        </w:rPr>
      </w:pPr>
    </w:p>
    <w:p w14:paraId="604B50F6" w14:textId="77777777" w:rsidR="003B61FD" w:rsidRPr="00FB42E6" w:rsidRDefault="00DD4E35" w:rsidP="005B22B2">
      <w:pPr>
        <w:spacing w:after="0" w:line="240" w:lineRule="auto"/>
        <w:jc w:val="both"/>
        <w:rPr>
          <w:rFonts w:ascii="Times New Roman" w:hAnsi="Times New Roman"/>
          <w:sz w:val="24"/>
          <w:szCs w:val="24"/>
        </w:rPr>
      </w:pPr>
      <w:r>
        <w:rPr>
          <w:rFonts w:ascii="Times New Roman" w:hAnsi="Times New Roman"/>
          <w:sz w:val="24"/>
          <w:szCs w:val="24"/>
        </w:rPr>
        <w:t>22</w:t>
      </w:r>
      <w:r w:rsidR="003B61FD" w:rsidRPr="00FB42E6">
        <w:rPr>
          <w:rFonts w:ascii="Times New Roman" w:hAnsi="Times New Roman"/>
          <w:sz w:val="24"/>
          <w:szCs w:val="24"/>
        </w:rPr>
        <w:t>.</w:t>
      </w:r>
      <w:r w:rsidR="003B61FD" w:rsidRPr="00FB42E6">
        <w:rPr>
          <w:rFonts w:ascii="Times New Roman" w:hAnsi="Times New Roman"/>
          <w:sz w:val="24"/>
          <w:szCs w:val="24"/>
        </w:rPr>
        <w:tab/>
        <w:t xml:space="preserve">L’économie du Mali repose principalement sur </w:t>
      </w:r>
      <w:r w:rsidR="00D41809" w:rsidRPr="00FB42E6">
        <w:rPr>
          <w:rFonts w:ascii="Times New Roman" w:hAnsi="Times New Roman"/>
          <w:sz w:val="24"/>
          <w:szCs w:val="24"/>
        </w:rPr>
        <w:t xml:space="preserve">l’élevage </w:t>
      </w:r>
      <w:r w:rsidR="00D41809">
        <w:rPr>
          <w:rFonts w:ascii="Times New Roman" w:hAnsi="Times New Roman"/>
          <w:sz w:val="24"/>
          <w:szCs w:val="24"/>
        </w:rPr>
        <w:t xml:space="preserve">et </w:t>
      </w:r>
      <w:r w:rsidR="003B61FD" w:rsidRPr="00FB42E6">
        <w:rPr>
          <w:rFonts w:ascii="Times New Roman" w:hAnsi="Times New Roman"/>
          <w:sz w:val="24"/>
          <w:szCs w:val="24"/>
        </w:rPr>
        <w:t>l’agriculture dont le rendement est limité par une pluviométrie aléatoire et très souvent insuffisante. La croissance du PIB a varié en dents de scie</w:t>
      </w:r>
      <w:r w:rsidR="00D41809">
        <w:rPr>
          <w:rFonts w:ascii="Times New Roman" w:hAnsi="Times New Roman"/>
          <w:sz w:val="24"/>
          <w:szCs w:val="24"/>
        </w:rPr>
        <w:t>,</w:t>
      </w:r>
      <w:r w:rsidR="003B61FD" w:rsidRPr="00FB42E6">
        <w:rPr>
          <w:rFonts w:ascii="Times New Roman" w:hAnsi="Times New Roman"/>
          <w:sz w:val="24"/>
          <w:szCs w:val="24"/>
        </w:rPr>
        <w:t xml:space="preserve"> entre 11,9% en 2001 et</w:t>
      </w:r>
      <w:r w:rsidR="00D41809">
        <w:rPr>
          <w:rFonts w:ascii="Times New Roman" w:hAnsi="Times New Roman"/>
          <w:sz w:val="24"/>
          <w:szCs w:val="24"/>
        </w:rPr>
        <w:t xml:space="preserve"> 5,8% en 2010. Elle est encore remontée</w:t>
      </w:r>
      <w:r w:rsidR="003B61FD" w:rsidRPr="00FB42E6">
        <w:rPr>
          <w:rFonts w:ascii="Times New Roman" w:hAnsi="Times New Roman"/>
          <w:sz w:val="24"/>
          <w:szCs w:val="24"/>
        </w:rPr>
        <w:t xml:space="preserve"> à 6% en 2015</w:t>
      </w:r>
      <w:r w:rsidR="00D41809">
        <w:rPr>
          <w:rFonts w:ascii="Times New Roman" w:hAnsi="Times New Roman"/>
          <w:sz w:val="24"/>
          <w:szCs w:val="24"/>
        </w:rPr>
        <w:t>, mais d</w:t>
      </w:r>
      <w:r w:rsidR="003B61FD" w:rsidRPr="00FB42E6">
        <w:rPr>
          <w:rFonts w:ascii="Times New Roman" w:hAnsi="Times New Roman"/>
          <w:sz w:val="24"/>
          <w:szCs w:val="24"/>
        </w:rPr>
        <w:t>evait se replier à 5,3%, selon une projection du FMI (Rapport pays 2016, N°16/149). L’incidence de la pauvreté monétaire a diminué entre 2006 et 2010, passant de 47,5% à 45,4%. Elle a subi l’effet de la crise sécuritaire, se dégradant jusqu’à 47,1 en 2013. Il faut noter que, selon des données de 2013, la pauvreté est plus importante en milieu rural (54,5%) qu’en milieu urbain (49,3% hors Bamako)</w:t>
      </w:r>
      <w:r w:rsidR="003B61FD" w:rsidRPr="00FB42E6">
        <w:rPr>
          <w:rFonts w:ascii="Times New Roman" w:hAnsi="Times New Roman"/>
          <w:sz w:val="24"/>
          <w:szCs w:val="24"/>
          <w:vertAlign w:val="superscript"/>
        </w:rPr>
        <w:footnoteReference w:id="1"/>
      </w:r>
      <w:r w:rsidR="003B61FD" w:rsidRPr="00FB42E6">
        <w:rPr>
          <w:rFonts w:ascii="Times New Roman" w:hAnsi="Times New Roman"/>
          <w:sz w:val="24"/>
          <w:szCs w:val="24"/>
        </w:rPr>
        <w:t xml:space="preserve">. </w:t>
      </w:r>
    </w:p>
    <w:p w14:paraId="604B50F7" w14:textId="77777777" w:rsidR="003B61FD" w:rsidRPr="00FB42E6" w:rsidRDefault="003B61FD" w:rsidP="005B22B2">
      <w:pPr>
        <w:spacing w:after="0" w:line="240" w:lineRule="auto"/>
        <w:jc w:val="both"/>
        <w:rPr>
          <w:rFonts w:ascii="Times New Roman" w:hAnsi="Times New Roman"/>
          <w:sz w:val="24"/>
          <w:szCs w:val="24"/>
        </w:rPr>
      </w:pPr>
    </w:p>
    <w:p w14:paraId="604B50F8" w14:textId="77777777" w:rsidR="003B61FD" w:rsidRPr="00FB42E6" w:rsidRDefault="00DD4E35" w:rsidP="005B22B2">
      <w:pPr>
        <w:spacing w:after="0" w:line="240" w:lineRule="auto"/>
        <w:jc w:val="both"/>
        <w:rPr>
          <w:rFonts w:ascii="Times New Roman" w:hAnsi="Times New Roman"/>
          <w:sz w:val="24"/>
          <w:szCs w:val="24"/>
        </w:rPr>
      </w:pPr>
      <w:r>
        <w:rPr>
          <w:rFonts w:ascii="Times New Roman" w:hAnsi="Times New Roman"/>
          <w:sz w:val="24"/>
          <w:szCs w:val="24"/>
        </w:rPr>
        <w:t>23</w:t>
      </w:r>
      <w:r w:rsidR="003B61FD" w:rsidRPr="00FB42E6">
        <w:rPr>
          <w:rFonts w:ascii="Times New Roman" w:hAnsi="Times New Roman"/>
          <w:sz w:val="24"/>
          <w:szCs w:val="24"/>
        </w:rPr>
        <w:t>.</w:t>
      </w:r>
      <w:r w:rsidR="003B61FD" w:rsidRPr="00FB42E6">
        <w:rPr>
          <w:rFonts w:ascii="Times New Roman" w:hAnsi="Times New Roman"/>
          <w:sz w:val="24"/>
          <w:szCs w:val="24"/>
        </w:rPr>
        <w:tab/>
        <w:t>L’Indice du Développement Humain (IDH) a régulièrement augmenté de 2005 à 2013</w:t>
      </w:r>
      <w:r w:rsidR="00D41809">
        <w:rPr>
          <w:rFonts w:ascii="Times New Roman" w:hAnsi="Times New Roman"/>
          <w:sz w:val="24"/>
          <w:szCs w:val="24"/>
        </w:rPr>
        <w:t>,</w:t>
      </w:r>
      <w:r w:rsidR="003B61FD" w:rsidRPr="00FB42E6">
        <w:rPr>
          <w:rFonts w:ascii="Times New Roman" w:hAnsi="Times New Roman"/>
          <w:sz w:val="24"/>
          <w:szCs w:val="24"/>
        </w:rPr>
        <w:t xml:space="preserve"> passant de 0,359 à 0,407. En 2013, le Mali occupait le 182</w:t>
      </w:r>
      <w:r w:rsidR="003B61FD" w:rsidRPr="00FB42E6">
        <w:rPr>
          <w:rFonts w:ascii="Times New Roman" w:hAnsi="Times New Roman"/>
          <w:sz w:val="24"/>
          <w:szCs w:val="24"/>
          <w:vertAlign w:val="superscript"/>
        </w:rPr>
        <w:t>ème</w:t>
      </w:r>
      <w:r w:rsidR="003B61FD" w:rsidRPr="00FB42E6">
        <w:rPr>
          <w:rFonts w:ascii="Times New Roman" w:hAnsi="Times New Roman"/>
          <w:sz w:val="24"/>
          <w:szCs w:val="24"/>
        </w:rPr>
        <w:t xml:space="preserve"> rang sur 187 pays considérés dans le classement mondial de l’IDH. Le pays a amélioré sa position en 2014 en occupant le 176</w:t>
      </w:r>
      <w:r w:rsidR="003B61FD" w:rsidRPr="00FB42E6">
        <w:rPr>
          <w:rFonts w:ascii="Times New Roman" w:hAnsi="Times New Roman"/>
          <w:sz w:val="24"/>
          <w:szCs w:val="24"/>
          <w:vertAlign w:val="superscript"/>
        </w:rPr>
        <w:t xml:space="preserve">ème </w:t>
      </w:r>
      <w:r w:rsidR="003B61FD" w:rsidRPr="00FB42E6">
        <w:rPr>
          <w:rFonts w:ascii="Times New Roman" w:hAnsi="Times New Roman"/>
          <w:sz w:val="24"/>
          <w:szCs w:val="24"/>
        </w:rPr>
        <w:t>rang, et en 2016 où il est classé 175%. La lutte contre le VIH/SIDA a donné des résultats satisfaisants, mais la prévalence du paludisme reste encore très élevée. Selon l’Enquête Nationale Sur La Sécurité Alimentaire et Nutritionnelle (ENSAN), de février 2017, un quart (25,6%) des ménages maliens sont en insécurité alimentaire (essentiellement dans sa forme modérée</w:t>
      </w:r>
      <w:r w:rsidR="00D41809">
        <w:rPr>
          <w:rFonts w:ascii="Times New Roman" w:hAnsi="Times New Roman"/>
          <w:sz w:val="24"/>
          <w:szCs w:val="24"/>
        </w:rPr>
        <w:t xml:space="preserve"> : </w:t>
      </w:r>
      <w:r w:rsidR="003B61FD" w:rsidRPr="00FB42E6">
        <w:rPr>
          <w:rFonts w:ascii="Times New Roman" w:hAnsi="Times New Roman"/>
          <w:sz w:val="24"/>
          <w:szCs w:val="24"/>
        </w:rPr>
        <w:t>22%, contre 3,6% pour la forme sévère) au niveau national</w:t>
      </w:r>
      <w:r w:rsidR="003B61FD" w:rsidRPr="00FB42E6">
        <w:rPr>
          <w:rFonts w:ascii="Times New Roman" w:hAnsi="Times New Roman"/>
          <w:sz w:val="24"/>
          <w:szCs w:val="24"/>
          <w:vertAlign w:val="superscript"/>
        </w:rPr>
        <w:footnoteReference w:id="2"/>
      </w:r>
      <w:r w:rsidR="003B61FD" w:rsidRPr="00FB42E6">
        <w:rPr>
          <w:rFonts w:ascii="Times New Roman" w:hAnsi="Times New Roman"/>
          <w:sz w:val="24"/>
          <w:szCs w:val="24"/>
        </w:rPr>
        <w:t xml:space="preserve">. L’insécurité alimentaire n’est pas liée à la disponibilité, mais plutôt à l’accessibilité </w:t>
      </w:r>
      <w:r w:rsidR="00D41809">
        <w:rPr>
          <w:rFonts w:ascii="Times New Roman" w:hAnsi="Times New Roman"/>
          <w:sz w:val="24"/>
          <w:szCs w:val="24"/>
        </w:rPr>
        <w:t>des vivres</w:t>
      </w:r>
      <w:r w:rsidR="003B61FD" w:rsidRPr="00FB42E6">
        <w:rPr>
          <w:rFonts w:ascii="Times New Roman" w:hAnsi="Times New Roman"/>
          <w:sz w:val="24"/>
          <w:szCs w:val="24"/>
        </w:rPr>
        <w:t>.</w:t>
      </w:r>
    </w:p>
    <w:p w14:paraId="604B50F9" w14:textId="77777777" w:rsidR="003B61FD" w:rsidRPr="00FB42E6" w:rsidRDefault="003B61FD" w:rsidP="005B22B2">
      <w:pPr>
        <w:spacing w:after="0" w:line="240" w:lineRule="auto"/>
        <w:jc w:val="both"/>
        <w:rPr>
          <w:rFonts w:ascii="Times New Roman" w:hAnsi="Times New Roman"/>
          <w:sz w:val="24"/>
          <w:szCs w:val="24"/>
        </w:rPr>
      </w:pPr>
    </w:p>
    <w:p w14:paraId="604B50FA" w14:textId="77777777" w:rsidR="003B61FD" w:rsidRPr="00FB42E6" w:rsidRDefault="00DD4E35" w:rsidP="005B22B2">
      <w:pPr>
        <w:spacing w:after="0" w:line="240" w:lineRule="auto"/>
        <w:jc w:val="both"/>
        <w:rPr>
          <w:rFonts w:ascii="Times New Roman" w:hAnsi="Times New Roman"/>
          <w:sz w:val="24"/>
          <w:szCs w:val="24"/>
        </w:rPr>
      </w:pPr>
      <w:r>
        <w:rPr>
          <w:rFonts w:ascii="Times New Roman" w:hAnsi="Times New Roman"/>
          <w:sz w:val="24"/>
          <w:szCs w:val="24"/>
        </w:rPr>
        <w:t>24</w:t>
      </w:r>
      <w:r w:rsidR="003B61FD" w:rsidRPr="00FB42E6">
        <w:rPr>
          <w:rFonts w:ascii="Times New Roman" w:hAnsi="Times New Roman"/>
          <w:sz w:val="24"/>
          <w:szCs w:val="24"/>
        </w:rPr>
        <w:t>.</w:t>
      </w:r>
      <w:r w:rsidR="003B61FD" w:rsidRPr="00FB42E6">
        <w:rPr>
          <w:rFonts w:ascii="Times New Roman" w:hAnsi="Times New Roman"/>
          <w:sz w:val="24"/>
          <w:szCs w:val="24"/>
        </w:rPr>
        <w:tab/>
        <w:t>Depuis la formulation de l’UNDAF et sa mise en œuvre</w:t>
      </w:r>
      <w:r w:rsidR="00D41809">
        <w:rPr>
          <w:rFonts w:ascii="Times New Roman" w:hAnsi="Times New Roman"/>
          <w:sz w:val="24"/>
          <w:szCs w:val="24"/>
        </w:rPr>
        <w:t>,</w:t>
      </w:r>
      <w:r w:rsidR="003B61FD" w:rsidRPr="00FB42E6">
        <w:rPr>
          <w:rFonts w:ascii="Times New Roman" w:hAnsi="Times New Roman"/>
          <w:sz w:val="24"/>
          <w:szCs w:val="24"/>
        </w:rPr>
        <w:t xml:space="preserve"> des évolutions sont intervenues dans l’arsenal des outils de pilotage d</w:t>
      </w:r>
      <w:r w:rsidR="00D41809">
        <w:rPr>
          <w:rFonts w:ascii="Times New Roman" w:hAnsi="Times New Roman"/>
          <w:sz w:val="24"/>
          <w:szCs w:val="24"/>
        </w:rPr>
        <w:t xml:space="preserve">u </w:t>
      </w:r>
      <w:r w:rsidR="003B61FD" w:rsidRPr="00FB42E6">
        <w:rPr>
          <w:rFonts w:ascii="Times New Roman" w:hAnsi="Times New Roman"/>
          <w:sz w:val="24"/>
          <w:szCs w:val="24"/>
        </w:rPr>
        <w:t>développement du pays. En effet, le Mali s’est doté, entretemps, d’un nouveau Cadre stratégique pour la Relance Economique et le Développement Durable (CREDD), couvrant la période 2016-2018, en remplacement du CSRP 2012-2017 qui avait servi d’ancrage à l’UNDAF sous revue, d’où la nécessité pour ce dernier d’être soumis à une réévaluation d’alignement par rapport à cette mutation dans l’énonciation des priorités nationale.</w:t>
      </w:r>
    </w:p>
    <w:p w14:paraId="604B50FB" w14:textId="77777777" w:rsidR="003B61FD" w:rsidRPr="00FB42E6" w:rsidRDefault="003B61FD" w:rsidP="005B22B2">
      <w:pPr>
        <w:spacing w:after="0" w:line="240" w:lineRule="auto"/>
        <w:jc w:val="both"/>
        <w:rPr>
          <w:rFonts w:ascii="Times New Roman" w:hAnsi="Times New Roman"/>
          <w:sz w:val="24"/>
          <w:szCs w:val="24"/>
        </w:rPr>
      </w:pPr>
    </w:p>
    <w:p w14:paraId="604B50FC" w14:textId="77777777" w:rsidR="003B61FD" w:rsidRPr="00FB42E6" w:rsidRDefault="003B61FD" w:rsidP="005B22B2">
      <w:pPr>
        <w:numPr>
          <w:ilvl w:val="1"/>
          <w:numId w:val="3"/>
        </w:numPr>
        <w:spacing w:after="0" w:line="240" w:lineRule="auto"/>
        <w:jc w:val="both"/>
        <w:rPr>
          <w:rFonts w:ascii="Times New Roman" w:hAnsi="Times New Roman"/>
          <w:b/>
          <w:bCs/>
          <w:sz w:val="24"/>
          <w:szCs w:val="24"/>
        </w:rPr>
      </w:pPr>
      <w:bookmarkStart w:id="113" w:name="_Toc464410987"/>
      <w:bookmarkStart w:id="114" w:name="_Toc499211591"/>
      <w:bookmarkStart w:id="115" w:name="_Toc499213864"/>
      <w:r w:rsidRPr="00FB42E6">
        <w:rPr>
          <w:rFonts w:ascii="Times New Roman" w:hAnsi="Times New Roman"/>
          <w:b/>
          <w:bCs/>
          <w:sz w:val="24"/>
          <w:szCs w:val="24"/>
        </w:rPr>
        <w:t>Environnent et des ressources naturelles</w:t>
      </w:r>
      <w:bookmarkEnd w:id="113"/>
      <w:bookmarkEnd w:id="114"/>
      <w:bookmarkEnd w:id="115"/>
    </w:p>
    <w:p w14:paraId="604B50FD" w14:textId="77777777" w:rsidR="003B61FD" w:rsidRPr="00FB42E6" w:rsidRDefault="003B61FD" w:rsidP="005B22B2">
      <w:pPr>
        <w:spacing w:after="0" w:line="240" w:lineRule="auto"/>
        <w:jc w:val="both"/>
        <w:rPr>
          <w:rFonts w:ascii="Times New Roman" w:hAnsi="Times New Roman"/>
          <w:sz w:val="24"/>
          <w:szCs w:val="24"/>
        </w:rPr>
      </w:pPr>
    </w:p>
    <w:p w14:paraId="604B50FE" w14:textId="77777777" w:rsidR="003B61FD" w:rsidRPr="00FB42E6" w:rsidRDefault="00DD4E35" w:rsidP="005B22B2">
      <w:pPr>
        <w:spacing w:after="0" w:line="240" w:lineRule="auto"/>
        <w:jc w:val="both"/>
        <w:rPr>
          <w:rFonts w:ascii="Times New Roman" w:hAnsi="Times New Roman"/>
          <w:sz w:val="24"/>
          <w:szCs w:val="24"/>
        </w:rPr>
      </w:pPr>
      <w:r>
        <w:rPr>
          <w:rFonts w:ascii="Times New Roman" w:hAnsi="Times New Roman"/>
          <w:sz w:val="24"/>
          <w:szCs w:val="24"/>
        </w:rPr>
        <w:lastRenderedPageBreak/>
        <w:t>25</w:t>
      </w:r>
      <w:r w:rsidR="003B61FD" w:rsidRPr="00FB42E6">
        <w:rPr>
          <w:rFonts w:ascii="Times New Roman" w:hAnsi="Times New Roman"/>
          <w:sz w:val="24"/>
          <w:szCs w:val="24"/>
        </w:rPr>
        <w:t>.</w:t>
      </w:r>
      <w:r w:rsidR="003B61FD" w:rsidRPr="00FB42E6">
        <w:rPr>
          <w:rFonts w:ascii="Times New Roman" w:hAnsi="Times New Roman"/>
          <w:sz w:val="24"/>
          <w:szCs w:val="24"/>
        </w:rPr>
        <w:tab/>
        <w:t>L’environnement et les ressources naturelles sont un haut lieu de préoccupation dans un pays sahélien comme la Mali</w:t>
      </w:r>
      <w:r w:rsidR="00546FEE">
        <w:rPr>
          <w:rFonts w:ascii="Times New Roman" w:hAnsi="Times New Roman"/>
          <w:sz w:val="24"/>
          <w:szCs w:val="24"/>
        </w:rPr>
        <w:t>,</w:t>
      </w:r>
      <w:r w:rsidR="003B61FD" w:rsidRPr="00FB42E6">
        <w:rPr>
          <w:rFonts w:ascii="Times New Roman" w:hAnsi="Times New Roman"/>
          <w:sz w:val="24"/>
          <w:szCs w:val="24"/>
        </w:rPr>
        <w:t xml:space="preserve"> en bute à </w:t>
      </w:r>
      <w:r w:rsidR="00546FEE">
        <w:rPr>
          <w:rFonts w:ascii="Times New Roman" w:hAnsi="Times New Roman"/>
          <w:sz w:val="24"/>
          <w:szCs w:val="24"/>
        </w:rPr>
        <w:t>une</w:t>
      </w:r>
      <w:r w:rsidR="003B61FD" w:rsidRPr="00FB42E6">
        <w:rPr>
          <w:rFonts w:ascii="Times New Roman" w:hAnsi="Times New Roman"/>
          <w:sz w:val="24"/>
          <w:szCs w:val="24"/>
        </w:rPr>
        <w:t xml:space="preserve"> désertification qui progresse de 15 kilomètres par an (source CDP/PNUD), et où sont fréquentes aussi des catastrophes naturelles de type inondations et sécheresses cycliques liées aux changements climatiques. Les précipitations ont par exemple connu une diminution de l’ordre de 20 % dans une période récente. Ces problèmes ont des effets négatifs sur les ressources naturelles, dont 70 % de la population au moins, surtout les personnes les plus vulnérables, tirent leurs moyens de subsistance : 1,5 million de personnes vivent dans une grande insécurité alimentaire.</w:t>
      </w:r>
    </w:p>
    <w:p w14:paraId="604B50FF" w14:textId="77777777" w:rsidR="003B61FD" w:rsidRPr="00FB42E6" w:rsidRDefault="003B61FD" w:rsidP="005B22B2">
      <w:pPr>
        <w:spacing w:after="0" w:line="240" w:lineRule="auto"/>
        <w:jc w:val="both"/>
        <w:rPr>
          <w:rFonts w:ascii="Times New Roman" w:hAnsi="Times New Roman"/>
          <w:sz w:val="24"/>
          <w:szCs w:val="24"/>
        </w:rPr>
      </w:pPr>
    </w:p>
    <w:p w14:paraId="604B5100" w14:textId="77777777" w:rsidR="003B61FD" w:rsidRPr="00FB42E6" w:rsidRDefault="00DD4E35" w:rsidP="005B22B2">
      <w:pPr>
        <w:spacing w:after="0" w:line="240" w:lineRule="auto"/>
        <w:jc w:val="both"/>
        <w:rPr>
          <w:rFonts w:ascii="Times New Roman" w:hAnsi="Times New Roman"/>
          <w:sz w:val="24"/>
          <w:szCs w:val="24"/>
        </w:rPr>
      </w:pPr>
      <w:r>
        <w:rPr>
          <w:rFonts w:ascii="Times New Roman" w:hAnsi="Times New Roman"/>
          <w:sz w:val="24"/>
          <w:szCs w:val="24"/>
        </w:rPr>
        <w:t>26</w:t>
      </w:r>
      <w:r w:rsidR="003B61FD" w:rsidRPr="00FB42E6">
        <w:rPr>
          <w:rFonts w:ascii="Times New Roman" w:hAnsi="Times New Roman"/>
          <w:sz w:val="24"/>
          <w:szCs w:val="24"/>
        </w:rPr>
        <w:t>.</w:t>
      </w:r>
      <w:r w:rsidR="003B61FD" w:rsidRPr="00FB42E6">
        <w:rPr>
          <w:rFonts w:ascii="Times New Roman" w:hAnsi="Times New Roman"/>
          <w:sz w:val="24"/>
          <w:szCs w:val="24"/>
        </w:rPr>
        <w:tab/>
        <w:t>La réduction des risques de catastrophes reste donc un défi important, y compris en termes d’intégration dans les politiques nationales, locales et sectorielles de développement. Le défi environnemental résonne</w:t>
      </w:r>
      <w:r w:rsidR="00546FEE">
        <w:rPr>
          <w:rFonts w:ascii="Times New Roman" w:hAnsi="Times New Roman"/>
          <w:sz w:val="24"/>
          <w:szCs w:val="24"/>
        </w:rPr>
        <w:t>,</w:t>
      </w:r>
      <w:r w:rsidR="003B61FD" w:rsidRPr="00FB42E6">
        <w:rPr>
          <w:rFonts w:ascii="Times New Roman" w:hAnsi="Times New Roman"/>
          <w:sz w:val="24"/>
          <w:szCs w:val="24"/>
        </w:rPr>
        <w:t xml:space="preserve"> aussi bien</w:t>
      </w:r>
      <w:r w:rsidR="00546FEE">
        <w:rPr>
          <w:rFonts w:ascii="Times New Roman" w:hAnsi="Times New Roman"/>
          <w:sz w:val="24"/>
          <w:szCs w:val="24"/>
        </w:rPr>
        <w:t>,</w:t>
      </w:r>
      <w:r w:rsidR="003B61FD" w:rsidRPr="00FB42E6">
        <w:rPr>
          <w:rFonts w:ascii="Times New Roman" w:hAnsi="Times New Roman"/>
          <w:sz w:val="24"/>
          <w:szCs w:val="24"/>
        </w:rPr>
        <w:t xml:space="preserve"> au cœur des établissements humains : avec  un croît démographique naturel des plus élevés d’Afrique (3,6 %), l</w:t>
      </w:r>
      <w:r w:rsidR="00546FEE">
        <w:rPr>
          <w:rFonts w:ascii="Times New Roman" w:hAnsi="Times New Roman"/>
          <w:sz w:val="24"/>
          <w:szCs w:val="24"/>
        </w:rPr>
        <w:t xml:space="preserve">e pays connaît une urbanisation non maîtrisée, qui </w:t>
      </w:r>
      <w:r w:rsidR="003B61FD" w:rsidRPr="00FB42E6">
        <w:rPr>
          <w:rFonts w:ascii="Times New Roman" w:hAnsi="Times New Roman"/>
          <w:sz w:val="24"/>
          <w:szCs w:val="24"/>
        </w:rPr>
        <w:t xml:space="preserve">charrie des problèmes critiques d’assainissement. Dans le cadre des instruments internationaux du secteur, le </w:t>
      </w:r>
      <w:r w:rsidR="00546FEE">
        <w:rPr>
          <w:rFonts w:ascii="Times New Roman" w:hAnsi="Times New Roman"/>
          <w:sz w:val="24"/>
          <w:szCs w:val="24"/>
        </w:rPr>
        <w:t>Mali</w:t>
      </w:r>
      <w:r w:rsidR="003B61FD" w:rsidRPr="00FB42E6">
        <w:rPr>
          <w:rFonts w:ascii="Times New Roman" w:hAnsi="Times New Roman"/>
          <w:sz w:val="24"/>
          <w:szCs w:val="24"/>
        </w:rPr>
        <w:t xml:space="preserve"> peut compter sur les ressources du Fonds pour l’environnement mondial (FEM) et du Fonds de Copenhague pour le climat (Fonds Vert).</w:t>
      </w:r>
    </w:p>
    <w:p w14:paraId="604B5101" w14:textId="77777777" w:rsidR="003B61FD" w:rsidRPr="00FB42E6" w:rsidRDefault="003B61FD" w:rsidP="005B22B2">
      <w:pPr>
        <w:spacing w:after="0" w:line="240" w:lineRule="auto"/>
        <w:jc w:val="both"/>
        <w:rPr>
          <w:rFonts w:ascii="Times New Roman" w:hAnsi="Times New Roman"/>
          <w:sz w:val="24"/>
          <w:szCs w:val="24"/>
        </w:rPr>
      </w:pPr>
    </w:p>
    <w:p w14:paraId="604B5102" w14:textId="77777777" w:rsidR="00BA3DC6" w:rsidRPr="00FB42E6" w:rsidRDefault="00BA3DC6" w:rsidP="005B22B2">
      <w:pPr>
        <w:pStyle w:val="Titre1"/>
        <w:numPr>
          <w:ilvl w:val="0"/>
          <w:numId w:val="3"/>
        </w:numPr>
        <w:spacing w:before="0" w:line="240" w:lineRule="auto"/>
        <w:rPr>
          <w:rFonts w:ascii="Times New Roman" w:hAnsi="Times New Roman"/>
          <w:color w:val="auto"/>
          <w:sz w:val="24"/>
          <w:szCs w:val="24"/>
        </w:rPr>
      </w:pPr>
      <w:bookmarkStart w:id="116" w:name="_Toc499211592"/>
      <w:bookmarkStart w:id="117" w:name="_Toc500967840"/>
      <w:bookmarkStart w:id="118" w:name="_Toc500974520"/>
      <w:bookmarkStart w:id="119" w:name="_Toc502863857"/>
      <w:bookmarkStart w:id="120" w:name="_Toc505758464"/>
      <w:bookmarkStart w:id="121" w:name="_Toc506201556"/>
      <w:r w:rsidRPr="00FB42E6">
        <w:rPr>
          <w:rFonts w:ascii="Times New Roman" w:hAnsi="Times New Roman"/>
          <w:color w:val="auto"/>
          <w:sz w:val="24"/>
          <w:szCs w:val="24"/>
        </w:rPr>
        <w:t xml:space="preserve">Contenu </w:t>
      </w:r>
      <w:r w:rsidR="00D704EB" w:rsidRPr="00FB42E6">
        <w:rPr>
          <w:rFonts w:ascii="Times New Roman" w:hAnsi="Times New Roman"/>
          <w:color w:val="auto"/>
          <w:sz w:val="24"/>
          <w:szCs w:val="24"/>
        </w:rPr>
        <w:t xml:space="preserve">du </w:t>
      </w:r>
      <w:r w:rsidR="0078125F" w:rsidRPr="00FB42E6">
        <w:rPr>
          <w:rFonts w:ascii="Times New Roman" w:hAnsi="Times New Roman"/>
          <w:color w:val="auto"/>
          <w:sz w:val="24"/>
          <w:szCs w:val="24"/>
        </w:rPr>
        <w:t>programme</w:t>
      </w:r>
      <w:bookmarkEnd w:id="116"/>
      <w:bookmarkEnd w:id="117"/>
      <w:bookmarkEnd w:id="118"/>
      <w:bookmarkEnd w:id="119"/>
      <w:bookmarkEnd w:id="120"/>
      <w:bookmarkEnd w:id="121"/>
    </w:p>
    <w:p w14:paraId="604B5103" w14:textId="77777777" w:rsidR="00BA3DC6" w:rsidRPr="00FB42E6" w:rsidRDefault="00BA3DC6" w:rsidP="005B22B2">
      <w:pPr>
        <w:spacing w:after="0" w:line="240" w:lineRule="auto"/>
        <w:jc w:val="both"/>
        <w:rPr>
          <w:rFonts w:ascii="Times New Roman" w:hAnsi="Times New Roman"/>
          <w:sz w:val="24"/>
          <w:szCs w:val="24"/>
        </w:rPr>
      </w:pPr>
    </w:p>
    <w:p w14:paraId="604B5104" w14:textId="77777777" w:rsidR="00BA3DC6" w:rsidRPr="00FB42E6" w:rsidRDefault="00BA3DC6" w:rsidP="005B22B2">
      <w:pPr>
        <w:pStyle w:val="Titre2"/>
        <w:numPr>
          <w:ilvl w:val="1"/>
          <w:numId w:val="3"/>
        </w:numPr>
        <w:spacing w:before="0"/>
        <w:rPr>
          <w:rFonts w:ascii="Times New Roman" w:hAnsi="Times New Roman"/>
          <w:color w:val="auto"/>
          <w:sz w:val="24"/>
          <w:szCs w:val="24"/>
        </w:rPr>
      </w:pPr>
      <w:bookmarkStart w:id="122" w:name="_Toc499211593"/>
      <w:bookmarkStart w:id="123" w:name="_Toc500967841"/>
      <w:bookmarkStart w:id="124" w:name="_Toc500974521"/>
      <w:bookmarkStart w:id="125" w:name="_Toc502863858"/>
      <w:bookmarkStart w:id="126" w:name="_Toc505758465"/>
      <w:bookmarkStart w:id="127" w:name="_Toc506201557"/>
      <w:r w:rsidRPr="00FB42E6">
        <w:rPr>
          <w:rFonts w:ascii="Times New Roman" w:hAnsi="Times New Roman"/>
          <w:color w:val="auto"/>
          <w:sz w:val="24"/>
          <w:szCs w:val="24"/>
        </w:rPr>
        <w:t>Contenu stratégique</w:t>
      </w:r>
      <w:bookmarkEnd w:id="122"/>
      <w:bookmarkEnd w:id="123"/>
      <w:bookmarkEnd w:id="124"/>
      <w:bookmarkEnd w:id="125"/>
      <w:bookmarkEnd w:id="126"/>
      <w:bookmarkEnd w:id="127"/>
    </w:p>
    <w:p w14:paraId="604B5105" w14:textId="77777777" w:rsidR="008C1DF1" w:rsidRPr="00FB42E6" w:rsidRDefault="008C1DF1" w:rsidP="005B22B2">
      <w:pPr>
        <w:spacing w:after="0" w:line="240" w:lineRule="auto"/>
        <w:jc w:val="both"/>
        <w:rPr>
          <w:rFonts w:ascii="Times New Roman" w:hAnsi="Times New Roman"/>
          <w:sz w:val="24"/>
          <w:szCs w:val="24"/>
        </w:rPr>
      </w:pPr>
    </w:p>
    <w:p w14:paraId="604B5106" w14:textId="77777777" w:rsidR="008C1DF1" w:rsidRPr="00FB42E6" w:rsidRDefault="00DD4E35" w:rsidP="005B22B2">
      <w:pPr>
        <w:spacing w:after="0" w:line="240" w:lineRule="auto"/>
        <w:jc w:val="both"/>
        <w:rPr>
          <w:rFonts w:ascii="Times New Roman" w:hAnsi="Times New Roman"/>
          <w:sz w:val="24"/>
          <w:szCs w:val="24"/>
        </w:rPr>
      </w:pPr>
      <w:r>
        <w:rPr>
          <w:rFonts w:ascii="Times New Roman" w:hAnsi="Times New Roman"/>
          <w:sz w:val="24"/>
          <w:szCs w:val="24"/>
        </w:rPr>
        <w:t>27</w:t>
      </w:r>
      <w:r w:rsidR="008C1DF1" w:rsidRPr="00FB42E6">
        <w:rPr>
          <w:rFonts w:ascii="Times New Roman" w:hAnsi="Times New Roman"/>
          <w:sz w:val="24"/>
          <w:szCs w:val="24"/>
        </w:rPr>
        <w:t>.</w:t>
      </w:r>
      <w:r w:rsidR="008C1DF1" w:rsidRPr="00FB42E6">
        <w:rPr>
          <w:rFonts w:ascii="Times New Roman" w:hAnsi="Times New Roman"/>
          <w:sz w:val="24"/>
          <w:szCs w:val="24"/>
        </w:rPr>
        <w:tab/>
        <w:t xml:space="preserve">L’UNDAF+ favorise, pour les entités des Nations Unies au Mali, le partage d’une même vision des priorités et des résultats attendus, l’harmonisation de leurs interventions avec les </w:t>
      </w:r>
      <w:r w:rsidR="00546FEE" w:rsidRPr="00FB42E6">
        <w:rPr>
          <w:rFonts w:ascii="Times New Roman" w:hAnsi="Times New Roman"/>
          <w:sz w:val="24"/>
          <w:szCs w:val="24"/>
        </w:rPr>
        <w:t>objectifs</w:t>
      </w:r>
      <w:r w:rsidR="008C1DF1" w:rsidRPr="00FB42E6">
        <w:rPr>
          <w:rFonts w:ascii="Times New Roman" w:hAnsi="Times New Roman"/>
          <w:sz w:val="24"/>
          <w:szCs w:val="24"/>
        </w:rPr>
        <w:t xml:space="preserve"> de développement du pays, les synergies de travail entre les agences, la M</w:t>
      </w:r>
      <w:r w:rsidR="00546FEE">
        <w:rPr>
          <w:rFonts w:ascii="Times New Roman" w:hAnsi="Times New Roman"/>
          <w:sz w:val="24"/>
          <w:szCs w:val="24"/>
        </w:rPr>
        <w:t>ission et le Gouvernement du Ma</w:t>
      </w:r>
      <w:r w:rsidR="008C1DF1" w:rsidRPr="00FB42E6">
        <w:rPr>
          <w:rFonts w:ascii="Times New Roman" w:hAnsi="Times New Roman"/>
          <w:sz w:val="24"/>
          <w:szCs w:val="24"/>
        </w:rPr>
        <w:t>l</w:t>
      </w:r>
      <w:r w:rsidR="00546FEE">
        <w:rPr>
          <w:rFonts w:ascii="Times New Roman" w:hAnsi="Times New Roman"/>
          <w:sz w:val="24"/>
          <w:szCs w:val="24"/>
        </w:rPr>
        <w:t>i</w:t>
      </w:r>
      <w:r w:rsidR="008C1DF1" w:rsidRPr="00FB42E6">
        <w:rPr>
          <w:rFonts w:ascii="Times New Roman" w:hAnsi="Times New Roman"/>
          <w:sz w:val="24"/>
          <w:szCs w:val="24"/>
        </w:rPr>
        <w:t xml:space="preserve">, </w:t>
      </w:r>
      <w:r w:rsidR="00546FEE">
        <w:rPr>
          <w:rFonts w:ascii="Times New Roman" w:hAnsi="Times New Roman"/>
          <w:sz w:val="24"/>
          <w:szCs w:val="24"/>
        </w:rPr>
        <w:t xml:space="preserve">enfin </w:t>
      </w:r>
      <w:r w:rsidR="008C1DF1" w:rsidRPr="00FB42E6">
        <w:rPr>
          <w:rFonts w:ascii="Times New Roman" w:hAnsi="Times New Roman"/>
          <w:sz w:val="24"/>
          <w:szCs w:val="24"/>
        </w:rPr>
        <w:t>le renforcement de l’efficacité et de l’im</w:t>
      </w:r>
      <w:r w:rsidR="00546FEE">
        <w:rPr>
          <w:rFonts w:ascii="Times New Roman" w:hAnsi="Times New Roman"/>
          <w:sz w:val="24"/>
          <w:szCs w:val="24"/>
        </w:rPr>
        <w:t>p</w:t>
      </w:r>
      <w:r w:rsidR="008C1DF1" w:rsidRPr="00FB42E6">
        <w:rPr>
          <w:rFonts w:ascii="Times New Roman" w:hAnsi="Times New Roman"/>
          <w:sz w:val="24"/>
          <w:szCs w:val="24"/>
        </w:rPr>
        <w:t>act de</w:t>
      </w:r>
      <w:r w:rsidR="00546FEE">
        <w:rPr>
          <w:rFonts w:ascii="Times New Roman" w:hAnsi="Times New Roman"/>
          <w:sz w:val="24"/>
          <w:szCs w:val="24"/>
        </w:rPr>
        <w:t>s actions engagées dans le pays</w:t>
      </w:r>
      <w:r w:rsidR="008C1DF1" w:rsidRPr="00FB42E6">
        <w:rPr>
          <w:rFonts w:ascii="Times New Roman" w:hAnsi="Times New Roman"/>
          <w:sz w:val="24"/>
          <w:szCs w:val="24"/>
        </w:rPr>
        <w:t xml:space="preserve">. </w:t>
      </w:r>
    </w:p>
    <w:p w14:paraId="604B5107" w14:textId="77777777" w:rsidR="008C1DF1" w:rsidRPr="00FB42E6" w:rsidRDefault="008C1DF1" w:rsidP="005B22B2">
      <w:pPr>
        <w:spacing w:after="0" w:line="240" w:lineRule="auto"/>
        <w:jc w:val="both"/>
        <w:rPr>
          <w:rFonts w:ascii="Times New Roman" w:hAnsi="Times New Roman"/>
          <w:sz w:val="24"/>
          <w:szCs w:val="24"/>
        </w:rPr>
      </w:pPr>
    </w:p>
    <w:p w14:paraId="604B5108" w14:textId="77777777" w:rsidR="008C1DF1" w:rsidRPr="00FB42E6" w:rsidRDefault="00587651" w:rsidP="005B22B2">
      <w:pPr>
        <w:spacing w:after="0" w:line="240" w:lineRule="auto"/>
        <w:jc w:val="both"/>
        <w:rPr>
          <w:rFonts w:ascii="Times New Roman" w:hAnsi="Times New Roman"/>
          <w:sz w:val="24"/>
          <w:szCs w:val="24"/>
        </w:rPr>
      </w:pPr>
      <w:r>
        <w:rPr>
          <w:rFonts w:ascii="Times New Roman" w:hAnsi="Times New Roman"/>
          <w:sz w:val="24"/>
          <w:szCs w:val="24"/>
        </w:rPr>
        <w:t>2</w:t>
      </w:r>
      <w:r w:rsidR="00DD4E35">
        <w:rPr>
          <w:rFonts w:ascii="Times New Roman" w:hAnsi="Times New Roman"/>
          <w:sz w:val="24"/>
          <w:szCs w:val="24"/>
        </w:rPr>
        <w:t>8</w:t>
      </w:r>
      <w:r w:rsidR="008C1DF1" w:rsidRPr="00FB42E6">
        <w:rPr>
          <w:rFonts w:ascii="Times New Roman" w:hAnsi="Times New Roman"/>
          <w:sz w:val="24"/>
          <w:szCs w:val="24"/>
        </w:rPr>
        <w:t>.</w:t>
      </w:r>
      <w:r w:rsidR="008C1DF1" w:rsidRPr="00FB42E6">
        <w:rPr>
          <w:rFonts w:ascii="Times New Roman" w:hAnsi="Times New Roman"/>
          <w:sz w:val="24"/>
          <w:szCs w:val="24"/>
        </w:rPr>
        <w:tab/>
        <w:t xml:space="preserve">Comme cadre de contribution aux priorités nationales du Mali, le Système des Nations Unies (SNU) a, en collaboration avec le Gouvernement, la Société Civile et les autres acteurs nationaux, élaboré l’UNDAF+  2015-2019.  </w:t>
      </w:r>
      <w:r w:rsidR="00546FEE">
        <w:rPr>
          <w:rFonts w:ascii="Times New Roman" w:hAnsi="Times New Roman"/>
          <w:sz w:val="24"/>
          <w:szCs w:val="24"/>
        </w:rPr>
        <w:t xml:space="preserve">Il est cohérent avec les </w:t>
      </w:r>
      <w:r w:rsidR="008C1DF1" w:rsidRPr="00FB42E6">
        <w:rPr>
          <w:rFonts w:ascii="Times New Roman" w:hAnsi="Times New Roman"/>
          <w:sz w:val="24"/>
          <w:szCs w:val="24"/>
        </w:rPr>
        <w:t xml:space="preserve">axes stratégiques du CREDD </w:t>
      </w:r>
      <w:r w:rsidR="00546FEE">
        <w:rPr>
          <w:rFonts w:ascii="Times New Roman" w:hAnsi="Times New Roman"/>
          <w:sz w:val="24"/>
          <w:szCs w:val="24"/>
        </w:rPr>
        <w:t>(</w:t>
      </w:r>
      <w:r w:rsidR="00546FEE" w:rsidRPr="003A1D53">
        <w:rPr>
          <w:rFonts w:ascii="Times New Roman" w:hAnsi="Times New Roman"/>
          <w:sz w:val="24"/>
          <w:szCs w:val="24"/>
        </w:rPr>
        <w:t>celui-ci lui est postérieur mais est capitalise sur d’anciens cadres de programmation contemporains de l’UNDAF)</w:t>
      </w:r>
      <w:r w:rsidR="008C1DF1" w:rsidRPr="00FB42E6">
        <w:rPr>
          <w:rFonts w:ascii="Times New Roman" w:hAnsi="Times New Roman"/>
          <w:sz w:val="24"/>
          <w:szCs w:val="24"/>
        </w:rPr>
        <w:t xml:space="preserve"> : 1) la Croissance économique inclusive et durable ; 2) l’Accès aux services sociaux de base ; 3) le Développement institutionnel et la gouvernance.</w:t>
      </w:r>
      <w:r w:rsidR="008C1DF1" w:rsidRPr="00FB42E6">
        <w:rPr>
          <w:rFonts w:ascii="Times New Roman" w:hAnsi="Times New Roman"/>
          <w:sz w:val="24"/>
          <w:szCs w:val="24"/>
        </w:rPr>
        <w:br/>
        <w:t xml:space="preserve">Les effets escomptés au terme du cycle d’exécution </w:t>
      </w:r>
      <w:r w:rsidR="00546FEE">
        <w:rPr>
          <w:rFonts w:ascii="Times New Roman" w:hAnsi="Times New Roman"/>
          <w:sz w:val="24"/>
          <w:szCs w:val="24"/>
        </w:rPr>
        <w:t>de</w:t>
      </w:r>
      <w:r w:rsidR="008C1DF1" w:rsidRPr="00FB42E6">
        <w:rPr>
          <w:rFonts w:ascii="Times New Roman" w:hAnsi="Times New Roman"/>
          <w:sz w:val="24"/>
          <w:szCs w:val="24"/>
        </w:rPr>
        <w:t xml:space="preserve"> l’UNDAF+ sont :</w:t>
      </w:r>
    </w:p>
    <w:p w14:paraId="604B5109" w14:textId="77777777" w:rsidR="008C1DF1" w:rsidRPr="00FB42E6" w:rsidRDefault="008C1DF1" w:rsidP="00546FEE">
      <w:pPr>
        <w:numPr>
          <w:ilvl w:val="0"/>
          <w:numId w:val="53"/>
        </w:numPr>
        <w:spacing w:after="0" w:line="240" w:lineRule="auto"/>
        <w:jc w:val="both"/>
        <w:rPr>
          <w:rFonts w:ascii="Times New Roman" w:hAnsi="Times New Roman"/>
          <w:sz w:val="24"/>
          <w:szCs w:val="24"/>
        </w:rPr>
      </w:pPr>
      <w:r w:rsidRPr="00FB42E6">
        <w:rPr>
          <w:rFonts w:ascii="Times New Roman" w:hAnsi="Times New Roman"/>
          <w:sz w:val="24"/>
          <w:szCs w:val="24"/>
        </w:rPr>
        <w:t>Effet 1 : La paix et la stabilisation sont assurées à travers un dialogue politique inclusif et une réforme démocratique des institutions concernées, et la promotion d’une coexistence pacifique et le respect des droits huma</w:t>
      </w:r>
      <w:r w:rsidR="00546FEE">
        <w:rPr>
          <w:rFonts w:ascii="Times New Roman" w:hAnsi="Times New Roman"/>
          <w:sz w:val="24"/>
          <w:szCs w:val="24"/>
        </w:rPr>
        <w:t>ins.</w:t>
      </w:r>
    </w:p>
    <w:p w14:paraId="604B510A" w14:textId="77777777" w:rsidR="008C1DF1" w:rsidRPr="00FB42E6" w:rsidRDefault="008C1DF1" w:rsidP="00546FEE">
      <w:pPr>
        <w:numPr>
          <w:ilvl w:val="0"/>
          <w:numId w:val="53"/>
        </w:numPr>
        <w:spacing w:after="0" w:line="240" w:lineRule="auto"/>
        <w:jc w:val="both"/>
        <w:rPr>
          <w:rFonts w:ascii="Times New Roman" w:hAnsi="Times New Roman"/>
          <w:sz w:val="24"/>
          <w:szCs w:val="24"/>
        </w:rPr>
      </w:pPr>
      <w:r w:rsidRPr="00FB42E6">
        <w:rPr>
          <w:rFonts w:ascii="Times New Roman" w:hAnsi="Times New Roman"/>
          <w:sz w:val="24"/>
          <w:szCs w:val="24"/>
        </w:rPr>
        <w:t>Effet 2 : D’ici 2019, la cohésion sociale est facilitée par la justice transitionnelle, le dialogue communautaire inclusif, la cultu</w:t>
      </w:r>
      <w:r w:rsidR="00546FEE">
        <w:rPr>
          <w:rFonts w:ascii="Times New Roman" w:hAnsi="Times New Roman"/>
          <w:sz w:val="24"/>
          <w:szCs w:val="24"/>
        </w:rPr>
        <w:t>re et l’éducation pour la paix.</w:t>
      </w:r>
    </w:p>
    <w:p w14:paraId="604B510B" w14:textId="77777777" w:rsidR="008C1DF1" w:rsidRPr="00FB42E6" w:rsidRDefault="008C1DF1" w:rsidP="00546FEE">
      <w:pPr>
        <w:numPr>
          <w:ilvl w:val="0"/>
          <w:numId w:val="53"/>
        </w:numPr>
        <w:spacing w:after="0" w:line="240" w:lineRule="auto"/>
        <w:jc w:val="both"/>
        <w:rPr>
          <w:rFonts w:ascii="Times New Roman" w:hAnsi="Times New Roman"/>
          <w:sz w:val="24"/>
          <w:szCs w:val="24"/>
        </w:rPr>
      </w:pPr>
      <w:r w:rsidRPr="00FB42E6">
        <w:rPr>
          <w:rFonts w:ascii="Times New Roman" w:hAnsi="Times New Roman"/>
          <w:sz w:val="24"/>
          <w:szCs w:val="24"/>
        </w:rPr>
        <w:t xml:space="preserve">Effet 3 : Les institutions étatiques, nationales et locales, exercent de manière plus efficace leurs missions de service public et les acteurs non étatiques participent et assurent le contrôle citoyen en conformité avec les principes de bonne </w:t>
      </w:r>
      <w:r w:rsidR="00546FEE">
        <w:rPr>
          <w:rFonts w:ascii="Times New Roman" w:hAnsi="Times New Roman"/>
          <w:sz w:val="24"/>
          <w:szCs w:val="24"/>
        </w:rPr>
        <w:t xml:space="preserve">gouvernance et d’Etat de droit. </w:t>
      </w:r>
    </w:p>
    <w:p w14:paraId="604B510C" w14:textId="77777777" w:rsidR="008C1DF1" w:rsidRPr="00FB42E6" w:rsidRDefault="008C1DF1" w:rsidP="00546FEE">
      <w:pPr>
        <w:numPr>
          <w:ilvl w:val="0"/>
          <w:numId w:val="53"/>
        </w:numPr>
        <w:spacing w:after="0" w:line="240" w:lineRule="auto"/>
        <w:jc w:val="both"/>
        <w:rPr>
          <w:rFonts w:ascii="Times New Roman" w:hAnsi="Times New Roman"/>
          <w:sz w:val="24"/>
          <w:szCs w:val="24"/>
        </w:rPr>
      </w:pPr>
      <w:r w:rsidRPr="00FB42E6">
        <w:rPr>
          <w:rFonts w:ascii="Times New Roman" w:hAnsi="Times New Roman"/>
          <w:sz w:val="24"/>
          <w:szCs w:val="24"/>
        </w:rPr>
        <w:t>Effet 4 : D’ici 2019, les populations, en particulier les femmes et les enfants les plus vulnérables et celles affectées par les crises, ont un accès accru et équitable e</w:t>
      </w:r>
      <w:r w:rsidR="00546FEE">
        <w:rPr>
          <w:rFonts w:ascii="Times New Roman" w:hAnsi="Times New Roman"/>
          <w:sz w:val="24"/>
          <w:szCs w:val="24"/>
        </w:rPr>
        <w:t>t utilisent les SSB de qualité.</w:t>
      </w:r>
    </w:p>
    <w:p w14:paraId="604B510D" w14:textId="77777777" w:rsidR="008C1DF1" w:rsidRPr="00FB42E6" w:rsidRDefault="008C1DF1" w:rsidP="00546FEE">
      <w:pPr>
        <w:numPr>
          <w:ilvl w:val="0"/>
          <w:numId w:val="53"/>
        </w:numPr>
        <w:spacing w:after="0" w:line="240" w:lineRule="auto"/>
        <w:jc w:val="both"/>
        <w:rPr>
          <w:rFonts w:ascii="Times New Roman" w:hAnsi="Times New Roman"/>
          <w:sz w:val="24"/>
          <w:szCs w:val="24"/>
        </w:rPr>
      </w:pPr>
      <w:r w:rsidRPr="00FB42E6">
        <w:rPr>
          <w:rFonts w:ascii="Times New Roman" w:hAnsi="Times New Roman"/>
          <w:sz w:val="24"/>
          <w:szCs w:val="24"/>
        </w:rPr>
        <w:t>Effet 5 : Les populations défavorisées particulièrement les femmes et les jeunes, bénéficient de capacités et d’opportunités productives accrues, dans un environnement sain et durable, favorable à la réduction de la pauvreté.</w:t>
      </w:r>
    </w:p>
    <w:p w14:paraId="604B510E" w14:textId="77777777" w:rsidR="008C1DF1" w:rsidRPr="00FB42E6" w:rsidRDefault="008C1DF1" w:rsidP="005B22B2">
      <w:pPr>
        <w:spacing w:after="0" w:line="240" w:lineRule="auto"/>
        <w:jc w:val="both"/>
        <w:rPr>
          <w:rFonts w:ascii="Times New Roman" w:hAnsi="Times New Roman"/>
          <w:sz w:val="24"/>
          <w:szCs w:val="24"/>
        </w:rPr>
      </w:pPr>
    </w:p>
    <w:p w14:paraId="604B510F" w14:textId="77777777" w:rsidR="00BA3DC6" w:rsidRPr="00FB42E6" w:rsidRDefault="00BA3DC6" w:rsidP="005B22B2">
      <w:pPr>
        <w:pStyle w:val="Titre2"/>
        <w:numPr>
          <w:ilvl w:val="1"/>
          <w:numId w:val="3"/>
        </w:numPr>
        <w:spacing w:before="0"/>
        <w:rPr>
          <w:rFonts w:ascii="Times New Roman" w:hAnsi="Times New Roman"/>
          <w:color w:val="auto"/>
          <w:sz w:val="24"/>
          <w:szCs w:val="24"/>
        </w:rPr>
      </w:pPr>
      <w:bookmarkStart w:id="128" w:name="_Toc499211595"/>
      <w:bookmarkStart w:id="129" w:name="_Toc500967842"/>
      <w:bookmarkStart w:id="130" w:name="_Toc500974522"/>
      <w:bookmarkStart w:id="131" w:name="_Toc502863859"/>
      <w:bookmarkStart w:id="132" w:name="_Toc505758466"/>
      <w:bookmarkStart w:id="133" w:name="_Toc506201558"/>
      <w:r w:rsidRPr="00FB42E6">
        <w:rPr>
          <w:rFonts w:ascii="Times New Roman" w:hAnsi="Times New Roman"/>
          <w:color w:val="auto"/>
          <w:sz w:val="24"/>
          <w:szCs w:val="24"/>
        </w:rPr>
        <w:lastRenderedPageBreak/>
        <w:t>Cadre de mise en œuvre</w:t>
      </w:r>
      <w:bookmarkEnd w:id="128"/>
      <w:bookmarkEnd w:id="129"/>
      <w:bookmarkEnd w:id="130"/>
      <w:bookmarkEnd w:id="131"/>
      <w:bookmarkEnd w:id="132"/>
      <w:bookmarkEnd w:id="133"/>
      <w:r w:rsidRPr="00FB42E6">
        <w:rPr>
          <w:rFonts w:ascii="Times New Roman" w:hAnsi="Times New Roman"/>
          <w:color w:val="auto"/>
          <w:sz w:val="24"/>
          <w:szCs w:val="24"/>
        </w:rPr>
        <w:t xml:space="preserve"> </w:t>
      </w:r>
    </w:p>
    <w:p w14:paraId="604B5110" w14:textId="77777777" w:rsidR="00BB1D61" w:rsidRPr="00FB42E6" w:rsidRDefault="00BB1D61" w:rsidP="005B22B2">
      <w:pPr>
        <w:spacing w:after="0" w:line="240" w:lineRule="auto"/>
        <w:jc w:val="both"/>
        <w:rPr>
          <w:rFonts w:ascii="Times New Roman" w:hAnsi="Times New Roman"/>
          <w:sz w:val="24"/>
          <w:szCs w:val="24"/>
        </w:rPr>
      </w:pPr>
    </w:p>
    <w:p w14:paraId="604B5111" w14:textId="77777777" w:rsidR="002B5036" w:rsidRPr="00FB42E6" w:rsidRDefault="00587651" w:rsidP="005B22B2">
      <w:pPr>
        <w:spacing w:after="0" w:line="240" w:lineRule="auto"/>
        <w:jc w:val="both"/>
        <w:rPr>
          <w:rFonts w:ascii="Times New Roman" w:hAnsi="Times New Roman"/>
          <w:sz w:val="24"/>
          <w:szCs w:val="24"/>
        </w:rPr>
      </w:pPr>
      <w:r>
        <w:rPr>
          <w:rFonts w:ascii="Times New Roman" w:hAnsi="Times New Roman"/>
          <w:sz w:val="24"/>
          <w:szCs w:val="24"/>
        </w:rPr>
        <w:t>29</w:t>
      </w:r>
      <w:r w:rsidR="00DD3CF6" w:rsidRPr="00FB42E6">
        <w:rPr>
          <w:rFonts w:ascii="Times New Roman" w:hAnsi="Times New Roman"/>
          <w:sz w:val="24"/>
          <w:szCs w:val="24"/>
        </w:rPr>
        <w:t>.</w:t>
      </w:r>
      <w:r w:rsidR="00DD3CF6" w:rsidRPr="00FB42E6">
        <w:rPr>
          <w:rFonts w:ascii="Times New Roman" w:hAnsi="Times New Roman"/>
          <w:sz w:val="24"/>
          <w:szCs w:val="24"/>
        </w:rPr>
        <w:tab/>
        <w:t xml:space="preserve">Cadre programmatique de référence du Système des Nations Unies au </w:t>
      </w:r>
      <w:r w:rsidR="000F4D40">
        <w:rPr>
          <w:rFonts w:ascii="Times New Roman" w:hAnsi="Times New Roman"/>
          <w:sz w:val="24"/>
          <w:szCs w:val="24"/>
        </w:rPr>
        <w:t>Mali</w:t>
      </w:r>
      <w:r w:rsidR="00DD3CF6" w:rsidRPr="00FB42E6">
        <w:rPr>
          <w:rFonts w:ascii="Times New Roman" w:hAnsi="Times New Roman"/>
          <w:sz w:val="24"/>
          <w:szCs w:val="24"/>
        </w:rPr>
        <w:t>, l’UNDAF est mis en œuvre à travers les plans d’actions développés par les agences qui y participent</w:t>
      </w:r>
      <w:r w:rsidR="000F4D40">
        <w:rPr>
          <w:rFonts w:ascii="Times New Roman" w:hAnsi="Times New Roman"/>
          <w:sz w:val="24"/>
          <w:szCs w:val="24"/>
        </w:rPr>
        <w:t xml:space="preserve"> : </w:t>
      </w:r>
      <w:r w:rsidR="000F4D40" w:rsidRPr="003A1D53">
        <w:rPr>
          <w:rFonts w:ascii="Times New Roman" w:hAnsi="Times New Roman"/>
          <w:sz w:val="24"/>
          <w:szCs w:val="24"/>
        </w:rPr>
        <w:t>il est vrai que ces plans sont articulés autour de résultats thématiques dans le cadre d’un effort de programmation conjointe, mais cette articulation relève davantage de la juxtaposition que de la fusion</w:t>
      </w:r>
      <w:r w:rsidR="00DD3CF6" w:rsidRPr="003A1D53">
        <w:rPr>
          <w:rFonts w:ascii="Times New Roman" w:hAnsi="Times New Roman"/>
          <w:sz w:val="24"/>
          <w:szCs w:val="24"/>
        </w:rPr>
        <w:t>.</w:t>
      </w:r>
      <w:r w:rsidR="000F4D40" w:rsidRPr="003A1D53">
        <w:rPr>
          <w:rFonts w:ascii="Times New Roman" w:hAnsi="Times New Roman"/>
          <w:sz w:val="24"/>
          <w:szCs w:val="24"/>
        </w:rPr>
        <w:t xml:space="preserve"> Lorsque ces plans d’agences sont versés à l’UNDAF, ils sont déjà stabilisés et contresignés entre lesdites agences et leurs partenaires sectoriels, et ne peuvent donc plus être modifiés.</w:t>
      </w:r>
      <w:r w:rsidR="00DD3CF6" w:rsidRPr="00FB42E6">
        <w:rPr>
          <w:rFonts w:ascii="Times New Roman" w:hAnsi="Times New Roman"/>
          <w:sz w:val="24"/>
          <w:szCs w:val="24"/>
        </w:rPr>
        <w:t xml:space="preserve"> Des programmes conjoints traversent aussi ces plans d’actions pour contribuer davantage encore à créer des synergies d’intervention entre les différentes entités du SNU. </w:t>
      </w:r>
      <w:r w:rsidR="001E3A22" w:rsidRPr="003A1D53">
        <w:rPr>
          <w:rFonts w:ascii="Times New Roman" w:hAnsi="Times New Roman"/>
          <w:sz w:val="24"/>
          <w:szCs w:val="24"/>
        </w:rPr>
        <w:t>La modalité d’exécution nationale est est en principe mise en avant, mais en pratique elle est souvent assortie de paiements directs aux fournisseurs et prestataires qui livrent directement les biens et services planifiés avec la partie nationale.</w:t>
      </w:r>
      <w:r w:rsidR="002068FE">
        <w:rPr>
          <w:rFonts w:ascii="Times New Roman" w:hAnsi="Times New Roman"/>
          <w:sz w:val="24"/>
          <w:szCs w:val="24"/>
        </w:rPr>
        <w:t xml:space="preserve"> C</w:t>
      </w:r>
      <w:r w:rsidR="002B5036" w:rsidRPr="00FB42E6">
        <w:rPr>
          <w:rFonts w:ascii="Times New Roman" w:hAnsi="Times New Roman"/>
          <w:sz w:val="24"/>
          <w:szCs w:val="24"/>
        </w:rPr>
        <w:t>omme recommandé dans</w:t>
      </w:r>
      <w:r w:rsidR="008C1DF1" w:rsidRPr="00FB42E6">
        <w:rPr>
          <w:rFonts w:ascii="Times New Roman" w:hAnsi="Times New Roman"/>
          <w:sz w:val="24"/>
          <w:szCs w:val="24"/>
        </w:rPr>
        <w:t xml:space="preserve"> les outils de pilotage standards de l’UNDAF</w:t>
      </w:r>
      <w:r w:rsidR="002B5036" w:rsidRPr="00FB42E6">
        <w:rPr>
          <w:rFonts w:ascii="Times New Roman" w:hAnsi="Times New Roman"/>
          <w:sz w:val="24"/>
          <w:szCs w:val="24"/>
        </w:rPr>
        <w:t>, des groupes de résultats et de suivi-évaluation sont mis en place pour assurer la coordination technique du programme, sous la guidance str</w:t>
      </w:r>
      <w:r w:rsidR="008C1DF1" w:rsidRPr="00FB42E6">
        <w:rPr>
          <w:rFonts w:ascii="Times New Roman" w:hAnsi="Times New Roman"/>
          <w:sz w:val="24"/>
          <w:szCs w:val="24"/>
        </w:rPr>
        <w:t>atégique de l’Equipe Pays.</w:t>
      </w:r>
    </w:p>
    <w:p w14:paraId="604B5112" w14:textId="77777777" w:rsidR="002B5036" w:rsidRPr="00FB42E6" w:rsidRDefault="002B5036" w:rsidP="005B22B2">
      <w:pPr>
        <w:spacing w:after="0" w:line="240" w:lineRule="auto"/>
        <w:jc w:val="both"/>
        <w:rPr>
          <w:rFonts w:ascii="Times New Roman" w:hAnsi="Times New Roman"/>
          <w:sz w:val="24"/>
          <w:szCs w:val="24"/>
        </w:rPr>
      </w:pPr>
    </w:p>
    <w:p w14:paraId="604B5113" w14:textId="77777777" w:rsidR="002B5036" w:rsidRPr="00FB42E6" w:rsidRDefault="00DD4E35" w:rsidP="005B22B2">
      <w:pPr>
        <w:spacing w:after="0" w:line="240" w:lineRule="auto"/>
        <w:jc w:val="both"/>
        <w:rPr>
          <w:rFonts w:ascii="Times New Roman" w:hAnsi="Times New Roman"/>
          <w:sz w:val="24"/>
          <w:szCs w:val="24"/>
        </w:rPr>
      </w:pPr>
      <w:r>
        <w:rPr>
          <w:rFonts w:ascii="Times New Roman" w:hAnsi="Times New Roman"/>
          <w:sz w:val="24"/>
          <w:szCs w:val="24"/>
        </w:rPr>
        <w:t>3</w:t>
      </w:r>
      <w:r w:rsidR="00587651">
        <w:rPr>
          <w:rFonts w:ascii="Times New Roman" w:hAnsi="Times New Roman"/>
          <w:sz w:val="24"/>
          <w:szCs w:val="24"/>
        </w:rPr>
        <w:t>0</w:t>
      </w:r>
      <w:r w:rsidR="0002348F" w:rsidRPr="00FB42E6">
        <w:rPr>
          <w:rFonts w:ascii="Times New Roman" w:hAnsi="Times New Roman"/>
          <w:sz w:val="24"/>
          <w:szCs w:val="24"/>
        </w:rPr>
        <w:t>.</w:t>
      </w:r>
      <w:r w:rsidR="00B15566" w:rsidRPr="00FB42E6">
        <w:rPr>
          <w:rFonts w:ascii="Times New Roman" w:hAnsi="Times New Roman"/>
          <w:sz w:val="24"/>
          <w:szCs w:val="24"/>
        </w:rPr>
        <w:tab/>
        <w:t xml:space="preserve">La coordination nationale est </w:t>
      </w:r>
      <w:r w:rsidR="002B5036" w:rsidRPr="00FB42E6">
        <w:rPr>
          <w:rFonts w:ascii="Times New Roman" w:hAnsi="Times New Roman"/>
          <w:sz w:val="24"/>
          <w:szCs w:val="24"/>
        </w:rPr>
        <w:t xml:space="preserve">placée sous la responsabilité </w:t>
      </w:r>
      <w:r w:rsidR="00B15566" w:rsidRPr="00FB42E6">
        <w:rPr>
          <w:rFonts w:ascii="Times New Roman" w:hAnsi="Times New Roman"/>
          <w:sz w:val="24"/>
          <w:szCs w:val="24"/>
        </w:rPr>
        <w:t>du Ministère chargé des Affaires étrangères, qui gère les interfaces de coopération au développement. Des sessions conjointes de</w:t>
      </w:r>
      <w:r w:rsidR="008D4FCE" w:rsidRPr="00FB42E6">
        <w:rPr>
          <w:rFonts w:ascii="Times New Roman" w:hAnsi="Times New Roman"/>
          <w:sz w:val="24"/>
          <w:szCs w:val="24"/>
        </w:rPr>
        <w:t xml:space="preserve"> revue périodique du programme s</w:t>
      </w:r>
      <w:r w:rsidR="00B15566" w:rsidRPr="00FB42E6">
        <w:rPr>
          <w:rFonts w:ascii="Times New Roman" w:hAnsi="Times New Roman"/>
          <w:sz w:val="24"/>
          <w:szCs w:val="24"/>
        </w:rPr>
        <w:t>ont prévues : annuelles, à mi parcours et en fin de cycle,</w:t>
      </w:r>
      <w:r w:rsidR="00197F23">
        <w:rPr>
          <w:rFonts w:ascii="Times New Roman" w:hAnsi="Times New Roman"/>
          <w:sz w:val="24"/>
          <w:szCs w:val="24"/>
        </w:rPr>
        <w:t xml:space="preserve"> menées conjointement entre le S</w:t>
      </w:r>
      <w:r w:rsidR="00B15566" w:rsidRPr="00FB42E6">
        <w:rPr>
          <w:rFonts w:ascii="Times New Roman" w:hAnsi="Times New Roman"/>
          <w:sz w:val="24"/>
          <w:szCs w:val="24"/>
        </w:rPr>
        <w:t xml:space="preserve">ystème et la partie nationale </w:t>
      </w:r>
      <w:r w:rsidR="00197F23">
        <w:rPr>
          <w:rFonts w:ascii="Times New Roman" w:hAnsi="Times New Roman"/>
          <w:sz w:val="24"/>
          <w:szCs w:val="24"/>
        </w:rPr>
        <w:t xml:space="preserve">autour du </w:t>
      </w:r>
      <w:r w:rsidR="002B5036" w:rsidRPr="00FB42E6">
        <w:rPr>
          <w:rFonts w:ascii="Times New Roman" w:hAnsi="Times New Roman"/>
          <w:sz w:val="24"/>
          <w:szCs w:val="24"/>
        </w:rPr>
        <w:t>Ministère chargé de la</w:t>
      </w:r>
      <w:r w:rsidR="00B15566" w:rsidRPr="00FB42E6">
        <w:rPr>
          <w:rFonts w:ascii="Times New Roman" w:hAnsi="Times New Roman"/>
          <w:sz w:val="24"/>
          <w:szCs w:val="24"/>
        </w:rPr>
        <w:t xml:space="preserve"> Planification</w:t>
      </w:r>
      <w:r w:rsidR="002B5036" w:rsidRPr="00FB42E6">
        <w:rPr>
          <w:rFonts w:ascii="Times New Roman" w:hAnsi="Times New Roman"/>
          <w:sz w:val="24"/>
          <w:szCs w:val="24"/>
        </w:rPr>
        <w:t>.</w:t>
      </w:r>
      <w:r w:rsidR="00B15566" w:rsidRPr="00FB42E6">
        <w:rPr>
          <w:rFonts w:ascii="Times New Roman" w:hAnsi="Times New Roman"/>
          <w:sz w:val="24"/>
          <w:szCs w:val="24"/>
        </w:rPr>
        <w:t xml:space="preserve"> </w:t>
      </w:r>
    </w:p>
    <w:p w14:paraId="604B5114" w14:textId="77777777" w:rsidR="00BB1D61" w:rsidRPr="00FB42E6" w:rsidRDefault="00BB1D61" w:rsidP="005B22B2">
      <w:pPr>
        <w:spacing w:after="0" w:line="240" w:lineRule="auto"/>
        <w:jc w:val="both"/>
        <w:rPr>
          <w:rFonts w:ascii="Times New Roman" w:hAnsi="Times New Roman"/>
          <w:b/>
          <w:bCs/>
          <w:sz w:val="24"/>
          <w:szCs w:val="24"/>
        </w:rPr>
      </w:pPr>
    </w:p>
    <w:p w14:paraId="604B5115" w14:textId="77777777" w:rsidR="00BA3DC6" w:rsidRPr="003A1D53" w:rsidRDefault="002017E6" w:rsidP="005B22B2">
      <w:pPr>
        <w:pStyle w:val="Titre2"/>
        <w:numPr>
          <w:ilvl w:val="1"/>
          <w:numId w:val="3"/>
        </w:numPr>
        <w:spacing w:before="0"/>
        <w:rPr>
          <w:rFonts w:ascii="Times New Roman" w:hAnsi="Times New Roman"/>
          <w:color w:val="auto"/>
          <w:sz w:val="24"/>
          <w:szCs w:val="24"/>
        </w:rPr>
      </w:pPr>
      <w:bookmarkStart w:id="134" w:name="_Toc499211596"/>
      <w:bookmarkStart w:id="135" w:name="_Toc500967843"/>
      <w:bookmarkStart w:id="136" w:name="_Toc500974523"/>
      <w:bookmarkStart w:id="137" w:name="_Toc502863860"/>
      <w:bookmarkStart w:id="138" w:name="_Toc505758467"/>
      <w:bookmarkStart w:id="139" w:name="_Toc506201559"/>
      <w:r w:rsidRPr="003A1D53">
        <w:rPr>
          <w:rFonts w:ascii="Times New Roman" w:hAnsi="Times New Roman"/>
          <w:color w:val="auto"/>
          <w:sz w:val="24"/>
          <w:szCs w:val="24"/>
        </w:rPr>
        <w:t>Risques anticipés sur l</w:t>
      </w:r>
      <w:r w:rsidR="009B2268" w:rsidRPr="003A1D53">
        <w:rPr>
          <w:rFonts w:ascii="Times New Roman" w:hAnsi="Times New Roman"/>
          <w:color w:val="auto"/>
          <w:sz w:val="24"/>
          <w:szCs w:val="24"/>
        </w:rPr>
        <w:t>a</w:t>
      </w:r>
      <w:r w:rsidRPr="003A1D53">
        <w:rPr>
          <w:rFonts w:ascii="Times New Roman" w:hAnsi="Times New Roman"/>
          <w:color w:val="auto"/>
          <w:sz w:val="24"/>
          <w:szCs w:val="24"/>
        </w:rPr>
        <w:t xml:space="preserve"> p</w:t>
      </w:r>
      <w:r w:rsidR="00BA3DC6" w:rsidRPr="003A1D53">
        <w:rPr>
          <w:rFonts w:ascii="Times New Roman" w:hAnsi="Times New Roman"/>
          <w:color w:val="auto"/>
          <w:sz w:val="24"/>
          <w:szCs w:val="24"/>
        </w:rPr>
        <w:t>rogrammation</w:t>
      </w:r>
      <w:bookmarkEnd w:id="134"/>
      <w:bookmarkEnd w:id="135"/>
      <w:bookmarkEnd w:id="136"/>
      <w:bookmarkEnd w:id="137"/>
      <w:bookmarkEnd w:id="138"/>
      <w:bookmarkEnd w:id="139"/>
    </w:p>
    <w:p w14:paraId="604B5116" w14:textId="77777777" w:rsidR="00BA3DC6" w:rsidRPr="00FB42E6" w:rsidRDefault="00BA3DC6" w:rsidP="005B22B2">
      <w:pPr>
        <w:autoSpaceDE w:val="0"/>
        <w:autoSpaceDN w:val="0"/>
        <w:adjustRightInd w:val="0"/>
        <w:spacing w:after="0" w:line="240" w:lineRule="auto"/>
        <w:jc w:val="both"/>
        <w:rPr>
          <w:rFonts w:ascii="Times New Roman" w:hAnsi="Times New Roman"/>
          <w:sz w:val="24"/>
          <w:szCs w:val="24"/>
        </w:rPr>
      </w:pPr>
    </w:p>
    <w:p w14:paraId="604B5117" w14:textId="77777777" w:rsidR="002017E6" w:rsidRDefault="00DD4E35" w:rsidP="005B22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587651">
        <w:rPr>
          <w:rFonts w:ascii="Times New Roman" w:hAnsi="Times New Roman"/>
          <w:sz w:val="24"/>
          <w:szCs w:val="24"/>
        </w:rPr>
        <w:t>1</w:t>
      </w:r>
      <w:r w:rsidR="002017E6" w:rsidRPr="00FB42E6">
        <w:rPr>
          <w:rFonts w:ascii="Times New Roman" w:hAnsi="Times New Roman"/>
          <w:sz w:val="24"/>
          <w:szCs w:val="24"/>
        </w:rPr>
        <w:t>.</w:t>
      </w:r>
      <w:r w:rsidR="002017E6" w:rsidRPr="00FB42E6">
        <w:rPr>
          <w:rFonts w:ascii="Times New Roman" w:hAnsi="Times New Roman"/>
          <w:sz w:val="24"/>
          <w:szCs w:val="24"/>
        </w:rPr>
        <w:tab/>
        <w:t xml:space="preserve">Le programme </w:t>
      </w:r>
      <w:r w:rsidR="009B2268" w:rsidRPr="00FB42E6">
        <w:rPr>
          <w:rFonts w:ascii="Times New Roman" w:hAnsi="Times New Roman"/>
          <w:sz w:val="24"/>
          <w:szCs w:val="24"/>
        </w:rPr>
        <w:t xml:space="preserve">a </w:t>
      </w:r>
      <w:r w:rsidR="00B15566" w:rsidRPr="00FB42E6">
        <w:rPr>
          <w:rFonts w:ascii="Times New Roman" w:hAnsi="Times New Roman"/>
          <w:sz w:val="24"/>
          <w:szCs w:val="24"/>
        </w:rPr>
        <w:t xml:space="preserve">subi les contre coups de la dégradation de la situation sécuritaire. Alors </w:t>
      </w:r>
      <w:r w:rsidR="0078125F" w:rsidRPr="00FB42E6">
        <w:rPr>
          <w:rFonts w:ascii="Times New Roman" w:hAnsi="Times New Roman"/>
          <w:sz w:val="24"/>
          <w:szCs w:val="24"/>
        </w:rPr>
        <w:t xml:space="preserve">que </w:t>
      </w:r>
      <w:r w:rsidR="00B15566" w:rsidRPr="00FB42E6">
        <w:rPr>
          <w:rFonts w:ascii="Times New Roman" w:hAnsi="Times New Roman"/>
          <w:sz w:val="24"/>
          <w:szCs w:val="24"/>
        </w:rPr>
        <w:t xml:space="preserve">beaucoup d’espoir de stabilisation a été placé dans l’Accord de paix, il est finalement apparu que la signature de celui-ci, intervenue mi 2015, ne signifiait pas la fin de l’insécurité. Les épisodes violents se sont multipliés et diversifiés, avec </w:t>
      </w:r>
      <w:r w:rsidR="0078125F" w:rsidRPr="00FB42E6">
        <w:rPr>
          <w:rFonts w:ascii="Times New Roman" w:hAnsi="Times New Roman"/>
          <w:sz w:val="24"/>
          <w:szCs w:val="24"/>
        </w:rPr>
        <w:t>une extension vers le centre</w:t>
      </w:r>
      <w:r w:rsidR="00B15566" w:rsidRPr="00FB42E6">
        <w:rPr>
          <w:rFonts w:ascii="Times New Roman" w:hAnsi="Times New Roman"/>
          <w:sz w:val="24"/>
          <w:szCs w:val="24"/>
        </w:rPr>
        <w:t xml:space="preserve"> du pays. La mise en œuvre du programme a été affectée par cette situation</w:t>
      </w:r>
      <w:r w:rsidR="0078125F" w:rsidRPr="00FB42E6">
        <w:rPr>
          <w:rFonts w:ascii="Times New Roman" w:hAnsi="Times New Roman"/>
          <w:sz w:val="24"/>
          <w:szCs w:val="24"/>
        </w:rPr>
        <w:t xml:space="preserve">, à travers </w:t>
      </w:r>
      <w:r w:rsidR="00B15566" w:rsidRPr="00FB42E6">
        <w:rPr>
          <w:rFonts w:ascii="Times New Roman" w:hAnsi="Times New Roman"/>
          <w:sz w:val="24"/>
          <w:szCs w:val="24"/>
        </w:rPr>
        <w:t xml:space="preserve">les restrictions à </w:t>
      </w:r>
      <w:r w:rsidR="00790EE5" w:rsidRPr="00FB42E6">
        <w:rPr>
          <w:rFonts w:ascii="Times New Roman" w:hAnsi="Times New Roman"/>
          <w:sz w:val="24"/>
          <w:szCs w:val="24"/>
        </w:rPr>
        <w:t>sa capacité</w:t>
      </w:r>
      <w:r w:rsidR="00B15566" w:rsidRPr="00FB42E6">
        <w:rPr>
          <w:rFonts w:ascii="Times New Roman" w:hAnsi="Times New Roman"/>
          <w:sz w:val="24"/>
          <w:szCs w:val="24"/>
        </w:rPr>
        <w:t xml:space="preserve"> de déploiement dans les zones à risque </w:t>
      </w:r>
      <w:r w:rsidR="00AD443E">
        <w:rPr>
          <w:rFonts w:ascii="Times New Roman" w:hAnsi="Times New Roman"/>
          <w:sz w:val="24"/>
          <w:szCs w:val="24"/>
        </w:rPr>
        <w:t xml:space="preserve">sécuritaire </w:t>
      </w:r>
      <w:r w:rsidR="00B15566" w:rsidRPr="00FB42E6">
        <w:rPr>
          <w:rFonts w:ascii="Times New Roman" w:hAnsi="Times New Roman"/>
          <w:sz w:val="24"/>
          <w:szCs w:val="24"/>
        </w:rPr>
        <w:t>élevé.</w:t>
      </w:r>
    </w:p>
    <w:p w14:paraId="604B5118" w14:textId="77777777" w:rsidR="00D35731" w:rsidRDefault="00D35731" w:rsidP="005B22B2">
      <w:pPr>
        <w:autoSpaceDE w:val="0"/>
        <w:autoSpaceDN w:val="0"/>
        <w:adjustRightInd w:val="0"/>
        <w:spacing w:after="0" w:line="240" w:lineRule="auto"/>
        <w:jc w:val="both"/>
        <w:rPr>
          <w:rFonts w:ascii="Times New Roman" w:hAnsi="Times New Roman"/>
          <w:sz w:val="24"/>
          <w:szCs w:val="24"/>
        </w:rPr>
      </w:pPr>
    </w:p>
    <w:p w14:paraId="604B5119" w14:textId="77777777" w:rsidR="00D35731" w:rsidRPr="003A1D53" w:rsidRDefault="00204BA9" w:rsidP="00D35731">
      <w:pPr>
        <w:spacing w:after="0" w:line="240" w:lineRule="auto"/>
        <w:jc w:val="both"/>
        <w:rPr>
          <w:rFonts w:ascii="Times New Roman" w:hAnsi="Times New Roman"/>
          <w:sz w:val="24"/>
          <w:szCs w:val="24"/>
        </w:rPr>
      </w:pPr>
      <w:r>
        <w:rPr>
          <w:rFonts w:ascii="Times New Roman" w:hAnsi="Times New Roman"/>
          <w:sz w:val="24"/>
          <w:szCs w:val="24"/>
        </w:rPr>
        <w:t>32.</w:t>
      </w:r>
      <w:r w:rsidR="00D35731">
        <w:rPr>
          <w:rFonts w:ascii="Times New Roman" w:hAnsi="Times New Roman"/>
          <w:sz w:val="24"/>
          <w:szCs w:val="24"/>
        </w:rPr>
        <w:tab/>
      </w:r>
      <w:r w:rsidR="00D35731" w:rsidRPr="003A1D53">
        <w:rPr>
          <w:rFonts w:ascii="Times New Roman" w:hAnsi="Times New Roman"/>
          <w:sz w:val="24"/>
          <w:szCs w:val="24"/>
        </w:rPr>
        <w:t xml:space="preserve">Il n’existe pas dans le document de programme un chapitre consacré à l’analyse des risques pouvant survenir dans une période pourtant aussi longue qu’un quinquennat, et de surcroît dans un environnement de crise ayant nécessité la mise en place d’une Mission intégrée multidimensionnelle. Malgré tout, la matrice des résultats et des ressources, en annexe au document, renferme une colonne de "Risques et Hypothèses". En fonction des composantes du programme concernées, les éléments récurrents à cet égard : situation sécuritaire, fragilité du processus de paix, difficulté d’accès aux communautés, insuffisance de coordination dans la partie nationale, insuffisance des ressources des bailleurs, difficulté à advenir pour les réformes préalables, disponibilité de données statistiques. </w:t>
      </w:r>
    </w:p>
    <w:p w14:paraId="604B511A" w14:textId="77777777" w:rsidR="00D35731" w:rsidRPr="003A1D53" w:rsidRDefault="00D35731" w:rsidP="00D35731">
      <w:pPr>
        <w:spacing w:after="0" w:line="240" w:lineRule="auto"/>
        <w:jc w:val="both"/>
        <w:rPr>
          <w:rFonts w:ascii="Times New Roman" w:hAnsi="Times New Roman"/>
          <w:sz w:val="24"/>
          <w:szCs w:val="24"/>
        </w:rPr>
      </w:pPr>
    </w:p>
    <w:p w14:paraId="604B511B" w14:textId="77777777" w:rsidR="00D35731" w:rsidRPr="001751CA" w:rsidRDefault="00204BA9" w:rsidP="00D35731">
      <w:pPr>
        <w:spacing w:after="0" w:line="240" w:lineRule="auto"/>
        <w:jc w:val="both"/>
        <w:rPr>
          <w:rFonts w:ascii="Times New Roman" w:hAnsi="Times New Roman"/>
          <w:sz w:val="24"/>
          <w:szCs w:val="24"/>
        </w:rPr>
      </w:pPr>
      <w:r w:rsidRPr="003A1D53">
        <w:rPr>
          <w:rFonts w:ascii="Times New Roman" w:hAnsi="Times New Roman"/>
          <w:sz w:val="24"/>
          <w:szCs w:val="24"/>
        </w:rPr>
        <w:t>33.</w:t>
      </w:r>
      <w:r w:rsidR="00D35731" w:rsidRPr="003A1D53">
        <w:rPr>
          <w:rFonts w:ascii="Times New Roman" w:hAnsi="Times New Roman"/>
          <w:sz w:val="24"/>
          <w:szCs w:val="24"/>
        </w:rPr>
        <w:tab/>
        <w:t>Ces risques et hypothèses sont plus recensés qu’ils ne sont analysés dans la matrice. Aussi l’appréciation de leur acuité n’est pas toujours robuste, comme l’illustrent les mentions suivantes : "</w:t>
      </w:r>
      <w:r w:rsidR="00D35731" w:rsidRPr="003A1D53">
        <w:rPr>
          <w:rFonts w:ascii="Times New Roman" w:eastAsiaTheme="minorHAnsi" w:hAnsi="Times New Roman"/>
          <w:sz w:val="24"/>
          <w:szCs w:val="24"/>
        </w:rPr>
        <w:t>La dégradation de la situation sécuritaire, politico-institutionnelle pourrait menacer la stabilité du pays et éventuellement l’organisation des élections" : "Probabilité: faible". Certes, il n’y a pas eu mise en danger de la stabilité du pays, mais la situation sécuritaire s’est fortement dégradée, et des élections ont été ajournées. L’absence d’une véritable analyse n’a pas permis de mettre en exergue les véritables dangerosités pour le programme, encore moins de donner les indications  appropriées en termes de dispositions de remédiation.</w:t>
      </w:r>
    </w:p>
    <w:p w14:paraId="604B511C" w14:textId="77777777" w:rsidR="00D35731" w:rsidRPr="00FB42E6" w:rsidRDefault="00D35731" w:rsidP="005B22B2">
      <w:pPr>
        <w:autoSpaceDE w:val="0"/>
        <w:autoSpaceDN w:val="0"/>
        <w:adjustRightInd w:val="0"/>
        <w:spacing w:after="0" w:line="240" w:lineRule="auto"/>
        <w:jc w:val="both"/>
        <w:rPr>
          <w:rFonts w:ascii="Times New Roman" w:hAnsi="Times New Roman"/>
          <w:sz w:val="24"/>
          <w:szCs w:val="24"/>
        </w:rPr>
      </w:pPr>
    </w:p>
    <w:p w14:paraId="604B511D" w14:textId="77777777" w:rsidR="002017E6" w:rsidRPr="00FB42E6" w:rsidRDefault="002017E6" w:rsidP="005B22B2">
      <w:pPr>
        <w:pStyle w:val="Titre2"/>
        <w:numPr>
          <w:ilvl w:val="1"/>
          <w:numId w:val="3"/>
        </w:numPr>
        <w:spacing w:before="0"/>
        <w:rPr>
          <w:rFonts w:ascii="Times New Roman" w:hAnsi="Times New Roman"/>
          <w:color w:val="auto"/>
          <w:sz w:val="24"/>
          <w:szCs w:val="24"/>
        </w:rPr>
      </w:pPr>
      <w:bookmarkStart w:id="140" w:name="_Toc499211597"/>
      <w:bookmarkStart w:id="141" w:name="_Toc500967844"/>
      <w:bookmarkStart w:id="142" w:name="_Toc500974524"/>
      <w:bookmarkStart w:id="143" w:name="_Toc502863861"/>
      <w:bookmarkStart w:id="144" w:name="_Toc505758468"/>
      <w:bookmarkStart w:id="145" w:name="_Toc506201560"/>
      <w:r w:rsidRPr="00FB42E6">
        <w:rPr>
          <w:rFonts w:ascii="Times New Roman" w:hAnsi="Times New Roman"/>
          <w:color w:val="auto"/>
          <w:sz w:val="24"/>
          <w:szCs w:val="24"/>
        </w:rPr>
        <w:t>Programmation budgétaire</w:t>
      </w:r>
      <w:bookmarkEnd w:id="140"/>
      <w:bookmarkEnd w:id="141"/>
      <w:bookmarkEnd w:id="142"/>
      <w:bookmarkEnd w:id="143"/>
      <w:bookmarkEnd w:id="144"/>
      <w:bookmarkEnd w:id="145"/>
    </w:p>
    <w:p w14:paraId="604B511E" w14:textId="77777777" w:rsidR="002017E6" w:rsidRPr="00FB42E6" w:rsidRDefault="002017E6" w:rsidP="005B22B2">
      <w:pPr>
        <w:autoSpaceDE w:val="0"/>
        <w:autoSpaceDN w:val="0"/>
        <w:adjustRightInd w:val="0"/>
        <w:spacing w:after="0" w:line="240" w:lineRule="auto"/>
        <w:jc w:val="both"/>
        <w:rPr>
          <w:rFonts w:ascii="Times New Roman" w:hAnsi="Times New Roman"/>
          <w:sz w:val="24"/>
          <w:szCs w:val="24"/>
        </w:rPr>
      </w:pPr>
    </w:p>
    <w:p w14:paraId="604B511F" w14:textId="77777777" w:rsidR="00790EE5" w:rsidRPr="00FB42E6" w:rsidRDefault="00790EE5" w:rsidP="005B22B2">
      <w:pPr>
        <w:spacing w:after="0" w:line="240" w:lineRule="auto"/>
        <w:jc w:val="both"/>
        <w:rPr>
          <w:rFonts w:ascii="Times New Roman" w:hAnsi="Times New Roman"/>
          <w:sz w:val="24"/>
          <w:szCs w:val="24"/>
        </w:rPr>
      </w:pPr>
      <w:r w:rsidRPr="00FB42E6">
        <w:rPr>
          <w:rFonts w:ascii="Times New Roman" w:hAnsi="Times New Roman"/>
          <w:sz w:val="24"/>
          <w:szCs w:val="24"/>
        </w:rPr>
        <w:t>3</w:t>
      </w:r>
      <w:r w:rsidR="00204BA9">
        <w:rPr>
          <w:rFonts w:ascii="Times New Roman" w:hAnsi="Times New Roman"/>
          <w:sz w:val="24"/>
          <w:szCs w:val="24"/>
        </w:rPr>
        <w:t>4</w:t>
      </w:r>
      <w:r w:rsidRPr="00FB42E6">
        <w:rPr>
          <w:rFonts w:ascii="Times New Roman" w:hAnsi="Times New Roman"/>
          <w:sz w:val="24"/>
          <w:szCs w:val="24"/>
        </w:rPr>
        <w:t>.</w:t>
      </w:r>
      <w:r w:rsidRPr="00FB42E6">
        <w:rPr>
          <w:rFonts w:ascii="Times New Roman" w:hAnsi="Times New Roman"/>
          <w:sz w:val="24"/>
          <w:szCs w:val="24"/>
        </w:rPr>
        <w:tab/>
        <w:t>La programmation budgétaire actée dans le cadre des résultats et des ressources, annexé au programme évalue à 1 137 632 </w:t>
      </w:r>
      <w:r w:rsidRPr="003A1D53">
        <w:rPr>
          <w:rFonts w:ascii="Times New Roman" w:hAnsi="Times New Roman"/>
          <w:sz w:val="24"/>
          <w:szCs w:val="24"/>
        </w:rPr>
        <w:t>878 US</w:t>
      </w:r>
      <w:r w:rsidR="00197F23" w:rsidRPr="003A1D53">
        <w:rPr>
          <w:rFonts w:ascii="Times New Roman" w:hAnsi="Times New Roman"/>
          <w:sz w:val="24"/>
          <w:szCs w:val="24"/>
        </w:rPr>
        <w:t>D</w:t>
      </w:r>
      <w:r w:rsidRPr="003A1D53">
        <w:rPr>
          <w:rFonts w:ascii="Times New Roman" w:hAnsi="Times New Roman"/>
          <w:sz w:val="24"/>
          <w:szCs w:val="24"/>
        </w:rPr>
        <w:t xml:space="preserve"> les ressources</w:t>
      </w:r>
      <w:r w:rsidRPr="00FB42E6">
        <w:rPr>
          <w:rFonts w:ascii="Times New Roman" w:hAnsi="Times New Roman"/>
          <w:sz w:val="24"/>
          <w:szCs w:val="24"/>
        </w:rPr>
        <w:t xml:space="preserve"> nécessaires à la mise en œuvre de l’UNDAF</w:t>
      </w:r>
      <w:r w:rsidRPr="00FB42E6">
        <w:rPr>
          <w:rFonts w:ascii="Times New Roman" w:hAnsi="Times New Roman"/>
          <w:sz w:val="24"/>
          <w:szCs w:val="24"/>
          <w:vertAlign w:val="superscript"/>
        </w:rPr>
        <w:t>+</w:t>
      </w:r>
      <w:r w:rsidRPr="00FB42E6">
        <w:rPr>
          <w:rFonts w:ascii="Times New Roman" w:hAnsi="Times New Roman"/>
          <w:sz w:val="24"/>
          <w:szCs w:val="24"/>
        </w:rPr>
        <w:t>. Plus de la moitié de ce montant (52%) devait être dirigé vers l’Effet 5 ("</w:t>
      </w:r>
      <w:r w:rsidRPr="00FB42E6">
        <w:rPr>
          <w:rFonts w:ascii="Times New Roman" w:eastAsia="Times New Roman" w:hAnsi="Times New Roman"/>
          <w:bCs/>
          <w:i/>
          <w:sz w:val="24"/>
          <w:szCs w:val="24"/>
          <w:lang w:eastAsia="fr-FR"/>
        </w:rPr>
        <w:t>Les populations défavorisées particulièrement les femmes et les jeunes, bénéficient de capacités et d’opportunités productives accrues, dans un environnement sain et durable, favorable à la réduction de la pauvreté</w:t>
      </w:r>
      <w:r w:rsidRPr="00FB42E6">
        <w:rPr>
          <w:rFonts w:ascii="Times New Roman" w:hAnsi="Times New Roman"/>
          <w:sz w:val="24"/>
          <w:szCs w:val="24"/>
        </w:rPr>
        <w:t>."), suivi de loin par les quatre autres en termes d’importance budgétaire</w:t>
      </w:r>
      <w:r w:rsidR="005A3546">
        <w:rPr>
          <w:rFonts w:ascii="Times New Roman" w:hAnsi="Times New Roman"/>
          <w:sz w:val="24"/>
          <w:szCs w:val="24"/>
        </w:rPr>
        <w:t>. (Cf. tableau 1 des Annexes)</w:t>
      </w:r>
    </w:p>
    <w:p w14:paraId="604B5120" w14:textId="77777777" w:rsidR="00790EE5" w:rsidRPr="00FB42E6" w:rsidRDefault="00790EE5" w:rsidP="005B22B2">
      <w:pPr>
        <w:spacing w:after="0" w:line="240" w:lineRule="auto"/>
        <w:jc w:val="both"/>
        <w:rPr>
          <w:rFonts w:ascii="Times New Roman" w:hAnsi="Times New Roman"/>
          <w:sz w:val="24"/>
          <w:szCs w:val="24"/>
        </w:rPr>
      </w:pPr>
    </w:p>
    <w:p w14:paraId="604B5121" w14:textId="77777777" w:rsidR="00BA3DC6" w:rsidRPr="00FB42E6" w:rsidRDefault="00BA3DC6" w:rsidP="005B22B2">
      <w:pPr>
        <w:pStyle w:val="Titre2"/>
        <w:numPr>
          <w:ilvl w:val="1"/>
          <w:numId w:val="3"/>
        </w:numPr>
        <w:spacing w:before="0"/>
        <w:rPr>
          <w:rFonts w:ascii="Times New Roman" w:hAnsi="Times New Roman"/>
          <w:color w:val="auto"/>
          <w:sz w:val="24"/>
          <w:szCs w:val="24"/>
        </w:rPr>
      </w:pPr>
      <w:bookmarkStart w:id="146" w:name="_Toc348488293"/>
      <w:bookmarkStart w:id="147" w:name="_Toc499211599"/>
      <w:bookmarkStart w:id="148" w:name="_Toc500967845"/>
      <w:bookmarkStart w:id="149" w:name="_Toc500974525"/>
      <w:bookmarkStart w:id="150" w:name="_Toc502863863"/>
      <w:bookmarkStart w:id="151" w:name="_Toc505758469"/>
      <w:bookmarkStart w:id="152" w:name="_Toc506201561"/>
      <w:r w:rsidRPr="00FB42E6">
        <w:rPr>
          <w:rFonts w:ascii="Times New Roman" w:hAnsi="Times New Roman"/>
          <w:color w:val="auto"/>
          <w:sz w:val="24"/>
          <w:szCs w:val="24"/>
        </w:rPr>
        <w:t>Modifications intervenues en cours de mise en œuvre</w:t>
      </w:r>
      <w:bookmarkEnd w:id="146"/>
      <w:bookmarkEnd w:id="147"/>
      <w:bookmarkEnd w:id="148"/>
      <w:bookmarkEnd w:id="149"/>
      <w:bookmarkEnd w:id="150"/>
      <w:bookmarkEnd w:id="151"/>
      <w:bookmarkEnd w:id="152"/>
    </w:p>
    <w:p w14:paraId="604B5122" w14:textId="77777777" w:rsidR="00BA3DC6" w:rsidRPr="00FB42E6" w:rsidRDefault="00BA3DC6" w:rsidP="005B22B2">
      <w:pPr>
        <w:autoSpaceDE w:val="0"/>
        <w:autoSpaceDN w:val="0"/>
        <w:adjustRightInd w:val="0"/>
        <w:spacing w:after="0" w:line="240" w:lineRule="auto"/>
        <w:jc w:val="both"/>
        <w:rPr>
          <w:rFonts w:ascii="Times New Roman" w:hAnsi="Times New Roman"/>
          <w:sz w:val="24"/>
          <w:szCs w:val="24"/>
        </w:rPr>
      </w:pPr>
    </w:p>
    <w:p w14:paraId="604B5123" w14:textId="77777777" w:rsidR="00BA3DC6" w:rsidRPr="006B309F" w:rsidRDefault="00AD443E" w:rsidP="005B22B2">
      <w:pPr>
        <w:spacing w:after="0" w:line="240" w:lineRule="auto"/>
        <w:jc w:val="both"/>
        <w:rPr>
          <w:rFonts w:ascii="Times New Roman" w:hAnsi="Times New Roman"/>
          <w:sz w:val="24"/>
          <w:szCs w:val="24"/>
        </w:rPr>
      </w:pPr>
      <w:r>
        <w:rPr>
          <w:rFonts w:ascii="Times New Roman" w:hAnsi="Times New Roman"/>
          <w:sz w:val="24"/>
          <w:szCs w:val="24"/>
        </w:rPr>
        <w:t>3</w:t>
      </w:r>
      <w:r w:rsidR="00204BA9">
        <w:rPr>
          <w:rFonts w:ascii="Times New Roman" w:hAnsi="Times New Roman"/>
          <w:sz w:val="24"/>
          <w:szCs w:val="24"/>
        </w:rPr>
        <w:t>5</w:t>
      </w:r>
      <w:r w:rsidR="00FA6BA0" w:rsidRPr="00FB42E6">
        <w:rPr>
          <w:rFonts w:ascii="Times New Roman" w:hAnsi="Times New Roman"/>
          <w:sz w:val="24"/>
          <w:szCs w:val="24"/>
        </w:rPr>
        <w:t>.</w:t>
      </w:r>
      <w:r w:rsidR="00FA6BA0" w:rsidRPr="00FB42E6">
        <w:rPr>
          <w:rFonts w:ascii="Times New Roman" w:hAnsi="Times New Roman"/>
          <w:sz w:val="24"/>
          <w:szCs w:val="24"/>
        </w:rPr>
        <w:tab/>
      </w:r>
      <w:r w:rsidR="009555FD" w:rsidRPr="00FB42E6">
        <w:rPr>
          <w:rFonts w:ascii="Times New Roman" w:hAnsi="Times New Roman"/>
          <w:sz w:val="24"/>
          <w:szCs w:val="24"/>
        </w:rPr>
        <w:t xml:space="preserve">Le </w:t>
      </w:r>
      <w:r w:rsidR="00790EE5" w:rsidRPr="00FB42E6">
        <w:rPr>
          <w:rFonts w:ascii="Times New Roman" w:hAnsi="Times New Roman"/>
          <w:sz w:val="24"/>
          <w:szCs w:val="24"/>
        </w:rPr>
        <w:t xml:space="preserve">programme n’a pas connu de modification formelle sur la période qui vient de s’écouler. La dégradation du </w:t>
      </w:r>
      <w:r w:rsidR="009555FD" w:rsidRPr="00FB42E6">
        <w:rPr>
          <w:rFonts w:ascii="Times New Roman" w:hAnsi="Times New Roman"/>
          <w:sz w:val="24"/>
          <w:szCs w:val="24"/>
        </w:rPr>
        <w:t>contexte</w:t>
      </w:r>
      <w:r w:rsidR="00790EE5" w:rsidRPr="00FB42E6">
        <w:rPr>
          <w:rFonts w:ascii="Times New Roman" w:hAnsi="Times New Roman"/>
          <w:sz w:val="24"/>
          <w:szCs w:val="24"/>
        </w:rPr>
        <w:t xml:space="preserve"> sécurité a toutefois imposé un ajustement des approches : il y a progressivement eu moins de présence opérationnelle </w:t>
      </w:r>
      <w:r w:rsidR="00197F23">
        <w:rPr>
          <w:rFonts w:ascii="Times New Roman" w:hAnsi="Times New Roman"/>
          <w:sz w:val="24"/>
          <w:szCs w:val="24"/>
        </w:rPr>
        <w:t xml:space="preserve">directe </w:t>
      </w:r>
      <w:r w:rsidR="00790EE5" w:rsidRPr="00FB42E6">
        <w:rPr>
          <w:rFonts w:ascii="Times New Roman" w:hAnsi="Times New Roman"/>
          <w:sz w:val="24"/>
          <w:szCs w:val="24"/>
        </w:rPr>
        <w:t xml:space="preserve">des agences dans les zones d’insécurité aigue, où la mise en œuvre se fait davantage à travers des partenariats avec des </w:t>
      </w:r>
      <w:r w:rsidR="00197F23">
        <w:rPr>
          <w:rFonts w:ascii="Times New Roman" w:hAnsi="Times New Roman"/>
          <w:sz w:val="24"/>
          <w:szCs w:val="24"/>
        </w:rPr>
        <w:t xml:space="preserve">organisations </w:t>
      </w:r>
      <w:r w:rsidR="00790EE5" w:rsidRPr="00FB42E6">
        <w:rPr>
          <w:rFonts w:ascii="Times New Roman" w:hAnsi="Times New Roman"/>
          <w:sz w:val="24"/>
          <w:szCs w:val="24"/>
        </w:rPr>
        <w:t>de la société civile locale.</w:t>
      </w:r>
    </w:p>
    <w:p w14:paraId="604B5124" w14:textId="77777777" w:rsidR="00BA3DC6" w:rsidRPr="006B309F" w:rsidRDefault="00BA3DC6" w:rsidP="005B22B2">
      <w:pPr>
        <w:spacing w:after="0" w:line="240" w:lineRule="auto"/>
        <w:jc w:val="both"/>
        <w:rPr>
          <w:rFonts w:ascii="Times New Roman" w:hAnsi="Times New Roman"/>
          <w:sz w:val="24"/>
          <w:szCs w:val="24"/>
        </w:rPr>
      </w:pPr>
    </w:p>
    <w:p w14:paraId="604B5125" w14:textId="77777777" w:rsidR="00BA3DC6" w:rsidRPr="00347A29" w:rsidRDefault="00BA3DC6" w:rsidP="005B22B2">
      <w:pPr>
        <w:pStyle w:val="Titre1"/>
        <w:numPr>
          <w:ilvl w:val="0"/>
          <w:numId w:val="3"/>
        </w:numPr>
        <w:spacing w:before="0" w:line="240" w:lineRule="auto"/>
        <w:rPr>
          <w:rFonts w:ascii="Times New Roman" w:hAnsi="Times New Roman"/>
          <w:color w:val="auto"/>
          <w:sz w:val="24"/>
          <w:szCs w:val="24"/>
        </w:rPr>
      </w:pPr>
      <w:bookmarkStart w:id="153" w:name="_Toc499211600"/>
      <w:bookmarkStart w:id="154" w:name="_Toc500967846"/>
      <w:bookmarkStart w:id="155" w:name="_Toc500974526"/>
      <w:bookmarkStart w:id="156" w:name="_Toc502863864"/>
      <w:bookmarkStart w:id="157" w:name="_Toc505758470"/>
      <w:bookmarkStart w:id="158" w:name="_Toc506201562"/>
      <w:r w:rsidRPr="00347A29">
        <w:rPr>
          <w:rFonts w:ascii="Times New Roman" w:hAnsi="Times New Roman"/>
          <w:color w:val="auto"/>
          <w:sz w:val="24"/>
          <w:szCs w:val="24"/>
        </w:rPr>
        <w:t>Evaluation de performances</w:t>
      </w:r>
      <w:bookmarkEnd w:id="153"/>
      <w:bookmarkEnd w:id="154"/>
      <w:bookmarkEnd w:id="155"/>
      <w:bookmarkEnd w:id="156"/>
      <w:bookmarkEnd w:id="157"/>
      <w:bookmarkEnd w:id="158"/>
    </w:p>
    <w:p w14:paraId="604B5126" w14:textId="77777777" w:rsidR="00BA3DC6" w:rsidRPr="006B309F" w:rsidRDefault="00BA3DC6" w:rsidP="005B22B2">
      <w:pPr>
        <w:spacing w:after="0" w:line="240" w:lineRule="auto"/>
      </w:pPr>
    </w:p>
    <w:p w14:paraId="604B5127" w14:textId="77777777" w:rsidR="00BA3DC6" w:rsidRPr="00FB42E6" w:rsidRDefault="00BA3DC6" w:rsidP="005B22B2">
      <w:pPr>
        <w:pStyle w:val="Titre2"/>
        <w:spacing w:before="0"/>
        <w:rPr>
          <w:rFonts w:ascii="Times New Roman" w:hAnsi="Times New Roman"/>
          <w:color w:val="auto"/>
          <w:sz w:val="24"/>
          <w:szCs w:val="24"/>
        </w:rPr>
      </w:pPr>
      <w:bookmarkStart w:id="159" w:name="_Toc406445172"/>
      <w:bookmarkStart w:id="160" w:name="_Toc499211601"/>
      <w:bookmarkStart w:id="161" w:name="_Toc500967847"/>
      <w:bookmarkStart w:id="162" w:name="_Toc500974527"/>
      <w:bookmarkStart w:id="163" w:name="_Toc502863865"/>
      <w:bookmarkStart w:id="164" w:name="_Toc505758471"/>
      <w:bookmarkStart w:id="165" w:name="_Toc506201563"/>
      <w:r w:rsidRPr="00FB42E6">
        <w:rPr>
          <w:rFonts w:ascii="Times New Roman" w:hAnsi="Times New Roman"/>
          <w:color w:val="auto"/>
          <w:sz w:val="24"/>
          <w:szCs w:val="24"/>
        </w:rPr>
        <w:t>3.1. Pertinence</w:t>
      </w:r>
      <w:bookmarkEnd w:id="159"/>
      <w:bookmarkEnd w:id="160"/>
      <w:bookmarkEnd w:id="161"/>
      <w:bookmarkEnd w:id="162"/>
      <w:bookmarkEnd w:id="163"/>
      <w:bookmarkEnd w:id="164"/>
      <w:bookmarkEnd w:id="165"/>
    </w:p>
    <w:p w14:paraId="604B5128" w14:textId="77777777" w:rsidR="00BA3DC6" w:rsidRPr="00FB42E6" w:rsidRDefault="00BA3DC6" w:rsidP="005B22B2">
      <w:pPr>
        <w:spacing w:after="0" w:line="240" w:lineRule="auto"/>
        <w:jc w:val="both"/>
        <w:rPr>
          <w:rFonts w:ascii="Times New Roman" w:hAnsi="Times New Roman"/>
          <w:sz w:val="24"/>
          <w:szCs w:val="24"/>
        </w:rPr>
      </w:pPr>
    </w:p>
    <w:p w14:paraId="604B5129" w14:textId="77777777" w:rsidR="00BA3DC6" w:rsidRPr="00FB42E6" w:rsidRDefault="00BA3DC6" w:rsidP="005B22B2">
      <w:pPr>
        <w:pStyle w:val="Titre3"/>
        <w:numPr>
          <w:ilvl w:val="2"/>
          <w:numId w:val="3"/>
        </w:numPr>
        <w:spacing w:before="0" w:line="240" w:lineRule="auto"/>
        <w:rPr>
          <w:rFonts w:ascii="Times New Roman" w:hAnsi="Times New Roman"/>
          <w:color w:val="auto"/>
          <w:sz w:val="24"/>
          <w:szCs w:val="24"/>
        </w:rPr>
      </w:pPr>
      <w:bookmarkStart w:id="166" w:name="_Toc499211602"/>
      <w:bookmarkStart w:id="167" w:name="_Toc500967848"/>
      <w:bookmarkStart w:id="168" w:name="_Toc500974528"/>
      <w:bookmarkStart w:id="169" w:name="_Toc502863866"/>
      <w:bookmarkStart w:id="170" w:name="_Toc505758472"/>
      <w:bookmarkStart w:id="171" w:name="_Toc506201564"/>
      <w:r w:rsidRPr="00FB42E6">
        <w:rPr>
          <w:rFonts w:ascii="Times New Roman" w:hAnsi="Times New Roman"/>
          <w:color w:val="auto"/>
          <w:sz w:val="24"/>
          <w:szCs w:val="24"/>
        </w:rPr>
        <w:t>Pertinence stratégique : alignement sur les priorités de développement du pays</w:t>
      </w:r>
      <w:bookmarkEnd w:id="166"/>
      <w:bookmarkEnd w:id="167"/>
      <w:bookmarkEnd w:id="168"/>
      <w:bookmarkEnd w:id="169"/>
      <w:bookmarkEnd w:id="170"/>
      <w:bookmarkEnd w:id="171"/>
    </w:p>
    <w:p w14:paraId="604B512A" w14:textId="77777777" w:rsidR="009C639F" w:rsidRPr="00475744" w:rsidRDefault="009C639F" w:rsidP="005B22B2">
      <w:pPr>
        <w:spacing w:after="0" w:line="240" w:lineRule="auto"/>
        <w:jc w:val="both"/>
        <w:rPr>
          <w:rFonts w:ascii="Times New Roman" w:hAnsi="Times New Roman"/>
          <w:sz w:val="24"/>
          <w:szCs w:val="24"/>
        </w:rPr>
      </w:pPr>
    </w:p>
    <w:p w14:paraId="604B512B" w14:textId="77777777" w:rsidR="00475744" w:rsidRPr="00475744" w:rsidRDefault="00475744" w:rsidP="005B22B2">
      <w:pPr>
        <w:spacing w:after="0" w:line="240" w:lineRule="auto"/>
        <w:jc w:val="both"/>
        <w:rPr>
          <w:rFonts w:ascii="Times New Roman" w:hAnsi="Times New Roman"/>
          <w:sz w:val="24"/>
          <w:szCs w:val="24"/>
        </w:rPr>
      </w:pPr>
      <w:r w:rsidRPr="00475744">
        <w:rPr>
          <w:rFonts w:ascii="Times New Roman" w:hAnsi="Times New Roman"/>
          <w:sz w:val="24"/>
          <w:szCs w:val="24"/>
        </w:rPr>
        <w:t>3</w:t>
      </w:r>
      <w:r w:rsidR="00204BA9">
        <w:rPr>
          <w:rFonts w:ascii="Times New Roman" w:hAnsi="Times New Roman"/>
          <w:sz w:val="24"/>
          <w:szCs w:val="24"/>
        </w:rPr>
        <w:t>6</w:t>
      </w:r>
      <w:r w:rsidRPr="00475744">
        <w:rPr>
          <w:rFonts w:ascii="Times New Roman" w:hAnsi="Times New Roman"/>
          <w:sz w:val="24"/>
          <w:szCs w:val="24"/>
        </w:rPr>
        <w:t>.</w:t>
      </w:r>
      <w:r w:rsidRPr="00475744">
        <w:rPr>
          <w:rFonts w:ascii="Times New Roman" w:hAnsi="Times New Roman"/>
          <w:sz w:val="24"/>
          <w:szCs w:val="24"/>
        </w:rPr>
        <w:tab/>
        <w:t>Le programme est, à l’origine, aligné sur les stratégies de développement de la République du Mali, qu’il s’agisse des instruments internationaux auxquels le pays a souscrit, comme les Objectifs du Millénaire pour le Développement (en vigueur au moment de sa formulation, et durant la première année du cycle !), ou des outils de programmation qui les opérationnalisent dans les politiques nationales. A travers ses cinq effets stratégiques, l’UNDAF+ ser</w:t>
      </w:r>
      <w:r w:rsidR="00197F23">
        <w:rPr>
          <w:rFonts w:ascii="Times New Roman" w:hAnsi="Times New Roman"/>
          <w:sz w:val="24"/>
          <w:szCs w:val="24"/>
        </w:rPr>
        <w:t>vai</w:t>
      </w:r>
      <w:r w:rsidRPr="00475744">
        <w:rPr>
          <w:rFonts w:ascii="Times New Roman" w:hAnsi="Times New Roman"/>
          <w:sz w:val="24"/>
          <w:szCs w:val="24"/>
        </w:rPr>
        <w:t xml:space="preserve">t de manière transversale la totalité des huit OMD. Par rapport aux Objectifs de Développement Durables, adoptés en Septembre 2015 et bâtis sur l’héritage et dans la continuité stratégique des OMD, si la cohérence globale du programme avec eux est avérée, l’ordre de priorité dans lequel le </w:t>
      </w:r>
      <w:r w:rsidR="00197F23">
        <w:rPr>
          <w:rFonts w:ascii="Times New Roman" w:hAnsi="Times New Roman"/>
          <w:sz w:val="24"/>
          <w:szCs w:val="24"/>
        </w:rPr>
        <w:t>Mali</w:t>
      </w:r>
      <w:r w:rsidRPr="00475744">
        <w:rPr>
          <w:rFonts w:ascii="Times New Roman" w:hAnsi="Times New Roman"/>
          <w:sz w:val="24"/>
          <w:szCs w:val="24"/>
        </w:rPr>
        <w:t xml:space="preserve"> se les approprie reste à visiter pour mieux en imprégner la deuxième moitié du cycle de l’UNDAF+. Du reste, le Système accompagne le pays dans la priorisation et l’internationalisation des ODD, processus qui est en train de toucher à des contenus stabilisés qui seront utiles à la révision du document de programmation de l’UNDAF+</w:t>
      </w:r>
    </w:p>
    <w:p w14:paraId="604B512C" w14:textId="77777777" w:rsidR="00475744" w:rsidRPr="00475744" w:rsidRDefault="00475744" w:rsidP="005B22B2">
      <w:pPr>
        <w:spacing w:after="0" w:line="240" w:lineRule="auto"/>
        <w:jc w:val="both"/>
        <w:rPr>
          <w:rFonts w:ascii="Times New Roman" w:hAnsi="Times New Roman"/>
          <w:sz w:val="24"/>
          <w:szCs w:val="24"/>
        </w:rPr>
      </w:pPr>
    </w:p>
    <w:p w14:paraId="604B512D" w14:textId="77777777" w:rsidR="00475744" w:rsidRPr="00475744" w:rsidRDefault="00475744" w:rsidP="005B22B2">
      <w:pPr>
        <w:spacing w:after="0" w:line="240" w:lineRule="auto"/>
        <w:jc w:val="both"/>
        <w:rPr>
          <w:rFonts w:ascii="Times New Roman" w:hAnsi="Times New Roman"/>
          <w:sz w:val="24"/>
          <w:szCs w:val="24"/>
        </w:rPr>
      </w:pPr>
      <w:r w:rsidRPr="003A1D53">
        <w:rPr>
          <w:rFonts w:ascii="Times New Roman" w:hAnsi="Times New Roman"/>
          <w:sz w:val="24"/>
          <w:szCs w:val="24"/>
        </w:rPr>
        <w:t>3</w:t>
      </w:r>
      <w:r w:rsidR="00204BA9" w:rsidRPr="003A1D53">
        <w:rPr>
          <w:rFonts w:ascii="Times New Roman" w:hAnsi="Times New Roman"/>
          <w:sz w:val="24"/>
          <w:szCs w:val="24"/>
        </w:rPr>
        <w:t>7</w:t>
      </w:r>
      <w:r w:rsidRPr="003A1D53">
        <w:rPr>
          <w:rFonts w:ascii="Times New Roman" w:hAnsi="Times New Roman"/>
          <w:sz w:val="24"/>
          <w:szCs w:val="24"/>
        </w:rPr>
        <w:t>.</w:t>
      </w:r>
      <w:r w:rsidRPr="003A1D53">
        <w:rPr>
          <w:rFonts w:ascii="Times New Roman" w:hAnsi="Times New Roman"/>
          <w:sz w:val="24"/>
          <w:szCs w:val="24"/>
        </w:rPr>
        <w:tab/>
        <w:t>En ce qui concerne ses cadres str</w:t>
      </w:r>
      <w:r w:rsidR="00034D57" w:rsidRPr="003A1D53">
        <w:rPr>
          <w:rFonts w:ascii="Times New Roman" w:hAnsi="Times New Roman"/>
          <w:sz w:val="24"/>
          <w:szCs w:val="24"/>
        </w:rPr>
        <w:t>atégiques de développement, le M</w:t>
      </w:r>
      <w:r w:rsidRPr="003A1D53">
        <w:rPr>
          <w:rFonts w:ascii="Times New Roman" w:hAnsi="Times New Roman"/>
          <w:sz w:val="24"/>
          <w:szCs w:val="24"/>
        </w:rPr>
        <w:t xml:space="preserve">ali a connu des évolutions dans le sens d’une rationalisation des outils, qui étaient variés et assortis de cycles différents. Il y’eut le Cadre Stratégique pour la Croissance et la Réduction de la Pauvreté (CSCRP : 2013-2017), mais aussi le Plan pour la Relance Durable du Mali (PRED : 2013-2014), ou encore le Programme d’Actions du Gouvernement (PAG : 2013-2018), et encore le Programme de Développement Accéléré des Régions du Nord. Ces documents encadraient les stratégies nationales de développement au moment de la formulation du cycle en cours de l’UNDAF, qui a puisé en eux sa </w:t>
      </w:r>
      <w:r w:rsidR="00197F23" w:rsidRPr="003A1D53">
        <w:rPr>
          <w:rFonts w:ascii="Times New Roman" w:hAnsi="Times New Roman"/>
          <w:sz w:val="24"/>
          <w:szCs w:val="24"/>
        </w:rPr>
        <w:t xml:space="preserve">propre </w:t>
      </w:r>
      <w:r w:rsidRPr="003A1D53">
        <w:rPr>
          <w:rFonts w:ascii="Times New Roman" w:hAnsi="Times New Roman"/>
          <w:sz w:val="24"/>
          <w:szCs w:val="24"/>
        </w:rPr>
        <w:t>substance.</w:t>
      </w:r>
    </w:p>
    <w:p w14:paraId="604B512E" w14:textId="77777777" w:rsidR="00475744" w:rsidRPr="00475744" w:rsidRDefault="00475744" w:rsidP="005B22B2">
      <w:pPr>
        <w:spacing w:after="0" w:line="240" w:lineRule="auto"/>
        <w:jc w:val="both"/>
        <w:rPr>
          <w:rFonts w:ascii="Times New Roman" w:hAnsi="Times New Roman"/>
          <w:sz w:val="24"/>
          <w:szCs w:val="24"/>
        </w:rPr>
      </w:pPr>
    </w:p>
    <w:p w14:paraId="604B512F" w14:textId="77777777" w:rsidR="00050F8B" w:rsidRDefault="00AD443E" w:rsidP="00900D6E">
      <w:pPr>
        <w:spacing w:after="0" w:line="240" w:lineRule="auto"/>
        <w:jc w:val="both"/>
        <w:rPr>
          <w:rFonts w:ascii="Times New Roman" w:hAnsi="Times New Roman"/>
          <w:sz w:val="24"/>
          <w:szCs w:val="24"/>
        </w:rPr>
      </w:pPr>
      <w:r>
        <w:rPr>
          <w:rFonts w:ascii="Times New Roman" w:hAnsi="Times New Roman"/>
          <w:sz w:val="24"/>
          <w:szCs w:val="24"/>
        </w:rPr>
        <w:t>3</w:t>
      </w:r>
      <w:r w:rsidR="00204BA9">
        <w:rPr>
          <w:rFonts w:ascii="Times New Roman" w:hAnsi="Times New Roman"/>
          <w:sz w:val="24"/>
          <w:szCs w:val="24"/>
        </w:rPr>
        <w:t>8</w:t>
      </w:r>
      <w:r>
        <w:rPr>
          <w:rFonts w:ascii="Times New Roman" w:hAnsi="Times New Roman"/>
          <w:sz w:val="24"/>
          <w:szCs w:val="24"/>
        </w:rPr>
        <w:t>.</w:t>
      </w:r>
      <w:r w:rsidR="00475744" w:rsidRPr="00475744">
        <w:rPr>
          <w:rFonts w:ascii="Times New Roman" w:hAnsi="Times New Roman"/>
          <w:sz w:val="24"/>
          <w:szCs w:val="24"/>
        </w:rPr>
        <w:tab/>
        <w:t xml:space="preserve">Puis est venu le Cadre Stratégique pour la Relance Economique et le Développement Durable (CREDD : 2016-2018). Héritier de générations précédentes d’outils de planification nationale qu’il a absorbés, le CREDD est articulé sur Trois Axes stratégiques : (i) Croissance </w:t>
      </w:r>
      <w:r w:rsidR="00475744" w:rsidRPr="00475744">
        <w:rPr>
          <w:rFonts w:ascii="Times New Roman" w:hAnsi="Times New Roman"/>
          <w:sz w:val="24"/>
          <w:szCs w:val="24"/>
        </w:rPr>
        <w:lastRenderedPageBreak/>
        <w:t xml:space="preserve">économique inclusive et durable ; (ii) Développement social et Accès aux services sociaux de base ; et (iii) Développement institutionnel et Gouvernance. Les cinq effets poursuivis par l’UNDAF+ rentrent globalement dans les domaines </w:t>
      </w:r>
      <w:r w:rsidR="005A3546">
        <w:rPr>
          <w:rFonts w:ascii="Times New Roman" w:hAnsi="Times New Roman"/>
          <w:sz w:val="24"/>
          <w:szCs w:val="24"/>
        </w:rPr>
        <w:t xml:space="preserve">de </w:t>
      </w:r>
      <w:r w:rsidR="00475744" w:rsidRPr="00475744">
        <w:rPr>
          <w:rFonts w:ascii="Times New Roman" w:hAnsi="Times New Roman"/>
          <w:sz w:val="24"/>
          <w:szCs w:val="24"/>
        </w:rPr>
        <w:t>développement co</w:t>
      </w:r>
      <w:r w:rsidR="00197F23">
        <w:rPr>
          <w:rFonts w:ascii="Times New Roman" w:hAnsi="Times New Roman"/>
          <w:sz w:val="24"/>
          <w:szCs w:val="24"/>
        </w:rPr>
        <w:t>uverts par c</w:t>
      </w:r>
      <w:r w:rsidR="00050F8B">
        <w:rPr>
          <w:rFonts w:ascii="Times New Roman" w:hAnsi="Times New Roman"/>
          <w:sz w:val="24"/>
          <w:szCs w:val="24"/>
        </w:rPr>
        <w:t>es 3 Axes du CREDD.</w:t>
      </w:r>
      <w:r w:rsidR="0013510F">
        <w:rPr>
          <w:rFonts w:ascii="Times New Roman" w:hAnsi="Times New Roman"/>
          <w:sz w:val="24"/>
          <w:szCs w:val="24"/>
        </w:rPr>
        <w:t xml:space="preserve"> </w:t>
      </w:r>
    </w:p>
    <w:p w14:paraId="604B5130" w14:textId="77777777" w:rsidR="005A3546" w:rsidRDefault="005A3546" w:rsidP="005B22B2">
      <w:pPr>
        <w:spacing w:after="0" w:line="240" w:lineRule="auto"/>
        <w:jc w:val="both"/>
        <w:rPr>
          <w:rFonts w:ascii="Times New Roman" w:hAnsi="Times New Roman"/>
          <w:sz w:val="24"/>
          <w:szCs w:val="24"/>
        </w:rPr>
      </w:pPr>
    </w:p>
    <w:p w14:paraId="604B5131" w14:textId="77777777" w:rsidR="00433C5C" w:rsidRPr="003A1D53" w:rsidRDefault="00AD443E" w:rsidP="005B22B2">
      <w:pPr>
        <w:spacing w:after="0" w:line="240" w:lineRule="auto"/>
        <w:jc w:val="both"/>
        <w:rPr>
          <w:rFonts w:ascii="Times New Roman" w:hAnsi="Times New Roman"/>
          <w:sz w:val="24"/>
          <w:szCs w:val="24"/>
        </w:rPr>
      </w:pPr>
      <w:r>
        <w:rPr>
          <w:rFonts w:ascii="Times New Roman" w:hAnsi="Times New Roman"/>
          <w:sz w:val="24"/>
          <w:szCs w:val="24"/>
        </w:rPr>
        <w:t>3</w:t>
      </w:r>
      <w:r w:rsidR="00204BA9">
        <w:rPr>
          <w:rFonts w:ascii="Times New Roman" w:hAnsi="Times New Roman"/>
          <w:sz w:val="24"/>
          <w:szCs w:val="24"/>
        </w:rPr>
        <w:t>9</w:t>
      </w:r>
      <w:r>
        <w:rPr>
          <w:rFonts w:ascii="Times New Roman" w:hAnsi="Times New Roman"/>
          <w:sz w:val="24"/>
          <w:szCs w:val="24"/>
        </w:rPr>
        <w:t>.</w:t>
      </w:r>
      <w:r w:rsidR="00475744" w:rsidRPr="00475744">
        <w:rPr>
          <w:rFonts w:ascii="Times New Roman" w:hAnsi="Times New Roman"/>
          <w:sz w:val="24"/>
          <w:szCs w:val="24"/>
        </w:rPr>
        <w:tab/>
        <w:t xml:space="preserve">La </w:t>
      </w:r>
      <w:r w:rsidR="00034D57">
        <w:rPr>
          <w:rFonts w:ascii="Times New Roman" w:hAnsi="Times New Roman"/>
          <w:sz w:val="24"/>
          <w:szCs w:val="24"/>
        </w:rPr>
        <w:t xml:space="preserve">revue de </w:t>
      </w:r>
      <w:r w:rsidR="00475744" w:rsidRPr="00475744">
        <w:rPr>
          <w:rFonts w:ascii="Times New Roman" w:hAnsi="Times New Roman"/>
          <w:sz w:val="24"/>
          <w:szCs w:val="24"/>
        </w:rPr>
        <w:t xml:space="preserve">convergence thématique  entre l’UNDAF et le CREDD montre un tropisme élevé du programme vers les axes 2 &amp; 3 du document national. Les </w:t>
      </w:r>
      <w:r w:rsidR="00197F23">
        <w:rPr>
          <w:rFonts w:ascii="Times New Roman" w:hAnsi="Times New Roman"/>
          <w:sz w:val="24"/>
          <w:szCs w:val="24"/>
        </w:rPr>
        <w:t>E</w:t>
      </w:r>
      <w:r w:rsidR="00475744" w:rsidRPr="00475744">
        <w:rPr>
          <w:rFonts w:ascii="Times New Roman" w:hAnsi="Times New Roman"/>
          <w:sz w:val="24"/>
          <w:szCs w:val="24"/>
        </w:rPr>
        <w:t xml:space="preserve">ffets </w:t>
      </w:r>
      <w:r w:rsidR="00197F23">
        <w:rPr>
          <w:rFonts w:ascii="Times New Roman" w:hAnsi="Times New Roman"/>
          <w:sz w:val="24"/>
          <w:szCs w:val="24"/>
        </w:rPr>
        <w:t xml:space="preserve">1 à </w:t>
      </w:r>
      <w:r w:rsidR="00475744" w:rsidRPr="00475744">
        <w:rPr>
          <w:rFonts w:ascii="Times New Roman" w:hAnsi="Times New Roman"/>
          <w:sz w:val="24"/>
          <w:szCs w:val="24"/>
        </w:rPr>
        <w:t>4 ont partie liée</w:t>
      </w:r>
      <w:r w:rsidR="00197F23">
        <w:rPr>
          <w:rFonts w:ascii="Times New Roman" w:hAnsi="Times New Roman"/>
          <w:sz w:val="24"/>
          <w:szCs w:val="24"/>
        </w:rPr>
        <w:t>,</w:t>
      </w:r>
      <w:r w:rsidR="00475744" w:rsidRPr="00475744">
        <w:rPr>
          <w:rFonts w:ascii="Times New Roman" w:hAnsi="Times New Roman"/>
          <w:sz w:val="24"/>
          <w:szCs w:val="24"/>
        </w:rPr>
        <w:t xml:space="preserve"> plus ou moins directement</w:t>
      </w:r>
      <w:r w:rsidR="00197F23">
        <w:rPr>
          <w:rFonts w:ascii="Times New Roman" w:hAnsi="Times New Roman"/>
          <w:sz w:val="24"/>
          <w:szCs w:val="24"/>
        </w:rPr>
        <w:t>,</w:t>
      </w:r>
      <w:r w:rsidR="00475744" w:rsidRPr="00475744">
        <w:rPr>
          <w:rFonts w:ascii="Times New Roman" w:hAnsi="Times New Roman"/>
          <w:sz w:val="24"/>
          <w:szCs w:val="24"/>
        </w:rPr>
        <w:t xml:space="preserve"> avec lesdits axes, tandis que </w:t>
      </w:r>
      <w:r w:rsidR="00197F23">
        <w:rPr>
          <w:rFonts w:ascii="Times New Roman" w:hAnsi="Times New Roman"/>
          <w:sz w:val="24"/>
          <w:szCs w:val="24"/>
        </w:rPr>
        <w:t>l’E</w:t>
      </w:r>
      <w:r w:rsidR="00475744" w:rsidRPr="00475744">
        <w:rPr>
          <w:rFonts w:ascii="Times New Roman" w:hAnsi="Times New Roman"/>
          <w:sz w:val="24"/>
          <w:szCs w:val="24"/>
        </w:rPr>
        <w:t xml:space="preserve">ffet 5 rentre </w:t>
      </w:r>
      <w:r w:rsidR="00197F23">
        <w:rPr>
          <w:rFonts w:ascii="Times New Roman" w:hAnsi="Times New Roman"/>
          <w:sz w:val="24"/>
          <w:szCs w:val="24"/>
        </w:rPr>
        <w:t>clairemen</w:t>
      </w:r>
      <w:r w:rsidR="00475744" w:rsidRPr="00475744">
        <w:rPr>
          <w:rFonts w:ascii="Times New Roman" w:hAnsi="Times New Roman"/>
          <w:sz w:val="24"/>
          <w:szCs w:val="24"/>
        </w:rPr>
        <w:t>t dans l’axe 1. Il sera toutefois utile à l’amélio</w:t>
      </w:r>
      <w:r w:rsidR="00197F23">
        <w:rPr>
          <w:rFonts w:ascii="Times New Roman" w:hAnsi="Times New Roman"/>
          <w:sz w:val="24"/>
          <w:szCs w:val="24"/>
        </w:rPr>
        <w:t>ration de la pertinence continue</w:t>
      </w:r>
      <w:r w:rsidR="00475744" w:rsidRPr="00475744">
        <w:rPr>
          <w:rFonts w:ascii="Times New Roman" w:hAnsi="Times New Roman"/>
          <w:sz w:val="24"/>
          <w:szCs w:val="24"/>
        </w:rPr>
        <w:t xml:space="preserve"> du programme de voir pour l’année 2018 qui reste pour le CREDD, quelles provisions spéc</w:t>
      </w:r>
      <w:r w:rsidR="00475744" w:rsidRPr="003A1D53">
        <w:rPr>
          <w:rFonts w:ascii="Times New Roman" w:hAnsi="Times New Roman"/>
          <w:sz w:val="24"/>
          <w:szCs w:val="24"/>
        </w:rPr>
        <w:t xml:space="preserve">ifiques pourraient en être extraites pour mieux </w:t>
      </w:r>
      <w:r w:rsidR="00197F23" w:rsidRPr="003A1D53">
        <w:rPr>
          <w:rFonts w:ascii="Times New Roman" w:hAnsi="Times New Roman"/>
          <w:sz w:val="24"/>
          <w:szCs w:val="24"/>
        </w:rPr>
        <w:t xml:space="preserve">être </w:t>
      </w:r>
      <w:r w:rsidR="00475744" w:rsidRPr="003A1D53">
        <w:rPr>
          <w:rFonts w:ascii="Times New Roman" w:hAnsi="Times New Roman"/>
          <w:sz w:val="24"/>
          <w:szCs w:val="24"/>
        </w:rPr>
        <w:t>repositionnées dans la suite du cycle de l’UNDAF+.</w:t>
      </w:r>
      <w:r w:rsidR="00204BA9" w:rsidRPr="003A1D53">
        <w:rPr>
          <w:rFonts w:ascii="Times New Roman" w:hAnsi="Times New Roman"/>
          <w:sz w:val="24"/>
          <w:szCs w:val="24"/>
        </w:rPr>
        <w:t xml:space="preserve"> </w:t>
      </w:r>
      <w:r w:rsidR="00433C5C" w:rsidRPr="003A1D53">
        <w:rPr>
          <w:rFonts w:ascii="Times New Roman" w:hAnsi="Times New Roman"/>
          <w:sz w:val="24"/>
          <w:szCs w:val="24"/>
        </w:rPr>
        <w:t>Plus focalisée sur la résolution durable des problématiques liées à la crise, la Stratégie Spécifique de développement de Régions du Nord du Mali déroule trois objectifs stratégiques avec lesquels le programme est également en phase : (i) Améliorer la gouvernance globale ; (ii) Doter les Régions du nord du Mali d’infrastructures adéquates ; (iii) Favoriser la création de richesse.</w:t>
      </w:r>
    </w:p>
    <w:p w14:paraId="604B5132" w14:textId="77777777" w:rsidR="00204BA9" w:rsidRPr="003A1D53" w:rsidRDefault="00204BA9" w:rsidP="005B22B2">
      <w:pPr>
        <w:spacing w:after="0" w:line="240" w:lineRule="auto"/>
        <w:jc w:val="both"/>
        <w:rPr>
          <w:rFonts w:ascii="Times New Roman" w:hAnsi="Times New Roman"/>
          <w:sz w:val="24"/>
          <w:szCs w:val="24"/>
        </w:rPr>
      </w:pPr>
    </w:p>
    <w:p w14:paraId="604B5133" w14:textId="77777777" w:rsidR="00204BA9" w:rsidRPr="00475744" w:rsidRDefault="00C35441" w:rsidP="005B22B2">
      <w:pPr>
        <w:spacing w:after="0" w:line="240" w:lineRule="auto"/>
        <w:jc w:val="both"/>
        <w:rPr>
          <w:rFonts w:ascii="Times New Roman" w:hAnsi="Times New Roman"/>
          <w:sz w:val="24"/>
          <w:szCs w:val="24"/>
        </w:rPr>
      </w:pPr>
      <w:r w:rsidRPr="003A1D53">
        <w:rPr>
          <w:rFonts w:ascii="Times New Roman" w:hAnsi="Times New Roman"/>
          <w:sz w:val="24"/>
          <w:szCs w:val="24"/>
        </w:rPr>
        <w:t>40.</w:t>
      </w:r>
      <w:r w:rsidR="00204BA9" w:rsidRPr="003A1D53">
        <w:rPr>
          <w:rFonts w:ascii="Times New Roman" w:hAnsi="Times New Roman"/>
          <w:sz w:val="24"/>
          <w:szCs w:val="24"/>
        </w:rPr>
        <w:tab/>
        <w:t xml:space="preserve">Entre le programme lui-même et les programmes spécifiques des entités parties, l’alignement montre une part de subtilité. Comme énoncé dans le document de programme, deux types de contenus portés par les entités ne sont pas couvertes par le programme. Il s’agit de l’activité militaire de la Mission intégrée et </w:t>
      </w:r>
      <w:r w:rsidRPr="003A1D53">
        <w:rPr>
          <w:rFonts w:ascii="Times New Roman" w:hAnsi="Times New Roman"/>
          <w:sz w:val="24"/>
          <w:szCs w:val="24"/>
        </w:rPr>
        <w:t>multidimensionnelle, et des éléments de la réponse humanitaire. Sur tous les autres aspects, l’alignement est important, pour la bonne raison que pour le moment la programmation conjointe compile les programmes spécifique des agences. Malgré tout les entités ont reporté avoir dans certains cas des contenus qu’elles considéraient comme insuffisamment pris en compte dans la matrice. Cet état de fait vient du fait que le programme ne s’est pas arrêté à l’étape générique des effets, mais est descend jusqu’à la formulation de produits, et donc s’expose à ce que ses chaînes de produits, même pléthoriques, ne couvrent pas toutes les activités des entités.</w:t>
      </w:r>
      <w:r>
        <w:rPr>
          <w:rFonts w:ascii="Times New Roman" w:hAnsi="Times New Roman"/>
          <w:sz w:val="24"/>
          <w:szCs w:val="24"/>
        </w:rPr>
        <w:t xml:space="preserve"> </w:t>
      </w:r>
    </w:p>
    <w:p w14:paraId="604B5134" w14:textId="77777777" w:rsidR="00475744" w:rsidRDefault="00475744" w:rsidP="005B22B2">
      <w:pPr>
        <w:spacing w:after="0" w:line="240" w:lineRule="auto"/>
        <w:jc w:val="both"/>
        <w:rPr>
          <w:rFonts w:ascii="Times New Roman" w:hAnsi="Times New Roman"/>
          <w:sz w:val="24"/>
          <w:szCs w:val="24"/>
        </w:rPr>
      </w:pPr>
    </w:p>
    <w:p w14:paraId="604B5135" w14:textId="77777777" w:rsidR="00475744" w:rsidRPr="00FB42E6" w:rsidRDefault="00475744" w:rsidP="005B22B2">
      <w:pPr>
        <w:pStyle w:val="Titre3"/>
        <w:numPr>
          <w:ilvl w:val="2"/>
          <w:numId w:val="3"/>
        </w:numPr>
        <w:spacing w:before="0" w:line="240" w:lineRule="auto"/>
        <w:rPr>
          <w:rFonts w:ascii="Times New Roman" w:hAnsi="Times New Roman"/>
          <w:color w:val="auto"/>
          <w:sz w:val="24"/>
          <w:szCs w:val="24"/>
        </w:rPr>
      </w:pPr>
      <w:bookmarkStart w:id="172" w:name="_Toc502863868"/>
      <w:bookmarkStart w:id="173" w:name="_Toc505758473"/>
      <w:bookmarkStart w:id="174" w:name="_Toc506201565"/>
      <w:r w:rsidRPr="00FB42E6">
        <w:rPr>
          <w:rFonts w:ascii="Times New Roman" w:hAnsi="Times New Roman"/>
          <w:color w:val="auto"/>
          <w:sz w:val="24"/>
          <w:szCs w:val="24"/>
        </w:rPr>
        <w:t>Pertinence opérationnelle : qua</w:t>
      </w:r>
      <w:r w:rsidR="00FB42E6" w:rsidRPr="00FB42E6">
        <w:rPr>
          <w:rFonts w:ascii="Times New Roman" w:hAnsi="Times New Roman"/>
          <w:color w:val="auto"/>
          <w:sz w:val="24"/>
          <w:szCs w:val="24"/>
        </w:rPr>
        <w:t>l</w:t>
      </w:r>
      <w:r w:rsidRPr="00FB42E6">
        <w:rPr>
          <w:rFonts w:ascii="Times New Roman" w:hAnsi="Times New Roman"/>
          <w:color w:val="auto"/>
          <w:sz w:val="24"/>
          <w:szCs w:val="24"/>
        </w:rPr>
        <w:t>ité des approches</w:t>
      </w:r>
      <w:r w:rsidR="004C4EAB">
        <w:rPr>
          <w:rFonts w:ascii="Times New Roman" w:hAnsi="Times New Roman"/>
          <w:color w:val="auto"/>
          <w:sz w:val="24"/>
          <w:szCs w:val="24"/>
        </w:rPr>
        <w:t xml:space="preserve">, des </w:t>
      </w:r>
      <w:r w:rsidRPr="00FB42E6">
        <w:rPr>
          <w:rFonts w:ascii="Times New Roman" w:hAnsi="Times New Roman"/>
          <w:color w:val="auto"/>
          <w:sz w:val="24"/>
          <w:szCs w:val="24"/>
        </w:rPr>
        <w:t xml:space="preserve">contenus spécifiques </w:t>
      </w:r>
      <w:r w:rsidR="004C4EAB">
        <w:rPr>
          <w:rFonts w:ascii="Times New Roman" w:hAnsi="Times New Roman"/>
          <w:color w:val="auto"/>
          <w:sz w:val="24"/>
          <w:szCs w:val="24"/>
        </w:rPr>
        <w:t xml:space="preserve">et </w:t>
      </w:r>
      <w:r w:rsidR="00893F9C">
        <w:rPr>
          <w:rFonts w:ascii="Times New Roman" w:hAnsi="Times New Roman"/>
          <w:color w:val="auto"/>
          <w:sz w:val="24"/>
          <w:szCs w:val="24"/>
        </w:rPr>
        <w:t>de stratégie de suivi-</w:t>
      </w:r>
      <w:bookmarkEnd w:id="172"/>
      <w:bookmarkEnd w:id="173"/>
      <w:r w:rsidR="00587651">
        <w:rPr>
          <w:rFonts w:ascii="Times New Roman" w:hAnsi="Times New Roman"/>
          <w:color w:val="auto"/>
          <w:sz w:val="24"/>
          <w:szCs w:val="24"/>
        </w:rPr>
        <w:t>évaluation</w:t>
      </w:r>
      <w:bookmarkEnd w:id="174"/>
      <w:r w:rsidRPr="00FB42E6">
        <w:rPr>
          <w:rFonts w:ascii="Times New Roman" w:hAnsi="Times New Roman"/>
          <w:color w:val="auto"/>
          <w:sz w:val="24"/>
          <w:szCs w:val="24"/>
        </w:rPr>
        <w:t xml:space="preserve"> </w:t>
      </w:r>
    </w:p>
    <w:p w14:paraId="604B5136" w14:textId="77777777" w:rsidR="00475744" w:rsidRPr="00475744" w:rsidRDefault="00475744" w:rsidP="005B22B2">
      <w:pPr>
        <w:spacing w:after="0" w:line="240" w:lineRule="auto"/>
        <w:jc w:val="both"/>
        <w:rPr>
          <w:rFonts w:ascii="Times New Roman" w:hAnsi="Times New Roman"/>
          <w:sz w:val="24"/>
          <w:szCs w:val="24"/>
        </w:rPr>
      </w:pPr>
    </w:p>
    <w:p w14:paraId="604B5137" w14:textId="77777777" w:rsidR="00475744" w:rsidRPr="00475744" w:rsidRDefault="00204BA9" w:rsidP="005B22B2">
      <w:pPr>
        <w:spacing w:after="0" w:line="240" w:lineRule="auto"/>
        <w:jc w:val="both"/>
        <w:rPr>
          <w:rFonts w:ascii="Times New Roman" w:hAnsi="Times New Roman"/>
          <w:sz w:val="24"/>
          <w:szCs w:val="24"/>
        </w:rPr>
      </w:pPr>
      <w:r>
        <w:rPr>
          <w:rFonts w:ascii="Times New Roman" w:hAnsi="Times New Roman"/>
          <w:sz w:val="24"/>
          <w:szCs w:val="24"/>
        </w:rPr>
        <w:t>41</w:t>
      </w:r>
      <w:r w:rsidR="00475744" w:rsidRPr="00475744">
        <w:rPr>
          <w:rFonts w:ascii="Times New Roman" w:hAnsi="Times New Roman"/>
          <w:sz w:val="24"/>
          <w:szCs w:val="24"/>
        </w:rPr>
        <w:t>.</w:t>
      </w:r>
      <w:r w:rsidR="00475744" w:rsidRPr="00475744">
        <w:rPr>
          <w:rFonts w:ascii="Times New Roman" w:hAnsi="Times New Roman"/>
          <w:sz w:val="24"/>
          <w:szCs w:val="24"/>
        </w:rPr>
        <w:tab/>
        <w:t xml:space="preserve">Le programme étant </w:t>
      </w:r>
      <w:r w:rsidR="00197F23">
        <w:rPr>
          <w:rFonts w:ascii="Times New Roman" w:hAnsi="Times New Roman"/>
          <w:sz w:val="24"/>
          <w:szCs w:val="24"/>
        </w:rPr>
        <w:t xml:space="preserve">bien </w:t>
      </w:r>
      <w:r w:rsidR="00475744" w:rsidRPr="00475744">
        <w:rPr>
          <w:rFonts w:ascii="Times New Roman" w:hAnsi="Times New Roman"/>
          <w:sz w:val="24"/>
          <w:szCs w:val="24"/>
        </w:rPr>
        <w:t>aligné sur ses différents référentiels de droit (instruments nationaux et internationaux de programmation et de cadrage du développement du pays), la question de la pertinence des approches et des contenus spécifiques qu’il recouvre dans sa mise en œuvre n’en reste moins digne d’intérêt. Des entretiens réalisés sur le terrain, avec différentes catégories d’acteurs, il ressort globalement que l’UNDAF+ s’efforce d’apporter des réponses à des problèmes vécus par les bénéficiaires, qu’il s’agisse des institutionnels du niveau central et du niveau déconcentré et décentralisé, des communautés et des groupements à la base</w:t>
      </w:r>
      <w:r w:rsidR="003D5E3F">
        <w:rPr>
          <w:rFonts w:ascii="Times New Roman" w:hAnsi="Times New Roman"/>
          <w:sz w:val="24"/>
          <w:szCs w:val="24"/>
        </w:rPr>
        <w:t>,</w:t>
      </w:r>
      <w:r w:rsidR="00475744" w:rsidRPr="00475744">
        <w:rPr>
          <w:rFonts w:ascii="Times New Roman" w:hAnsi="Times New Roman"/>
          <w:sz w:val="24"/>
          <w:szCs w:val="24"/>
        </w:rPr>
        <w:t xml:space="preserve"> ou encore des personnes physiques.</w:t>
      </w:r>
    </w:p>
    <w:p w14:paraId="604B5138" w14:textId="77777777" w:rsidR="00475744" w:rsidRPr="00475744" w:rsidRDefault="00475744" w:rsidP="005B22B2">
      <w:pPr>
        <w:spacing w:after="0" w:line="240" w:lineRule="auto"/>
        <w:jc w:val="both"/>
        <w:rPr>
          <w:rFonts w:ascii="Times New Roman" w:hAnsi="Times New Roman"/>
          <w:sz w:val="24"/>
          <w:szCs w:val="24"/>
        </w:rPr>
      </w:pPr>
    </w:p>
    <w:p w14:paraId="604B5139" w14:textId="77777777" w:rsidR="00475744" w:rsidRPr="00475744" w:rsidRDefault="00204BA9" w:rsidP="005B22B2">
      <w:pPr>
        <w:spacing w:after="0" w:line="240" w:lineRule="auto"/>
        <w:jc w:val="both"/>
        <w:rPr>
          <w:rFonts w:ascii="Times New Roman" w:hAnsi="Times New Roman"/>
          <w:sz w:val="24"/>
          <w:szCs w:val="24"/>
        </w:rPr>
      </w:pPr>
      <w:r>
        <w:rPr>
          <w:rFonts w:ascii="Times New Roman" w:hAnsi="Times New Roman"/>
          <w:sz w:val="24"/>
          <w:szCs w:val="24"/>
        </w:rPr>
        <w:t>42</w:t>
      </w:r>
      <w:r w:rsidR="00AD443E">
        <w:rPr>
          <w:rFonts w:ascii="Times New Roman" w:hAnsi="Times New Roman"/>
          <w:sz w:val="24"/>
          <w:szCs w:val="24"/>
        </w:rPr>
        <w:t>.</w:t>
      </w:r>
      <w:r w:rsidR="00475744" w:rsidRPr="00475744">
        <w:rPr>
          <w:rFonts w:ascii="Times New Roman" w:hAnsi="Times New Roman"/>
          <w:sz w:val="24"/>
          <w:szCs w:val="24"/>
        </w:rPr>
        <w:tab/>
        <w:t xml:space="preserve">Le programme apporte un appui </w:t>
      </w:r>
      <w:r w:rsidR="003D5E3F">
        <w:rPr>
          <w:rFonts w:ascii="Times New Roman" w:hAnsi="Times New Roman"/>
          <w:sz w:val="24"/>
          <w:szCs w:val="24"/>
        </w:rPr>
        <w:t>notab</w:t>
      </w:r>
      <w:r w:rsidR="00433C5C">
        <w:rPr>
          <w:rFonts w:ascii="Times New Roman" w:hAnsi="Times New Roman"/>
          <w:sz w:val="24"/>
          <w:szCs w:val="24"/>
        </w:rPr>
        <w:t>l</w:t>
      </w:r>
      <w:r w:rsidR="003D5E3F">
        <w:rPr>
          <w:rFonts w:ascii="Times New Roman" w:hAnsi="Times New Roman"/>
          <w:sz w:val="24"/>
          <w:szCs w:val="24"/>
        </w:rPr>
        <w:t>e</w:t>
      </w:r>
      <w:r w:rsidR="00475744" w:rsidRPr="00475744">
        <w:rPr>
          <w:rFonts w:ascii="Times New Roman" w:hAnsi="Times New Roman"/>
          <w:sz w:val="24"/>
          <w:szCs w:val="24"/>
        </w:rPr>
        <w:t xml:space="preserve"> en aidant à restaurer, sur le territoire national, une certaine capacité de présence et d’influence des institutions nationales, surtout dans la partie Nord où la crise les a beaucoup fragilisées. Cette entreprise institutionnelle est menée de pair avec la diffusion de moyens socioéconomique</w:t>
      </w:r>
      <w:r w:rsidR="003D5E3F">
        <w:rPr>
          <w:rFonts w:ascii="Times New Roman" w:hAnsi="Times New Roman"/>
          <w:sz w:val="24"/>
          <w:szCs w:val="24"/>
        </w:rPr>
        <w:t>s</w:t>
      </w:r>
      <w:r w:rsidR="00475744" w:rsidRPr="00475744">
        <w:rPr>
          <w:rFonts w:ascii="Times New Roman" w:hAnsi="Times New Roman"/>
          <w:sz w:val="24"/>
          <w:szCs w:val="24"/>
        </w:rPr>
        <w:t xml:space="preserve"> de renforcement de la résilience humaine : infrastructures et services sociaux de base et opportunités économiques de substance, notamment. Ces investissements sont d’autant plus pertinents qu’ils se </w:t>
      </w:r>
      <w:r w:rsidR="00475744" w:rsidRPr="003A1D53">
        <w:rPr>
          <w:rFonts w:ascii="Times New Roman" w:hAnsi="Times New Roman"/>
          <w:sz w:val="24"/>
          <w:szCs w:val="24"/>
        </w:rPr>
        <w:t xml:space="preserve">déroulent dans beaucoup de territoires qui étaient pratiquement abandonnés par l’Etat et ses démembrements, et </w:t>
      </w:r>
      <w:r w:rsidR="003D5E3F" w:rsidRPr="003A1D53">
        <w:rPr>
          <w:rFonts w:ascii="Times New Roman" w:hAnsi="Times New Roman"/>
          <w:sz w:val="24"/>
          <w:szCs w:val="24"/>
        </w:rPr>
        <w:t xml:space="preserve">étaient </w:t>
      </w:r>
      <w:r w:rsidR="00475744" w:rsidRPr="003A1D53">
        <w:rPr>
          <w:rFonts w:ascii="Times New Roman" w:hAnsi="Times New Roman"/>
          <w:sz w:val="24"/>
          <w:szCs w:val="24"/>
        </w:rPr>
        <w:t>devenus inaccessibles à d’autres types d’acteurs.</w:t>
      </w:r>
      <w:r w:rsidR="00475744" w:rsidRPr="00475744">
        <w:rPr>
          <w:rFonts w:ascii="Times New Roman" w:hAnsi="Times New Roman"/>
          <w:sz w:val="24"/>
          <w:szCs w:val="24"/>
        </w:rPr>
        <w:t xml:space="preserve"> </w:t>
      </w:r>
    </w:p>
    <w:p w14:paraId="604B513A" w14:textId="77777777" w:rsidR="00475744" w:rsidRPr="00475744" w:rsidRDefault="00475744" w:rsidP="005B22B2">
      <w:pPr>
        <w:spacing w:after="0" w:line="240" w:lineRule="auto"/>
        <w:jc w:val="both"/>
        <w:rPr>
          <w:rFonts w:ascii="Times New Roman" w:hAnsi="Times New Roman"/>
          <w:sz w:val="24"/>
          <w:szCs w:val="24"/>
        </w:rPr>
      </w:pPr>
    </w:p>
    <w:p w14:paraId="604B513B" w14:textId="77777777" w:rsidR="00475744" w:rsidRPr="00475744" w:rsidRDefault="00AD443E" w:rsidP="005B22B2">
      <w:pPr>
        <w:spacing w:after="0" w:line="240" w:lineRule="auto"/>
        <w:jc w:val="both"/>
        <w:rPr>
          <w:rFonts w:ascii="Times New Roman" w:hAnsi="Times New Roman"/>
          <w:sz w:val="24"/>
          <w:szCs w:val="24"/>
        </w:rPr>
      </w:pPr>
      <w:r w:rsidRPr="00C35441">
        <w:rPr>
          <w:rFonts w:ascii="Times New Roman" w:hAnsi="Times New Roman"/>
          <w:sz w:val="24"/>
          <w:szCs w:val="24"/>
        </w:rPr>
        <w:lastRenderedPageBreak/>
        <w:t>4</w:t>
      </w:r>
      <w:r w:rsidR="00204BA9" w:rsidRPr="00C35441">
        <w:rPr>
          <w:rFonts w:ascii="Times New Roman" w:hAnsi="Times New Roman"/>
          <w:sz w:val="24"/>
          <w:szCs w:val="24"/>
        </w:rPr>
        <w:t>3</w:t>
      </w:r>
      <w:r w:rsidRPr="00C35441">
        <w:rPr>
          <w:rFonts w:ascii="Times New Roman" w:hAnsi="Times New Roman"/>
          <w:sz w:val="24"/>
          <w:szCs w:val="24"/>
        </w:rPr>
        <w:t>.</w:t>
      </w:r>
      <w:r w:rsidR="00475744" w:rsidRPr="00C35441">
        <w:rPr>
          <w:rFonts w:ascii="Times New Roman" w:hAnsi="Times New Roman"/>
          <w:sz w:val="24"/>
          <w:szCs w:val="24"/>
        </w:rPr>
        <w:tab/>
        <w:t xml:space="preserve"> Le défi reste cependant, pour le programme, de trouver le rythme de pénétration</w:t>
      </w:r>
      <w:r w:rsidR="00475744" w:rsidRPr="00475744">
        <w:rPr>
          <w:rFonts w:ascii="Times New Roman" w:hAnsi="Times New Roman"/>
          <w:sz w:val="24"/>
          <w:szCs w:val="24"/>
        </w:rPr>
        <w:t xml:space="preserve"> approprié pour réussir une implantation viable de capacités institutionnelles et socioéconomiques dans ces différents endroits. Si la focalisation sur le Nord se justifie par les carences extrêmes que la crise y a créées, elle se heurte aussi, en de nombreux endroits </w:t>
      </w:r>
      <w:r w:rsidR="003D5E3F">
        <w:rPr>
          <w:rFonts w:ascii="Times New Roman" w:hAnsi="Times New Roman"/>
          <w:sz w:val="24"/>
          <w:szCs w:val="24"/>
        </w:rPr>
        <w:t>à</w:t>
      </w:r>
      <w:r w:rsidR="00475744" w:rsidRPr="00475744">
        <w:rPr>
          <w:rFonts w:ascii="Times New Roman" w:hAnsi="Times New Roman"/>
          <w:sz w:val="24"/>
          <w:szCs w:val="24"/>
        </w:rPr>
        <w:t xml:space="preserve">  l’absence manifeste de préalables sécuritaires durables qui empêchent parfois la viabilité des solutions apportées par le programme. Cette situation est illustrée par les cas d’infrastructures restaurées dans les secteurs de la justice et de l’administration territoriale et que les titulaires de charge ne peuvent durablement occuper du fait de l’insécurité persistante</w:t>
      </w:r>
      <w:r w:rsidR="003D5E3F">
        <w:rPr>
          <w:rFonts w:ascii="Times New Roman" w:hAnsi="Times New Roman"/>
          <w:sz w:val="24"/>
          <w:szCs w:val="24"/>
        </w:rPr>
        <w:t>,</w:t>
      </w:r>
      <w:r w:rsidR="00475744" w:rsidRPr="00475744">
        <w:rPr>
          <w:rFonts w:ascii="Times New Roman" w:hAnsi="Times New Roman"/>
          <w:sz w:val="24"/>
          <w:szCs w:val="24"/>
        </w:rPr>
        <w:t xml:space="preserve"> voire en constante dégradation. </w:t>
      </w:r>
      <w:r w:rsidR="003D5E3F">
        <w:rPr>
          <w:rFonts w:ascii="Times New Roman" w:hAnsi="Times New Roman"/>
          <w:sz w:val="24"/>
          <w:szCs w:val="24"/>
        </w:rPr>
        <w:t>Une telle</w:t>
      </w:r>
      <w:r w:rsidR="00475744" w:rsidRPr="00475744">
        <w:rPr>
          <w:rFonts w:ascii="Times New Roman" w:hAnsi="Times New Roman"/>
          <w:sz w:val="24"/>
          <w:szCs w:val="24"/>
        </w:rPr>
        <w:t xml:space="preserve"> problématique interpelle le</w:t>
      </w:r>
      <w:r w:rsidR="003D5E3F">
        <w:rPr>
          <w:rFonts w:ascii="Times New Roman" w:hAnsi="Times New Roman"/>
          <w:sz w:val="24"/>
          <w:szCs w:val="24"/>
        </w:rPr>
        <w:t>s</w:t>
      </w:r>
      <w:r w:rsidR="00475744" w:rsidRPr="00475744">
        <w:rPr>
          <w:rFonts w:ascii="Times New Roman" w:hAnsi="Times New Roman"/>
          <w:sz w:val="24"/>
          <w:szCs w:val="24"/>
        </w:rPr>
        <w:t xml:space="preserve"> </w:t>
      </w:r>
      <w:r w:rsidR="003D5E3F">
        <w:rPr>
          <w:rFonts w:ascii="Times New Roman" w:hAnsi="Times New Roman"/>
          <w:sz w:val="24"/>
          <w:szCs w:val="24"/>
        </w:rPr>
        <w:t>animateurs du programme et l</w:t>
      </w:r>
      <w:r w:rsidR="00475744" w:rsidRPr="00475744">
        <w:rPr>
          <w:rFonts w:ascii="Times New Roman" w:hAnsi="Times New Roman"/>
          <w:sz w:val="24"/>
          <w:szCs w:val="24"/>
        </w:rPr>
        <w:t>es autorités nationales, autour de la nécessité de trouver des solutions innovantes</w:t>
      </w:r>
      <w:r w:rsidR="003D5E3F">
        <w:rPr>
          <w:rFonts w:ascii="Times New Roman" w:hAnsi="Times New Roman"/>
          <w:sz w:val="24"/>
          <w:szCs w:val="24"/>
        </w:rPr>
        <w:t xml:space="preserve"> adaptée</w:t>
      </w:r>
      <w:r w:rsidR="00475744" w:rsidRPr="00475744">
        <w:rPr>
          <w:rFonts w:ascii="Times New Roman" w:hAnsi="Times New Roman"/>
          <w:sz w:val="24"/>
          <w:szCs w:val="24"/>
        </w:rPr>
        <w:t>s à la situation. Dans ce sens, il est ressorti des entretiens au sein de la Mission, par exemple, que les Aff</w:t>
      </w:r>
      <w:r w:rsidR="003D5E3F">
        <w:rPr>
          <w:rFonts w:ascii="Times New Roman" w:hAnsi="Times New Roman"/>
          <w:sz w:val="24"/>
          <w:szCs w:val="24"/>
        </w:rPr>
        <w:t>aires Judiciaires travaillaient, à titre transitoire, sur de</w:t>
      </w:r>
      <w:r w:rsidR="00475744" w:rsidRPr="00475744">
        <w:rPr>
          <w:rFonts w:ascii="Times New Roman" w:hAnsi="Times New Roman"/>
          <w:sz w:val="24"/>
          <w:szCs w:val="24"/>
        </w:rPr>
        <w:t>s approches de justice mieux appuyées sur les institutions endogènes comme les cadis et autres ressorts juridictionnels traditionnels, sans doute plus résilients aux chocs sécuritaires qu’une justice régalienne de format classique.</w:t>
      </w:r>
    </w:p>
    <w:p w14:paraId="604B513C" w14:textId="77777777" w:rsidR="00475744" w:rsidRPr="00475744" w:rsidRDefault="00475744" w:rsidP="005B22B2">
      <w:pPr>
        <w:spacing w:after="0" w:line="240" w:lineRule="auto"/>
        <w:jc w:val="both"/>
        <w:rPr>
          <w:rFonts w:ascii="Times New Roman" w:hAnsi="Times New Roman"/>
          <w:sz w:val="24"/>
          <w:szCs w:val="24"/>
        </w:rPr>
      </w:pPr>
    </w:p>
    <w:p w14:paraId="604B513D" w14:textId="77777777" w:rsidR="00475744" w:rsidRPr="00475744" w:rsidRDefault="00587651" w:rsidP="005B22B2">
      <w:pPr>
        <w:spacing w:after="0" w:line="240" w:lineRule="auto"/>
        <w:jc w:val="both"/>
        <w:rPr>
          <w:rFonts w:ascii="Times New Roman" w:hAnsi="Times New Roman"/>
          <w:sz w:val="24"/>
          <w:szCs w:val="24"/>
        </w:rPr>
      </w:pPr>
      <w:r>
        <w:rPr>
          <w:rFonts w:ascii="Times New Roman" w:hAnsi="Times New Roman"/>
          <w:sz w:val="24"/>
          <w:szCs w:val="24"/>
        </w:rPr>
        <w:t>4</w:t>
      </w:r>
      <w:r w:rsidR="00204BA9">
        <w:rPr>
          <w:rFonts w:ascii="Times New Roman" w:hAnsi="Times New Roman"/>
          <w:sz w:val="24"/>
          <w:szCs w:val="24"/>
        </w:rPr>
        <w:t>4</w:t>
      </w:r>
      <w:r w:rsidR="00AD443E">
        <w:rPr>
          <w:rFonts w:ascii="Times New Roman" w:hAnsi="Times New Roman"/>
          <w:sz w:val="24"/>
          <w:szCs w:val="24"/>
        </w:rPr>
        <w:t>.</w:t>
      </w:r>
      <w:r w:rsidR="00475744" w:rsidRPr="00475744">
        <w:rPr>
          <w:rFonts w:ascii="Times New Roman" w:hAnsi="Times New Roman"/>
          <w:sz w:val="24"/>
          <w:szCs w:val="24"/>
        </w:rPr>
        <w:tab/>
        <w:t>Ces approches adaptatives</w:t>
      </w:r>
      <w:r w:rsidR="006B37EC">
        <w:rPr>
          <w:rFonts w:ascii="Times New Roman" w:hAnsi="Times New Roman"/>
          <w:sz w:val="24"/>
          <w:szCs w:val="24"/>
        </w:rPr>
        <w:t xml:space="preserve">, destinées à améliorer la </w:t>
      </w:r>
      <w:r w:rsidR="00475744" w:rsidRPr="00475744">
        <w:rPr>
          <w:rFonts w:ascii="Times New Roman" w:hAnsi="Times New Roman"/>
          <w:sz w:val="24"/>
          <w:szCs w:val="24"/>
        </w:rPr>
        <w:t>pertinence opérationnel</w:t>
      </w:r>
      <w:r w:rsidR="003D5E3F">
        <w:rPr>
          <w:rFonts w:ascii="Times New Roman" w:hAnsi="Times New Roman"/>
          <w:sz w:val="24"/>
          <w:szCs w:val="24"/>
        </w:rPr>
        <w:t>le</w:t>
      </w:r>
      <w:r w:rsidR="00475744" w:rsidRPr="00475744">
        <w:rPr>
          <w:rFonts w:ascii="Times New Roman" w:hAnsi="Times New Roman"/>
          <w:sz w:val="24"/>
          <w:szCs w:val="24"/>
        </w:rPr>
        <w:t xml:space="preserve"> des inputs </w:t>
      </w:r>
      <w:r w:rsidR="006B37EC">
        <w:rPr>
          <w:rFonts w:ascii="Times New Roman" w:hAnsi="Times New Roman"/>
          <w:sz w:val="24"/>
          <w:szCs w:val="24"/>
        </w:rPr>
        <w:t>du</w:t>
      </w:r>
      <w:r w:rsidR="00475744" w:rsidRPr="00475744">
        <w:rPr>
          <w:rFonts w:ascii="Times New Roman" w:hAnsi="Times New Roman"/>
          <w:sz w:val="24"/>
          <w:szCs w:val="24"/>
        </w:rPr>
        <w:t xml:space="preserve"> programme</w:t>
      </w:r>
      <w:r w:rsidR="006B37EC">
        <w:rPr>
          <w:rFonts w:ascii="Times New Roman" w:hAnsi="Times New Roman"/>
          <w:sz w:val="24"/>
          <w:szCs w:val="24"/>
        </w:rPr>
        <w:t>, apportent  d’autant plus de valeur ajoutée, que</w:t>
      </w:r>
      <w:r w:rsidR="00475744" w:rsidRPr="00475744">
        <w:rPr>
          <w:rFonts w:ascii="Times New Roman" w:hAnsi="Times New Roman"/>
          <w:sz w:val="24"/>
          <w:szCs w:val="24"/>
        </w:rPr>
        <w:t xml:space="preserve"> la diffusion des services </w:t>
      </w:r>
      <w:r w:rsidR="006B37EC">
        <w:rPr>
          <w:rFonts w:ascii="Times New Roman" w:hAnsi="Times New Roman"/>
          <w:sz w:val="24"/>
          <w:szCs w:val="24"/>
        </w:rPr>
        <w:t xml:space="preserve">vers les populations </w:t>
      </w:r>
      <w:r w:rsidR="00475744" w:rsidRPr="00475744">
        <w:rPr>
          <w:rFonts w:ascii="Times New Roman" w:hAnsi="Times New Roman"/>
          <w:sz w:val="24"/>
          <w:szCs w:val="24"/>
        </w:rPr>
        <w:t>n</w:t>
      </w:r>
      <w:r w:rsidR="006B37EC">
        <w:rPr>
          <w:rFonts w:ascii="Times New Roman" w:hAnsi="Times New Roman"/>
          <w:sz w:val="24"/>
          <w:szCs w:val="24"/>
        </w:rPr>
        <w:t xml:space="preserve">’est </w:t>
      </w:r>
      <w:r w:rsidR="00475744" w:rsidRPr="00475744">
        <w:rPr>
          <w:rFonts w:ascii="Times New Roman" w:hAnsi="Times New Roman"/>
          <w:sz w:val="24"/>
          <w:szCs w:val="24"/>
        </w:rPr>
        <w:t xml:space="preserve">pas toujours un problème de capacités </w:t>
      </w:r>
      <w:r w:rsidR="006B37EC">
        <w:rPr>
          <w:rFonts w:ascii="Times New Roman" w:hAnsi="Times New Roman"/>
          <w:sz w:val="24"/>
          <w:szCs w:val="24"/>
        </w:rPr>
        <w:t xml:space="preserve">d’offre </w:t>
      </w:r>
      <w:r w:rsidR="00475744" w:rsidRPr="00475744">
        <w:rPr>
          <w:rFonts w:ascii="Times New Roman" w:hAnsi="Times New Roman"/>
          <w:sz w:val="24"/>
          <w:szCs w:val="24"/>
        </w:rPr>
        <w:t>mais aussi, à certains endroit du moins, un problème de profil. Le secteur éducatif est un révélateur de cette crise dans la nature du service, avec environ 500 écoles fermées, non seulement au Nord mais surtout au Centre où elles seraient 300. Là, le problème de sécurité se complique d’une certaine défiance du milieu vis-à-vis du modèle d’école qui lui est proposé. Cette analyse est confirmée par les entretiens que la mission a eus, y compris au sein du département de l’éducation nationale.</w:t>
      </w:r>
    </w:p>
    <w:p w14:paraId="604B513E" w14:textId="77777777" w:rsidR="00475744" w:rsidRPr="00475744" w:rsidRDefault="00475744" w:rsidP="005B22B2">
      <w:pPr>
        <w:spacing w:after="0" w:line="240" w:lineRule="auto"/>
        <w:jc w:val="both"/>
        <w:rPr>
          <w:rFonts w:ascii="Times New Roman" w:hAnsi="Times New Roman"/>
          <w:sz w:val="24"/>
          <w:szCs w:val="24"/>
        </w:rPr>
      </w:pPr>
    </w:p>
    <w:p w14:paraId="604B513F" w14:textId="77777777" w:rsidR="00475744" w:rsidRPr="00475744" w:rsidRDefault="00587651" w:rsidP="005B22B2">
      <w:pPr>
        <w:spacing w:after="0" w:line="240" w:lineRule="auto"/>
        <w:jc w:val="both"/>
        <w:rPr>
          <w:rFonts w:ascii="Times New Roman" w:hAnsi="Times New Roman"/>
          <w:sz w:val="24"/>
          <w:szCs w:val="24"/>
        </w:rPr>
      </w:pPr>
      <w:r>
        <w:rPr>
          <w:rFonts w:ascii="Times New Roman" w:hAnsi="Times New Roman"/>
          <w:sz w:val="24"/>
          <w:szCs w:val="24"/>
        </w:rPr>
        <w:t>4</w:t>
      </w:r>
      <w:r w:rsidR="00204BA9">
        <w:rPr>
          <w:rFonts w:ascii="Times New Roman" w:hAnsi="Times New Roman"/>
          <w:sz w:val="24"/>
          <w:szCs w:val="24"/>
        </w:rPr>
        <w:t>5</w:t>
      </w:r>
      <w:r w:rsidR="00AD443E">
        <w:rPr>
          <w:rFonts w:ascii="Times New Roman" w:hAnsi="Times New Roman"/>
          <w:sz w:val="24"/>
          <w:szCs w:val="24"/>
        </w:rPr>
        <w:t>.</w:t>
      </w:r>
      <w:r w:rsidR="00475744" w:rsidRPr="00475744">
        <w:rPr>
          <w:rFonts w:ascii="Times New Roman" w:hAnsi="Times New Roman"/>
          <w:sz w:val="24"/>
          <w:szCs w:val="24"/>
        </w:rPr>
        <w:tab/>
        <w:t>Dans la région de Mopti, bien que les derniers développements de la crise qui s’étend vers cette partie du territoire ai</w:t>
      </w:r>
      <w:r w:rsidR="006B37EC">
        <w:rPr>
          <w:rFonts w:ascii="Times New Roman" w:hAnsi="Times New Roman"/>
          <w:sz w:val="24"/>
          <w:szCs w:val="24"/>
        </w:rPr>
        <w:t>en</w:t>
      </w:r>
      <w:r w:rsidR="00475744" w:rsidRPr="00475744">
        <w:rPr>
          <w:rFonts w:ascii="Times New Roman" w:hAnsi="Times New Roman"/>
          <w:sz w:val="24"/>
          <w:szCs w:val="24"/>
        </w:rPr>
        <w:t>t pu amplifier le phénomène des écoles fermées, elle ne l’a sans doute pas créé</w:t>
      </w:r>
      <w:r w:rsidR="001A3E7F">
        <w:rPr>
          <w:rFonts w:ascii="Times New Roman" w:hAnsi="Times New Roman"/>
          <w:sz w:val="24"/>
          <w:szCs w:val="24"/>
        </w:rPr>
        <w:t>. L</w:t>
      </w:r>
      <w:r w:rsidR="00475744" w:rsidRPr="00475744">
        <w:rPr>
          <w:rFonts w:ascii="Times New Roman" w:hAnsi="Times New Roman"/>
          <w:sz w:val="24"/>
          <w:szCs w:val="24"/>
        </w:rPr>
        <w:t xml:space="preserve">es communautés locales </w:t>
      </w:r>
      <w:r w:rsidR="001A3E7F">
        <w:rPr>
          <w:rFonts w:ascii="Times New Roman" w:hAnsi="Times New Roman"/>
          <w:sz w:val="24"/>
          <w:szCs w:val="24"/>
        </w:rPr>
        <w:t>ont</w:t>
      </w:r>
      <w:r w:rsidR="00475744" w:rsidRPr="00475744">
        <w:rPr>
          <w:rFonts w:ascii="Times New Roman" w:hAnsi="Times New Roman"/>
          <w:sz w:val="24"/>
          <w:szCs w:val="24"/>
        </w:rPr>
        <w:t xml:space="preserve">, de plus longue date, montré de l’intérêt pour un système éducatif </w:t>
      </w:r>
      <w:r w:rsidR="001A3E7F">
        <w:rPr>
          <w:rFonts w:ascii="Times New Roman" w:hAnsi="Times New Roman"/>
          <w:sz w:val="24"/>
          <w:szCs w:val="24"/>
        </w:rPr>
        <w:t xml:space="preserve">alternatif </w:t>
      </w:r>
      <w:r w:rsidR="00475744" w:rsidRPr="00475744">
        <w:rPr>
          <w:rFonts w:ascii="Times New Roman" w:hAnsi="Times New Roman"/>
          <w:sz w:val="24"/>
          <w:szCs w:val="24"/>
        </w:rPr>
        <w:t xml:space="preserve">plus en phase avec leurs réalités socio culturelles propres, et </w:t>
      </w:r>
      <w:r w:rsidR="001A3E7F">
        <w:rPr>
          <w:rFonts w:ascii="Times New Roman" w:hAnsi="Times New Roman"/>
          <w:sz w:val="24"/>
          <w:szCs w:val="24"/>
        </w:rPr>
        <w:t xml:space="preserve">inversement un certain </w:t>
      </w:r>
      <w:r w:rsidR="00475744" w:rsidRPr="00475744">
        <w:rPr>
          <w:rFonts w:ascii="Times New Roman" w:hAnsi="Times New Roman"/>
          <w:sz w:val="24"/>
          <w:szCs w:val="24"/>
        </w:rPr>
        <w:t>désintérêt pour le modèle éducatif national standardisé et uniforme.</w:t>
      </w:r>
      <w:r w:rsidR="001A3E7F">
        <w:rPr>
          <w:rFonts w:ascii="Times New Roman" w:hAnsi="Times New Roman"/>
          <w:sz w:val="24"/>
          <w:szCs w:val="24"/>
        </w:rPr>
        <w:t xml:space="preserve"> A</w:t>
      </w:r>
      <w:r w:rsidR="00475744" w:rsidRPr="00475744">
        <w:rPr>
          <w:rFonts w:ascii="Times New Roman" w:hAnsi="Times New Roman"/>
          <w:sz w:val="24"/>
          <w:szCs w:val="24"/>
        </w:rPr>
        <w:t>dossé sur les valeurs d’ouverture et de tolérance qui servent de socle au</w:t>
      </w:r>
      <w:r w:rsidR="006B37EC">
        <w:rPr>
          <w:rFonts w:ascii="Times New Roman" w:hAnsi="Times New Roman"/>
          <w:sz w:val="24"/>
          <w:szCs w:val="24"/>
        </w:rPr>
        <w:t xml:space="preserve">x Nations Unies, </w:t>
      </w:r>
      <w:r w:rsidR="001A3E7F">
        <w:rPr>
          <w:rFonts w:ascii="Times New Roman" w:hAnsi="Times New Roman"/>
          <w:sz w:val="24"/>
          <w:szCs w:val="24"/>
        </w:rPr>
        <w:t xml:space="preserve">le programme </w:t>
      </w:r>
      <w:r w:rsidR="006B37EC">
        <w:rPr>
          <w:rFonts w:ascii="Times New Roman" w:hAnsi="Times New Roman"/>
          <w:sz w:val="24"/>
          <w:szCs w:val="24"/>
        </w:rPr>
        <w:t xml:space="preserve">pourrait bien </w:t>
      </w:r>
      <w:r w:rsidR="00475744" w:rsidRPr="00475744">
        <w:rPr>
          <w:rFonts w:ascii="Times New Roman" w:hAnsi="Times New Roman"/>
          <w:sz w:val="24"/>
          <w:szCs w:val="24"/>
        </w:rPr>
        <w:t xml:space="preserve">accompagner le pays à mener aussi cette </w:t>
      </w:r>
      <w:r w:rsidR="001A3E7F">
        <w:rPr>
          <w:rFonts w:ascii="Times New Roman" w:hAnsi="Times New Roman"/>
          <w:sz w:val="24"/>
          <w:szCs w:val="24"/>
        </w:rPr>
        <w:t xml:space="preserve">nécessaire </w:t>
      </w:r>
      <w:r w:rsidR="00475744" w:rsidRPr="00475744">
        <w:rPr>
          <w:rFonts w:ascii="Times New Roman" w:hAnsi="Times New Roman"/>
          <w:sz w:val="24"/>
          <w:szCs w:val="24"/>
        </w:rPr>
        <w:t>réflexion</w:t>
      </w:r>
      <w:r w:rsidR="001A3E7F">
        <w:rPr>
          <w:rFonts w:ascii="Times New Roman" w:hAnsi="Times New Roman"/>
          <w:sz w:val="24"/>
          <w:szCs w:val="24"/>
        </w:rPr>
        <w:t xml:space="preserve"> </w:t>
      </w:r>
      <w:r w:rsidR="00475744" w:rsidRPr="00475744">
        <w:rPr>
          <w:rFonts w:ascii="Times New Roman" w:hAnsi="Times New Roman"/>
          <w:sz w:val="24"/>
          <w:szCs w:val="24"/>
        </w:rPr>
        <w:t>sur l’adaptation de</w:t>
      </w:r>
      <w:r w:rsidR="001A3E7F">
        <w:rPr>
          <w:rFonts w:ascii="Times New Roman" w:hAnsi="Times New Roman"/>
          <w:sz w:val="24"/>
          <w:szCs w:val="24"/>
        </w:rPr>
        <w:t xml:space="preserve"> la présence </w:t>
      </w:r>
      <w:r w:rsidR="00475744" w:rsidRPr="00475744">
        <w:rPr>
          <w:rFonts w:ascii="Times New Roman" w:hAnsi="Times New Roman"/>
          <w:sz w:val="24"/>
          <w:szCs w:val="24"/>
        </w:rPr>
        <w:t>institutionnelle et développement à restaurer dans les différentes parties du territoire national. Comme pour corroborer cette urgence, au cours de la mission d’évaluation, la région de Kayes, à l’ouest du pays, a connu une éruption de violence de nature identitaire.</w:t>
      </w:r>
    </w:p>
    <w:p w14:paraId="604B5140" w14:textId="77777777" w:rsidR="00475744" w:rsidRDefault="00475744" w:rsidP="005B22B2">
      <w:pPr>
        <w:spacing w:after="0" w:line="240" w:lineRule="auto"/>
        <w:jc w:val="both"/>
        <w:rPr>
          <w:rFonts w:ascii="Times New Roman" w:hAnsi="Times New Roman"/>
          <w:sz w:val="24"/>
          <w:szCs w:val="24"/>
        </w:rPr>
      </w:pPr>
    </w:p>
    <w:p w14:paraId="604B5141" w14:textId="77777777" w:rsidR="00433C5C" w:rsidRDefault="00587651" w:rsidP="005B22B2">
      <w:pPr>
        <w:spacing w:after="0" w:line="240" w:lineRule="auto"/>
        <w:jc w:val="both"/>
        <w:rPr>
          <w:rFonts w:ascii="Times New Roman" w:hAnsi="Times New Roman"/>
          <w:sz w:val="24"/>
          <w:szCs w:val="24"/>
        </w:rPr>
      </w:pPr>
      <w:r>
        <w:rPr>
          <w:rFonts w:ascii="Times New Roman" w:hAnsi="Times New Roman"/>
          <w:sz w:val="24"/>
          <w:szCs w:val="24"/>
        </w:rPr>
        <w:t>4</w:t>
      </w:r>
      <w:r w:rsidR="00204BA9">
        <w:rPr>
          <w:rFonts w:ascii="Times New Roman" w:hAnsi="Times New Roman"/>
          <w:sz w:val="24"/>
          <w:szCs w:val="24"/>
        </w:rPr>
        <w:t>6</w:t>
      </w:r>
      <w:r>
        <w:rPr>
          <w:rFonts w:ascii="Times New Roman" w:hAnsi="Times New Roman"/>
          <w:sz w:val="24"/>
          <w:szCs w:val="24"/>
        </w:rPr>
        <w:t>.</w:t>
      </w:r>
      <w:r w:rsidR="00433C5C">
        <w:rPr>
          <w:rFonts w:ascii="Times New Roman" w:hAnsi="Times New Roman"/>
          <w:sz w:val="24"/>
          <w:szCs w:val="24"/>
        </w:rPr>
        <w:tab/>
      </w:r>
      <w:r w:rsidR="00893F9C" w:rsidRPr="003A1D53">
        <w:rPr>
          <w:rFonts w:ascii="Times New Roman" w:hAnsi="Times New Roman"/>
          <w:sz w:val="24"/>
          <w:szCs w:val="24"/>
        </w:rPr>
        <w:t>Les</w:t>
      </w:r>
      <w:r w:rsidR="00433C5C" w:rsidRPr="003A1D53">
        <w:rPr>
          <w:rFonts w:ascii="Times New Roman" w:hAnsi="Times New Roman"/>
          <w:sz w:val="24"/>
          <w:szCs w:val="24"/>
        </w:rPr>
        <w:t xml:space="preserve"> </w:t>
      </w:r>
      <w:r w:rsidR="00893F9C" w:rsidRPr="003A1D53">
        <w:rPr>
          <w:rFonts w:ascii="Times New Roman" w:hAnsi="Times New Roman"/>
          <w:sz w:val="24"/>
          <w:szCs w:val="24"/>
        </w:rPr>
        <w:t xml:space="preserve">apports du </w:t>
      </w:r>
      <w:r w:rsidR="00433C5C" w:rsidRPr="003A1D53">
        <w:rPr>
          <w:rFonts w:ascii="Times New Roman" w:hAnsi="Times New Roman"/>
          <w:sz w:val="24"/>
          <w:szCs w:val="24"/>
        </w:rPr>
        <w:t xml:space="preserve">suivi-évaluation </w:t>
      </w:r>
      <w:r w:rsidR="00893F9C" w:rsidRPr="003A1D53">
        <w:rPr>
          <w:rFonts w:ascii="Times New Roman" w:hAnsi="Times New Roman"/>
          <w:sz w:val="24"/>
          <w:szCs w:val="24"/>
        </w:rPr>
        <w:t xml:space="preserve">qui fondent sa pertinence dans le programme, sont </w:t>
      </w:r>
      <w:r w:rsidR="00433C5C" w:rsidRPr="003A1D53">
        <w:rPr>
          <w:rFonts w:ascii="Times New Roman" w:hAnsi="Times New Roman"/>
          <w:sz w:val="24"/>
          <w:szCs w:val="24"/>
        </w:rPr>
        <w:t xml:space="preserve"> </w:t>
      </w:r>
      <w:r w:rsidR="00893F9C" w:rsidRPr="003A1D53">
        <w:rPr>
          <w:rFonts w:ascii="Times New Roman" w:hAnsi="Times New Roman"/>
          <w:sz w:val="24"/>
          <w:szCs w:val="24"/>
        </w:rPr>
        <w:t xml:space="preserve">examinés plus bas </w:t>
      </w:r>
      <w:r w:rsidR="00433C5C" w:rsidRPr="003A1D53">
        <w:rPr>
          <w:rFonts w:ascii="Times New Roman" w:hAnsi="Times New Roman"/>
          <w:sz w:val="24"/>
          <w:szCs w:val="24"/>
        </w:rPr>
        <w:t>d</w:t>
      </w:r>
      <w:r w:rsidR="00893F9C" w:rsidRPr="003A1D53">
        <w:rPr>
          <w:rFonts w:ascii="Times New Roman" w:hAnsi="Times New Roman"/>
          <w:sz w:val="24"/>
          <w:szCs w:val="24"/>
        </w:rPr>
        <w:t>ans l</w:t>
      </w:r>
      <w:r w:rsidR="007E34BC" w:rsidRPr="003A1D53">
        <w:rPr>
          <w:rFonts w:ascii="Times New Roman" w:hAnsi="Times New Roman"/>
          <w:sz w:val="24"/>
          <w:szCs w:val="24"/>
        </w:rPr>
        <w:t>a section consacrée aux défis du programme</w:t>
      </w:r>
      <w:r w:rsidR="00433C5C" w:rsidRPr="003A1D53">
        <w:rPr>
          <w:rFonts w:ascii="Times New Roman" w:hAnsi="Times New Roman"/>
          <w:sz w:val="24"/>
          <w:szCs w:val="24"/>
        </w:rPr>
        <w:t>.</w:t>
      </w:r>
      <w:r w:rsidR="007E34BC" w:rsidRPr="003A1D53">
        <w:rPr>
          <w:rFonts w:ascii="Times New Roman" w:hAnsi="Times New Roman"/>
          <w:sz w:val="24"/>
          <w:szCs w:val="24"/>
        </w:rPr>
        <w:t xml:space="preserve"> </w:t>
      </w:r>
      <w:r w:rsidR="00893F9C" w:rsidRPr="003A1D53">
        <w:rPr>
          <w:rFonts w:ascii="Times New Roman" w:hAnsi="Times New Roman"/>
          <w:sz w:val="24"/>
          <w:szCs w:val="24"/>
        </w:rPr>
        <w:t xml:space="preserve">En restant ici, sur la perspective générique, </w:t>
      </w:r>
      <w:r w:rsidR="004C4EAB" w:rsidRPr="003A1D53">
        <w:rPr>
          <w:rFonts w:ascii="Times New Roman" w:hAnsi="Times New Roman"/>
          <w:sz w:val="24"/>
          <w:szCs w:val="24"/>
        </w:rPr>
        <w:t>quelques observations de base</w:t>
      </w:r>
      <w:r w:rsidR="00893F9C" w:rsidRPr="003A1D53">
        <w:rPr>
          <w:rFonts w:ascii="Times New Roman" w:hAnsi="Times New Roman"/>
          <w:sz w:val="24"/>
          <w:szCs w:val="24"/>
        </w:rPr>
        <w:t xml:space="preserve"> s’imposent. I</w:t>
      </w:r>
      <w:r w:rsidR="004C4EAB" w:rsidRPr="003A1D53">
        <w:rPr>
          <w:rFonts w:ascii="Times New Roman" w:hAnsi="Times New Roman"/>
          <w:sz w:val="24"/>
          <w:szCs w:val="24"/>
        </w:rPr>
        <w:t>l existe une approche robuste en matière de suivi-évaluation autour d’outils incorporés dans le document de programme (matrice des résultats et des ressources), et d</w:t>
      </w:r>
      <w:r w:rsidR="00893F9C" w:rsidRPr="003A1D53">
        <w:rPr>
          <w:rFonts w:ascii="Times New Roman" w:hAnsi="Times New Roman"/>
          <w:sz w:val="24"/>
          <w:szCs w:val="24"/>
        </w:rPr>
        <w:t>e cadres de</w:t>
      </w:r>
      <w:r w:rsidR="004C4EAB" w:rsidRPr="003A1D53">
        <w:rPr>
          <w:rFonts w:ascii="Times New Roman" w:hAnsi="Times New Roman"/>
          <w:sz w:val="24"/>
          <w:szCs w:val="24"/>
        </w:rPr>
        <w:t xml:space="preserve"> monitoring </w:t>
      </w:r>
      <w:r w:rsidR="00893F9C" w:rsidRPr="003A1D53">
        <w:rPr>
          <w:rFonts w:ascii="Times New Roman" w:hAnsi="Times New Roman"/>
          <w:sz w:val="24"/>
          <w:szCs w:val="24"/>
        </w:rPr>
        <w:t>qui fonctionnent globalement assez bien</w:t>
      </w:r>
      <w:r w:rsidR="00F13938" w:rsidRPr="003A1D53">
        <w:rPr>
          <w:rFonts w:ascii="Times New Roman" w:hAnsi="Times New Roman"/>
          <w:sz w:val="24"/>
          <w:szCs w:val="24"/>
        </w:rPr>
        <w:t xml:space="preserve"> </w:t>
      </w:r>
      <w:r w:rsidR="004C4EAB" w:rsidRPr="003A1D53">
        <w:rPr>
          <w:rFonts w:ascii="Times New Roman" w:hAnsi="Times New Roman"/>
          <w:sz w:val="24"/>
          <w:szCs w:val="24"/>
        </w:rPr>
        <w:t>: groupes de résultats</w:t>
      </w:r>
      <w:r w:rsidR="00893F9C" w:rsidRPr="003A1D53">
        <w:rPr>
          <w:rFonts w:ascii="Times New Roman" w:hAnsi="Times New Roman"/>
          <w:sz w:val="24"/>
          <w:szCs w:val="24"/>
        </w:rPr>
        <w:t xml:space="preserve"> et </w:t>
      </w:r>
      <w:r w:rsidR="004C4EAB" w:rsidRPr="003A1D53">
        <w:rPr>
          <w:rFonts w:ascii="Times New Roman" w:hAnsi="Times New Roman"/>
          <w:sz w:val="24"/>
          <w:szCs w:val="24"/>
        </w:rPr>
        <w:t xml:space="preserve">de suivi-évaluation. </w:t>
      </w:r>
      <w:r w:rsidR="00F13938" w:rsidRPr="003A1D53">
        <w:rPr>
          <w:rFonts w:ascii="Times New Roman" w:hAnsi="Times New Roman"/>
          <w:sz w:val="24"/>
          <w:szCs w:val="24"/>
        </w:rPr>
        <w:t xml:space="preserve">Ce dispositif </w:t>
      </w:r>
      <w:r w:rsidR="004C4EAB" w:rsidRPr="003A1D53">
        <w:rPr>
          <w:rFonts w:ascii="Times New Roman" w:hAnsi="Times New Roman"/>
          <w:sz w:val="24"/>
          <w:szCs w:val="24"/>
        </w:rPr>
        <w:t xml:space="preserve">donne un aperçu factuel </w:t>
      </w:r>
      <w:r w:rsidR="00893F9C" w:rsidRPr="003A1D53">
        <w:rPr>
          <w:rFonts w:ascii="Times New Roman" w:hAnsi="Times New Roman"/>
          <w:sz w:val="24"/>
          <w:szCs w:val="24"/>
        </w:rPr>
        <w:t xml:space="preserve">consistant </w:t>
      </w:r>
      <w:r w:rsidR="004C4EAB" w:rsidRPr="003A1D53">
        <w:rPr>
          <w:rFonts w:ascii="Times New Roman" w:hAnsi="Times New Roman"/>
          <w:sz w:val="24"/>
          <w:szCs w:val="24"/>
        </w:rPr>
        <w:t>sur le programme et ses réalisation</w:t>
      </w:r>
      <w:r w:rsidR="00893F9C" w:rsidRPr="003A1D53">
        <w:rPr>
          <w:rFonts w:ascii="Times New Roman" w:hAnsi="Times New Roman"/>
          <w:sz w:val="24"/>
          <w:szCs w:val="24"/>
        </w:rPr>
        <w:t>s</w:t>
      </w:r>
      <w:r w:rsidR="00F13938" w:rsidRPr="003A1D53">
        <w:rPr>
          <w:rFonts w:ascii="Times New Roman" w:hAnsi="Times New Roman"/>
          <w:sz w:val="24"/>
          <w:szCs w:val="24"/>
        </w:rPr>
        <w:t xml:space="preserve"> (les documents de suivi sont disponibles par effet et donnent un bon niveau d’information)</w:t>
      </w:r>
      <w:r w:rsidR="004C4EAB" w:rsidRPr="003A1D53">
        <w:rPr>
          <w:rFonts w:ascii="Times New Roman" w:hAnsi="Times New Roman"/>
          <w:sz w:val="24"/>
          <w:szCs w:val="24"/>
        </w:rPr>
        <w:t xml:space="preserve">. </w:t>
      </w:r>
      <w:r w:rsidR="00F13938" w:rsidRPr="003A1D53">
        <w:rPr>
          <w:rFonts w:ascii="Times New Roman" w:hAnsi="Times New Roman"/>
          <w:sz w:val="24"/>
          <w:szCs w:val="24"/>
        </w:rPr>
        <w:t xml:space="preserve">Son </w:t>
      </w:r>
      <w:r w:rsidR="004C4EAB" w:rsidRPr="003A1D53">
        <w:rPr>
          <w:rFonts w:ascii="Times New Roman" w:hAnsi="Times New Roman"/>
          <w:sz w:val="24"/>
          <w:szCs w:val="24"/>
        </w:rPr>
        <w:t xml:space="preserve">alignement sur les cadres et outils </w:t>
      </w:r>
      <w:r w:rsidR="00F13938" w:rsidRPr="003A1D53">
        <w:rPr>
          <w:rFonts w:ascii="Times New Roman" w:hAnsi="Times New Roman"/>
          <w:sz w:val="24"/>
          <w:szCs w:val="24"/>
        </w:rPr>
        <w:t xml:space="preserve">nationaux </w:t>
      </w:r>
      <w:r w:rsidR="004C4EAB" w:rsidRPr="003A1D53">
        <w:rPr>
          <w:rFonts w:ascii="Times New Roman" w:hAnsi="Times New Roman"/>
          <w:sz w:val="24"/>
          <w:szCs w:val="24"/>
        </w:rPr>
        <w:t xml:space="preserve">de suivi des politiques </w:t>
      </w:r>
      <w:r w:rsidR="00F13938" w:rsidRPr="003A1D53">
        <w:rPr>
          <w:rFonts w:ascii="Times New Roman" w:hAnsi="Times New Roman"/>
          <w:sz w:val="24"/>
          <w:szCs w:val="24"/>
        </w:rPr>
        <w:t xml:space="preserve">de développement </w:t>
      </w:r>
      <w:r w:rsidR="004C4EAB" w:rsidRPr="003A1D53">
        <w:rPr>
          <w:rFonts w:ascii="Times New Roman" w:hAnsi="Times New Roman"/>
          <w:sz w:val="24"/>
          <w:szCs w:val="24"/>
        </w:rPr>
        <w:t>du pays</w:t>
      </w:r>
      <w:r w:rsidR="00F13938" w:rsidRPr="003A1D53">
        <w:rPr>
          <w:rFonts w:ascii="Times New Roman" w:hAnsi="Times New Roman"/>
          <w:sz w:val="24"/>
          <w:szCs w:val="24"/>
        </w:rPr>
        <w:t xml:space="preserve">, ses </w:t>
      </w:r>
      <w:r w:rsidR="004C4EAB" w:rsidRPr="003A1D53">
        <w:rPr>
          <w:rFonts w:ascii="Times New Roman" w:hAnsi="Times New Roman"/>
          <w:sz w:val="24"/>
          <w:szCs w:val="24"/>
        </w:rPr>
        <w:t xml:space="preserve">indicateurs </w:t>
      </w:r>
      <w:r w:rsidR="00F13938" w:rsidRPr="003A1D53">
        <w:rPr>
          <w:rFonts w:ascii="Times New Roman" w:hAnsi="Times New Roman"/>
          <w:sz w:val="24"/>
          <w:szCs w:val="24"/>
        </w:rPr>
        <w:t xml:space="preserve">étant </w:t>
      </w:r>
      <w:r w:rsidR="004C4EAB" w:rsidRPr="003A1D53">
        <w:rPr>
          <w:rFonts w:ascii="Times New Roman" w:hAnsi="Times New Roman"/>
          <w:sz w:val="24"/>
          <w:szCs w:val="24"/>
        </w:rPr>
        <w:t>souvent différents de ceux du système statistique national</w:t>
      </w:r>
      <w:r w:rsidR="00F13938" w:rsidRPr="003A1D53">
        <w:rPr>
          <w:rFonts w:ascii="Times New Roman" w:hAnsi="Times New Roman"/>
          <w:sz w:val="24"/>
          <w:szCs w:val="24"/>
        </w:rPr>
        <w:t>.</w:t>
      </w:r>
    </w:p>
    <w:p w14:paraId="604B5142" w14:textId="77777777" w:rsidR="00F13938" w:rsidRPr="00475744" w:rsidRDefault="00F13938" w:rsidP="005B22B2">
      <w:pPr>
        <w:spacing w:after="0" w:line="240" w:lineRule="auto"/>
        <w:jc w:val="both"/>
        <w:rPr>
          <w:rFonts w:ascii="Times New Roman" w:hAnsi="Times New Roman"/>
          <w:sz w:val="24"/>
          <w:szCs w:val="24"/>
        </w:rPr>
      </w:pPr>
    </w:p>
    <w:p w14:paraId="604B5143" w14:textId="77777777" w:rsidR="00475744" w:rsidRPr="00FB42E6" w:rsidRDefault="00FB42E6" w:rsidP="005B22B2">
      <w:pPr>
        <w:pStyle w:val="Titre3"/>
        <w:numPr>
          <w:ilvl w:val="2"/>
          <w:numId w:val="3"/>
        </w:numPr>
        <w:spacing w:before="0" w:line="240" w:lineRule="auto"/>
        <w:rPr>
          <w:rFonts w:ascii="Times New Roman" w:hAnsi="Times New Roman"/>
          <w:color w:val="auto"/>
          <w:sz w:val="24"/>
          <w:szCs w:val="24"/>
        </w:rPr>
      </w:pPr>
      <w:bookmarkStart w:id="175" w:name="_Toc502863869"/>
      <w:bookmarkStart w:id="176" w:name="_Toc505758474"/>
      <w:bookmarkStart w:id="177" w:name="_Toc506201566"/>
      <w:r>
        <w:rPr>
          <w:rFonts w:ascii="Times New Roman" w:hAnsi="Times New Roman"/>
          <w:color w:val="auto"/>
          <w:sz w:val="24"/>
          <w:szCs w:val="24"/>
        </w:rPr>
        <w:t>Perspectives pour le r</w:t>
      </w:r>
      <w:r w:rsidR="004C1CD9" w:rsidRPr="00FB42E6">
        <w:rPr>
          <w:rFonts w:ascii="Times New Roman" w:hAnsi="Times New Roman"/>
          <w:color w:val="auto"/>
          <w:sz w:val="24"/>
          <w:szCs w:val="24"/>
        </w:rPr>
        <w:t>éalignement du programme sur les éléments de contexte nouveaux</w:t>
      </w:r>
      <w:bookmarkEnd w:id="175"/>
      <w:bookmarkEnd w:id="176"/>
      <w:bookmarkEnd w:id="177"/>
      <w:r w:rsidR="00475744" w:rsidRPr="00FB42E6">
        <w:rPr>
          <w:rFonts w:ascii="Times New Roman" w:hAnsi="Times New Roman"/>
          <w:color w:val="auto"/>
          <w:sz w:val="24"/>
          <w:szCs w:val="24"/>
        </w:rPr>
        <w:t xml:space="preserve"> </w:t>
      </w:r>
    </w:p>
    <w:p w14:paraId="604B5144" w14:textId="77777777" w:rsidR="00475744" w:rsidRDefault="00475744" w:rsidP="005B22B2">
      <w:pPr>
        <w:spacing w:after="0" w:line="240" w:lineRule="auto"/>
        <w:jc w:val="both"/>
        <w:rPr>
          <w:rFonts w:ascii="Times New Roman" w:hAnsi="Times New Roman"/>
          <w:sz w:val="24"/>
          <w:szCs w:val="24"/>
        </w:rPr>
      </w:pPr>
    </w:p>
    <w:p w14:paraId="604B5145" w14:textId="77777777" w:rsidR="00C92DD3" w:rsidRDefault="00AD443E" w:rsidP="005B22B2">
      <w:pPr>
        <w:spacing w:after="0" w:line="240" w:lineRule="auto"/>
        <w:jc w:val="both"/>
        <w:rPr>
          <w:rFonts w:ascii="Times New Roman" w:hAnsi="Times New Roman"/>
          <w:sz w:val="24"/>
          <w:szCs w:val="24"/>
        </w:rPr>
      </w:pPr>
      <w:r>
        <w:rPr>
          <w:rFonts w:ascii="Times New Roman" w:hAnsi="Times New Roman"/>
          <w:sz w:val="24"/>
          <w:szCs w:val="24"/>
        </w:rPr>
        <w:lastRenderedPageBreak/>
        <w:t>4</w:t>
      </w:r>
      <w:r w:rsidR="00204BA9">
        <w:rPr>
          <w:rFonts w:ascii="Times New Roman" w:hAnsi="Times New Roman"/>
          <w:sz w:val="24"/>
          <w:szCs w:val="24"/>
        </w:rPr>
        <w:t>7</w:t>
      </w:r>
      <w:r>
        <w:rPr>
          <w:rFonts w:ascii="Times New Roman" w:hAnsi="Times New Roman"/>
          <w:sz w:val="24"/>
          <w:szCs w:val="24"/>
        </w:rPr>
        <w:t>.</w:t>
      </w:r>
      <w:r w:rsidR="00C92DD3">
        <w:rPr>
          <w:rFonts w:ascii="Times New Roman" w:hAnsi="Times New Roman"/>
          <w:sz w:val="24"/>
          <w:szCs w:val="24"/>
        </w:rPr>
        <w:tab/>
        <w:t>Cette section annonce les pistes qui sont potentiellement à investiguer pour entreprendre la révision du programme, en particulier de son document de programmation et de sa matrice des résultats et des ressources. Il s’agit donc de voir les évolutions saillantes dans le contexte à la fois national intrinsèque, régional et international, au sein et en dehors du Système des Nations Unies.</w:t>
      </w:r>
    </w:p>
    <w:p w14:paraId="604B5146" w14:textId="77777777" w:rsidR="00C92DD3" w:rsidRPr="00475744" w:rsidRDefault="00C92DD3" w:rsidP="005B22B2">
      <w:pPr>
        <w:spacing w:after="0" w:line="240" w:lineRule="auto"/>
        <w:jc w:val="both"/>
        <w:rPr>
          <w:rFonts w:ascii="Times New Roman" w:hAnsi="Times New Roman"/>
          <w:sz w:val="24"/>
          <w:szCs w:val="24"/>
        </w:rPr>
      </w:pPr>
    </w:p>
    <w:p w14:paraId="604B5147" w14:textId="77777777" w:rsidR="00475744" w:rsidRPr="00475744" w:rsidRDefault="00475744" w:rsidP="005B22B2">
      <w:pPr>
        <w:spacing w:after="0" w:line="240" w:lineRule="auto"/>
        <w:ind w:left="708"/>
        <w:jc w:val="both"/>
        <w:rPr>
          <w:rFonts w:ascii="Times New Roman" w:hAnsi="Times New Roman"/>
          <w:b/>
          <w:sz w:val="24"/>
          <w:szCs w:val="24"/>
        </w:rPr>
      </w:pPr>
      <w:r w:rsidRPr="00475744">
        <w:rPr>
          <w:rFonts w:ascii="Times New Roman" w:hAnsi="Times New Roman"/>
          <w:b/>
          <w:sz w:val="24"/>
          <w:szCs w:val="24"/>
        </w:rPr>
        <w:t xml:space="preserve">Provisions </w:t>
      </w:r>
      <w:r w:rsidR="004C1CD9">
        <w:rPr>
          <w:rFonts w:ascii="Times New Roman" w:hAnsi="Times New Roman"/>
          <w:b/>
          <w:sz w:val="24"/>
          <w:szCs w:val="24"/>
        </w:rPr>
        <w:t xml:space="preserve">en provenance </w:t>
      </w:r>
      <w:r w:rsidRPr="00475744">
        <w:rPr>
          <w:rFonts w:ascii="Times New Roman" w:hAnsi="Times New Roman"/>
          <w:b/>
          <w:sz w:val="24"/>
          <w:szCs w:val="24"/>
        </w:rPr>
        <w:t>du CREDD</w:t>
      </w:r>
      <w:r w:rsidR="004C1CD9">
        <w:rPr>
          <w:rFonts w:ascii="Times New Roman" w:hAnsi="Times New Roman"/>
          <w:b/>
          <w:sz w:val="24"/>
          <w:szCs w:val="24"/>
        </w:rPr>
        <w:t xml:space="preserve"> et en perspective de la finalisation de la priorisation des ODD</w:t>
      </w:r>
    </w:p>
    <w:p w14:paraId="604B5148" w14:textId="77777777" w:rsidR="00475744" w:rsidRPr="00475744" w:rsidRDefault="00475744" w:rsidP="005B22B2">
      <w:pPr>
        <w:spacing w:after="0" w:line="240" w:lineRule="auto"/>
        <w:jc w:val="both"/>
        <w:rPr>
          <w:rFonts w:ascii="Times New Roman" w:hAnsi="Times New Roman"/>
          <w:sz w:val="24"/>
          <w:szCs w:val="24"/>
        </w:rPr>
      </w:pPr>
    </w:p>
    <w:p w14:paraId="604B5149" w14:textId="77777777" w:rsidR="00475744" w:rsidRPr="00475744" w:rsidRDefault="00AD443E" w:rsidP="005B22B2">
      <w:pPr>
        <w:spacing w:after="0" w:line="240" w:lineRule="auto"/>
        <w:jc w:val="both"/>
        <w:rPr>
          <w:rFonts w:ascii="Times New Roman" w:hAnsi="Times New Roman"/>
          <w:sz w:val="24"/>
          <w:szCs w:val="24"/>
        </w:rPr>
      </w:pPr>
      <w:r>
        <w:rPr>
          <w:rFonts w:ascii="Times New Roman" w:hAnsi="Times New Roman"/>
          <w:sz w:val="24"/>
          <w:szCs w:val="24"/>
        </w:rPr>
        <w:t>4</w:t>
      </w:r>
      <w:r w:rsidR="00C35441">
        <w:rPr>
          <w:rFonts w:ascii="Times New Roman" w:hAnsi="Times New Roman"/>
          <w:sz w:val="24"/>
          <w:szCs w:val="24"/>
        </w:rPr>
        <w:t>8</w:t>
      </w:r>
      <w:r>
        <w:rPr>
          <w:rFonts w:ascii="Times New Roman" w:hAnsi="Times New Roman"/>
          <w:sz w:val="24"/>
          <w:szCs w:val="24"/>
        </w:rPr>
        <w:t>.</w:t>
      </w:r>
      <w:r w:rsidR="00475744" w:rsidRPr="00475744">
        <w:rPr>
          <w:rFonts w:ascii="Times New Roman" w:hAnsi="Times New Roman"/>
          <w:sz w:val="24"/>
          <w:szCs w:val="24"/>
        </w:rPr>
        <w:tab/>
        <w:t xml:space="preserve">Dans le détail opérationnel de la mise en œuvre des contenus du CREDD, les éléments ci-dessous ressortent peu pris en charge dans la matrice originelle de l’UNDAF+ qui devrait leur dédier </w:t>
      </w:r>
      <w:r w:rsidR="001A3E7F">
        <w:rPr>
          <w:rFonts w:ascii="Times New Roman" w:hAnsi="Times New Roman"/>
          <w:sz w:val="24"/>
          <w:szCs w:val="24"/>
        </w:rPr>
        <w:t>plus d’attention</w:t>
      </w:r>
      <w:r w:rsidR="00475744" w:rsidRPr="00475744">
        <w:rPr>
          <w:rFonts w:ascii="Times New Roman" w:hAnsi="Times New Roman"/>
          <w:sz w:val="24"/>
          <w:szCs w:val="24"/>
        </w:rPr>
        <w:t xml:space="preserve"> dans les deux années qui restent dans le cycle.</w:t>
      </w:r>
    </w:p>
    <w:p w14:paraId="604B514A" w14:textId="77777777" w:rsidR="00475744" w:rsidRPr="00475744" w:rsidRDefault="00475744" w:rsidP="005B22B2">
      <w:pPr>
        <w:spacing w:after="0" w:line="240" w:lineRule="auto"/>
        <w:jc w:val="both"/>
        <w:rPr>
          <w:rFonts w:ascii="Times New Roman" w:hAnsi="Times New Roman"/>
          <w:sz w:val="24"/>
          <w:szCs w:val="24"/>
        </w:rPr>
      </w:pPr>
    </w:p>
    <w:p w14:paraId="604B514B" w14:textId="77777777" w:rsidR="00475744" w:rsidRPr="00FB42E6" w:rsidRDefault="00475744" w:rsidP="0089432A">
      <w:pPr>
        <w:pStyle w:val="Paragraphedeliste"/>
        <w:numPr>
          <w:ilvl w:val="0"/>
          <w:numId w:val="45"/>
        </w:numPr>
        <w:spacing w:after="0" w:line="240" w:lineRule="auto"/>
        <w:jc w:val="both"/>
        <w:rPr>
          <w:rFonts w:ascii="Times New Roman" w:hAnsi="Times New Roman"/>
          <w:b/>
          <w:sz w:val="24"/>
          <w:szCs w:val="24"/>
        </w:rPr>
      </w:pPr>
      <w:r w:rsidRPr="00FB42E6">
        <w:rPr>
          <w:rFonts w:ascii="Times New Roman" w:hAnsi="Times New Roman"/>
          <w:b/>
          <w:sz w:val="24"/>
          <w:szCs w:val="24"/>
        </w:rPr>
        <w:t>Croissance inclusive</w:t>
      </w:r>
    </w:p>
    <w:p w14:paraId="604B514C" w14:textId="77777777" w:rsidR="00475744" w:rsidRPr="00475744" w:rsidRDefault="00475744" w:rsidP="005B22B2">
      <w:pPr>
        <w:spacing w:after="0" w:line="240" w:lineRule="auto"/>
        <w:jc w:val="both"/>
        <w:rPr>
          <w:rFonts w:ascii="Times New Roman" w:hAnsi="Times New Roman"/>
          <w:sz w:val="24"/>
          <w:szCs w:val="24"/>
        </w:rPr>
      </w:pPr>
    </w:p>
    <w:p w14:paraId="604B514D" w14:textId="77777777" w:rsidR="00475744" w:rsidRPr="00475744" w:rsidRDefault="00475744" w:rsidP="0089432A">
      <w:pPr>
        <w:numPr>
          <w:ilvl w:val="0"/>
          <w:numId w:val="24"/>
        </w:numPr>
        <w:spacing w:after="0" w:line="240" w:lineRule="auto"/>
        <w:contextualSpacing/>
        <w:jc w:val="both"/>
        <w:rPr>
          <w:rFonts w:ascii="Times New Roman" w:hAnsi="Times New Roman"/>
          <w:color w:val="000000"/>
          <w:sz w:val="24"/>
          <w:szCs w:val="24"/>
        </w:rPr>
      </w:pPr>
      <w:r w:rsidRPr="00475744">
        <w:rPr>
          <w:rFonts w:ascii="Times New Roman" w:hAnsi="Times New Roman"/>
          <w:sz w:val="24"/>
          <w:szCs w:val="24"/>
        </w:rPr>
        <w:t>Elément de diagnostic dans le CREDD : "</w:t>
      </w:r>
      <w:r w:rsidRPr="00475744">
        <w:rPr>
          <w:rFonts w:ascii="Times New Roman" w:hAnsi="Times New Roman"/>
          <w:i/>
          <w:sz w:val="24"/>
          <w:szCs w:val="24"/>
        </w:rPr>
        <w:t>L</w:t>
      </w:r>
      <w:r w:rsidRPr="00475744">
        <w:rPr>
          <w:rFonts w:ascii="Times New Roman" w:hAnsi="Times New Roman"/>
          <w:i/>
          <w:color w:val="000000"/>
          <w:sz w:val="24"/>
          <w:szCs w:val="24"/>
        </w:rPr>
        <w:t>e Mali doit relever le défi de rendre le secteur privé plus dynamique, compétitif et créateur d’emplois, notamment à travers des réformes structurelles importantes</w:t>
      </w:r>
      <w:r w:rsidRPr="00475744">
        <w:rPr>
          <w:rFonts w:ascii="Times New Roman" w:hAnsi="Times New Roman"/>
          <w:color w:val="000000"/>
          <w:sz w:val="24"/>
          <w:szCs w:val="24"/>
        </w:rPr>
        <w:t>." : le Programme pourrait consacrer plus d’effort à aider le pays à améliorer son attractivité pour les investisseurs étranger</w:t>
      </w:r>
      <w:r w:rsidR="00FF485C">
        <w:rPr>
          <w:rFonts w:ascii="Times New Roman" w:hAnsi="Times New Roman"/>
          <w:color w:val="000000"/>
          <w:sz w:val="24"/>
          <w:szCs w:val="24"/>
        </w:rPr>
        <w:t>s</w:t>
      </w:r>
      <w:r w:rsidRPr="00475744">
        <w:rPr>
          <w:rFonts w:ascii="Times New Roman" w:hAnsi="Times New Roman"/>
          <w:color w:val="000000"/>
          <w:sz w:val="24"/>
          <w:szCs w:val="24"/>
        </w:rPr>
        <w:t>.</w:t>
      </w:r>
    </w:p>
    <w:p w14:paraId="604B514E" w14:textId="77777777" w:rsidR="00475744" w:rsidRPr="00475744" w:rsidRDefault="00475744" w:rsidP="0089432A">
      <w:pPr>
        <w:numPr>
          <w:ilvl w:val="0"/>
          <w:numId w:val="24"/>
        </w:numPr>
        <w:spacing w:after="0" w:line="240" w:lineRule="auto"/>
        <w:contextualSpacing/>
        <w:jc w:val="both"/>
        <w:rPr>
          <w:rFonts w:ascii="Times New Roman" w:hAnsi="Times New Roman"/>
          <w:color w:val="000000"/>
          <w:sz w:val="24"/>
          <w:szCs w:val="24"/>
        </w:rPr>
      </w:pPr>
      <w:r w:rsidRPr="00475744">
        <w:rPr>
          <w:rFonts w:ascii="Times New Roman" w:hAnsi="Times New Roman"/>
          <w:color w:val="000000"/>
          <w:sz w:val="24"/>
          <w:szCs w:val="24"/>
        </w:rPr>
        <w:t>Autre élément de diagnostic et d’orientation du CREDD à impact sur la croissance : "</w:t>
      </w:r>
      <w:r w:rsidRPr="00475744">
        <w:rPr>
          <w:rFonts w:ascii="Times New Roman" w:hAnsi="Times New Roman"/>
          <w:i/>
          <w:color w:val="000000"/>
          <w:sz w:val="24"/>
          <w:szCs w:val="24"/>
        </w:rPr>
        <w:t>La réalisation de progrès tangibles dans le domaine de la gouvernance des affaires publiques et des finances publiques apparaît déterminante pour contribuer au raffermissement de la confiance des citoyens dans l’Etat et ses institutions</w:t>
      </w:r>
      <w:r w:rsidRPr="00475744">
        <w:rPr>
          <w:rFonts w:ascii="Times New Roman" w:hAnsi="Times New Roman"/>
          <w:color w:val="000000"/>
          <w:sz w:val="24"/>
          <w:szCs w:val="24"/>
        </w:rPr>
        <w:t xml:space="preserve">" :  les efforts du programme en faveur de la restauration des capacités de l’Etat en matière de gestion des finances publiques et de transparence des processus budgétaires, doivent se renforcer, avec comme objectif </w:t>
      </w:r>
      <w:r w:rsidR="00FF485C">
        <w:rPr>
          <w:rFonts w:ascii="Times New Roman" w:hAnsi="Times New Roman"/>
          <w:color w:val="000000"/>
          <w:sz w:val="24"/>
          <w:szCs w:val="24"/>
        </w:rPr>
        <w:t xml:space="preserve">à moins terme </w:t>
      </w:r>
      <w:r w:rsidRPr="00475744">
        <w:rPr>
          <w:rFonts w:ascii="Times New Roman" w:hAnsi="Times New Roman"/>
          <w:color w:val="000000"/>
          <w:sz w:val="24"/>
          <w:szCs w:val="24"/>
        </w:rPr>
        <w:t>de faire revenir les partenaires du pays dans l’appui budgétaire.</w:t>
      </w:r>
    </w:p>
    <w:p w14:paraId="604B514F" w14:textId="77777777" w:rsidR="00475744" w:rsidRPr="00475744" w:rsidRDefault="00475744" w:rsidP="0089432A">
      <w:pPr>
        <w:numPr>
          <w:ilvl w:val="0"/>
          <w:numId w:val="24"/>
        </w:numPr>
        <w:spacing w:after="0" w:line="240" w:lineRule="auto"/>
        <w:contextualSpacing/>
        <w:jc w:val="both"/>
        <w:rPr>
          <w:rFonts w:ascii="Times New Roman" w:hAnsi="Times New Roman"/>
          <w:color w:val="000000"/>
          <w:sz w:val="24"/>
          <w:szCs w:val="24"/>
        </w:rPr>
      </w:pPr>
      <w:r w:rsidRPr="00475744">
        <w:rPr>
          <w:rFonts w:ascii="Times New Roman" w:hAnsi="Times New Roman"/>
          <w:color w:val="000000"/>
          <w:sz w:val="24"/>
          <w:szCs w:val="24"/>
        </w:rPr>
        <w:t>Troisième élément de diagnostic et d’orientation possible pour le programme (rangé dans le volet services sociaux de base du CREDD) : "</w:t>
      </w:r>
      <w:r w:rsidRPr="00475744">
        <w:rPr>
          <w:rFonts w:ascii="Times New Roman" w:hAnsi="Times New Roman"/>
          <w:i/>
          <w:color w:val="000000"/>
          <w:sz w:val="24"/>
          <w:szCs w:val="24"/>
        </w:rPr>
        <w:t>Inadéquation entre formation et emploi (employabilité des jeunes sortants)</w:t>
      </w:r>
      <w:r w:rsidRPr="00475744">
        <w:rPr>
          <w:rFonts w:ascii="Times New Roman" w:hAnsi="Times New Roman"/>
          <w:color w:val="000000"/>
          <w:sz w:val="24"/>
          <w:szCs w:val="24"/>
        </w:rPr>
        <w:t>" : dans le cadre de la transition de l’humanitaire vers le développement, le programme devrait mieux aider le pays à initier des réformes pou</w:t>
      </w:r>
      <w:r w:rsidR="00FF485C">
        <w:rPr>
          <w:rFonts w:ascii="Times New Roman" w:hAnsi="Times New Roman"/>
          <w:color w:val="000000"/>
          <w:sz w:val="24"/>
          <w:szCs w:val="24"/>
        </w:rPr>
        <w:t>r favoriser les liaisons entre l</w:t>
      </w:r>
      <w:r w:rsidRPr="00475744">
        <w:rPr>
          <w:rFonts w:ascii="Times New Roman" w:hAnsi="Times New Roman"/>
          <w:color w:val="000000"/>
          <w:sz w:val="24"/>
          <w:szCs w:val="24"/>
        </w:rPr>
        <w:t>e système éducatif et l’appareil national de production. </w:t>
      </w:r>
    </w:p>
    <w:p w14:paraId="604B5150" w14:textId="77777777" w:rsidR="00475744" w:rsidRPr="00475744" w:rsidRDefault="00475744" w:rsidP="005B22B2">
      <w:pPr>
        <w:spacing w:after="0" w:line="240" w:lineRule="auto"/>
        <w:jc w:val="both"/>
        <w:rPr>
          <w:rFonts w:ascii="Times New Roman" w:hAnsi="Times New Roman"/>
          <w:b/>
          <w:sz w:val="24"/>
          <w:szCs w:val="24"/>
          <w:lang w:eastAsia="fr-FR"/>
        </w:rPr>
      </w:pPr>
    </w:p>
    <w:p w14:paraId="604B5151" w14:textId="77777777" w:rsidR="00475744" w:rsidRPr="00FB42E6" w:rsidRDefault="00475744" w:rsidP="0089432A">
      <w:pPr>
        <w:pStyle w:val="Paragraphedeliste"/>
        <w:numPr>
          <w:ilvl w:val="0"/>
          <w:numId w:val="45"/>
        </w:numPr>
        <w:spacing w:after="0" w:line="240" w:lineRule="auto"/>
        <w:jc w:val="both"/>
        <w:rPr>
          <w:rFonts w:ascii="Times New Roman" w:hAnsi="Times New Roman"/>
          <w:b/>
          <w:sz w:val="24"/>
          <w:szCs w:val="24"/>
          <w:lang w:eastAsia="fr-FR"/>
        </w:rPr>
      </w:pPr>
      <w:r w:rsidRPr="00FB42E6">
        <w:rPr>
          <w:rFonts w:ascii="Times New Roman" w:hAnsi="Times New Roman"/>
          <w:b/>
          <w:sz w:val="24"/>
          <w:szCs w:val="24"/>
          <w:lang w:eastAsia="fr-FR"/>
        </w:rPr>
        <w:t>Services sociaux de base</w:t>
      </w:r>
    </w:p>
    <w:p w14:paraId="604B5152" w14:textId="77777777" w:rsidR="00475744" w:rsidRPr="00475744" w:rsidRDefault="00475744" w:rsidP="005B22B2">
      <w:pPr>
        <w:spacing w:after="0" w:line="240" w:lineRule="auto"/>
        <w:jc w:val="both"/>
        <w:rPr>
          <w:rFonts w:ascii="Times New Roman" w:hAnsi="Times New Roman"/>
          <w:b/>
          <w:sz w:val="24"/>
          <w:szCs w:val="24"/>
          <w:lang w:eastAsia="fr-FR"/>
        </w:rPr>
      </w:pPr>
    </w:p>
    <w:p w14:paraId="604B5153" w14:textId="77777777" w:rsidR="00475744" w:rsidRPr="00475744" w:rsidRDefault="00475744" w:rsidP="0089432A">
      <w:pPr>
        <w:numPr>
          <w:ilvl w:val="0"/>
          <w:numId w:val="25"/>
        </w:numPr>
        <w:spacing w:after="0" w:line="240" w:lineRule="auto"/>
        <w:jc w:val="both"/>
        <w:rPr>
          <w:rFonts w:ascii="Times New Roman" w:eastAsia="Times New Roman" w:hAnsi="Times New Roman"/>
          <w:color w:val="000000"/>
          <w:sz w:val="24"/>
          <w:szCs w:val="24"/>
          <w:lang w:eastAsia="fr-FR"/>
        </w:rPr>
      </w:pPr>
      <w:r w:rsidRPr="00475744">
        <w:rPr>
          <w:rFonts w:ascii="Times New Roman" w:hAnsi="Times New Roman"/>
          <w:sz w:val="24"/>
          <w:szCs w:val="24"/>
          <w:lang w:eastAsia="fr-FR"/>
        </w:rPr>
        <w:t>Eléments de diagnostic du secteur Education : "</w:t>
      </w:r>
      <w:r w:rsidRPr="00475744">
        <w:rPr>
          <w:rFonts w:ascii="Times New Roman" w:hAnsi="Times New Roman"/>
          <w:i/>
          <w:sz w:val="24"/>
          <w:szCs w:val="24"/>
          <w:lang w:eastAsia="fr-FR"/>
        </w:rPr>
        <w:t>F</w:t>
      </w:r>
      <w:r w:rsidRPr="00475744">
        <w:rPr>
          <w:rFonts w:ascii="Times New Roman" w:eastAsia="Times New Roman" w:hAnsi="Times New Roman"/>
          <w:i/>
          <w:color w:val="000000"/>
          <w:sz w:val="24"/>
          <w:szCs w:val="24"/>
          <w:lang w:eastAsia="fr-FR"/>
        </w:rPr>
        <w:t>aiblesse de la gouvernance du secteur (insuffisance et mauvaise gestion des ressources financières, prolifération d’établissements privés non conformes aux normes) ; inexistence d’une carte scolaire adaptée</w:t>
      </w:r>
      <w:r w:rsidRPr="00475744">
        <w:rPr>
          <w:rFonts w:ascii="Times New Roman" w:eastAsia="Times New Roman" w:hAnsi="Times New Roman"/>
          <w:color w:val="000000"/>
          <w:sz w:val="24"/>
          <w:szCs w:val="24"/>
          <w:lang w:eastAsia="fr-FR"/>
        </w:rPr>
        <w:t>" : le programme pourrait renforcer son acti</w:t>
      </w:r>
      <w:r w:rsidR="00FB42E6">
        <w:rPr>
          <w:rFonts w:ascii="Times New Roman" w:eastAsia="Times New Roman" w:hAnsi="Times New Roman"/>
          <w:color w:val="000000"/>
          <w:sz w:val="24"/>
          <w:szCs w:val="24"/>
          <w:lang w:eastAsia="fr-FR"/>
        </w:rPr>
        <w:t>on stratégique dans le cadre d</w:t>
      </w:r>
      <w:r w:rsidR="00FF485C">
        <w:rPr>
          <w:rFonts w:ascii="Times New Roman" w:eastAsia="Times New Roman" w:hAnsi="Times New Roman"/>
          <w:color w:val="000000"/>
          <w:sz w:val="24"/>
          <w:szCs w:val="24"/>
          <w:lang w:eastAsia="fr-FR"/>
        </w:rPr>
        <w:t>u</w:t>
      </w:r>
      <w:r w:rsidR="00FB42E6" w:rsidRPr="00475744">
        <w:rPr>
          <w:rFonts w:ascii="Times New Roman" w:eastAsia="Times New Roman" w:hAnsi="Times New Roman"/>
          <w:color w:val="000000"/>
          <w:sz w:val="24"/>
          <w:szCs w:val="24"/>
          <w:lang w:eastAsia="fr-FR"/>
        </w:rPr>
        <w:t xml:space="preserve"> développement</w:t>
      </w:r>
      <w:r w:rsidRPr="00475744">
        <w:rPr>
          <w:rFonts w:ascii="Times New Roman" w:eastAsia="Times New Roman" w:hAnsi="Times New Roman"/>
          <w:color w:val="000000"/>
          <w:sz w:val="24"/>
          <w:szCs w:val="24"/>
          <w:lang w:eastAsia="fr-FR"/>
        </w:rPr>
        <w:t xml:space="preserve"> de</w:t>
      </w:r>
      <w:r w:rsidR="00FF485C">
        <w:rPr>
          <w:rFonts w:ascii="Times New Roman" w:eastAsia="Times New Roman" w:hAnsi="Times New Roman"/>
          <w:color w:val="000000"/>
          <w:sz w:val="24"/>
          <w:szCs w:val="24"/>
          <w:lang w:eastAsia="fr-FR"/>
        </w:rPr>
        <w:t>s</w:t>
      </w:r>
      <w:r w:rsidRPr="00475744">
        <w:rPr>
          <w:rFonts w:ascii="Times New Roman" w:eastAsia="Times New Roman" w:hAnsi="Times New Roman"/>
          <w:color w:val="000000"/>
          <w:sz w:val="24"/>
          <w:szCs w:val="24"/>
          <w:lang w:eastAsia="fr-FR"/>
        </w:rPr>
        <w:t xml:space="preserve"> ressources techniques de gestion du secteur, en complément à son action humanitaire de terrain, et dans le cadre de la transition de l’humanitaire vers le développement.</w:t>
      </w:r>
    </w:p>
    <w:p w14:paraId="604B5154" w14:textId="77777777" w:rsidR="00475744" w:rsidRPr="00475744" w:rsidRDefault="00475744" w:rsidP="0089432A">
      <w:pPr>
        <w:numPr>
          <w:ilvl w:val="0"/>
          <w:numId w:val="25"/>
        </w:numPr>
        <w:spacing w:after="0" w:line="240" w:lineRule="auto"/>
        <w:jc w:val="both"/>
        <w:rPr>
          <w:rFonts w:ascii="Times New Roman" w:eastAsia="Times New Roman" w:hAnsi="Times New Roman"/>
          <w:color w:val="000000"/>
          <w:sz w:val="24"/>
          <w:szCs w:val="24"/>
          <w:lang w:eastAsia="fr-FR"/>
        </w:rPr>
      </w:pPr>
      <w:r w:rsidRPr="00475744">
        <w:rPr>
          <w:rFonts w:ascii="Times New Roman" w:eastAsia="Times New Roman" w:hAnsi="Times New Roman"/>
          <w:color w:val="000000"/>
          <w:sz w:val="24"/>
          <w:szCs w:val="24"/>
          <w:lang w:eastAsia="fr-FR"/>
        </w:rPr>
        <w:t>Eléments de diagnostic du secteur Santé : "</w:t>
      </w:r>
      <w:r w:rsidRPr="00475744">
        <w:rPr>
          <w:rFonts w:ascii="Times New Roman" w:eastAsia="Times New Roman" w:hAnsi="Times New Roman"/>
          <w:i/>
          <w:color w:val="000000"/>
          <w:sz w:val="24"/>
          <w:szCs w:val="24"/>
          <w:lang w:eastAsia="fr-FR"/>
        </w:rPr>
        <w:t>Il s’agissait de transférer aux collectivités/communautés les pouvoirs de décision et de gestion relatifs à la résolution des problèmes locaux de santé et de développer un système de financement communautaire des dépenses de santé complémentaire au financement public. Dans ce cadre, il s’agira de renforcer la dynamique communautaire positive qui s’est instaurée</w:t>
      </w:r>
      <w:r w:rsidRPr="00475744">
        <w:rPr>
          <w:rFonts w:ascii="Times New Roman" w:eastAsia="Times New Roman" w:hAnsi="Times New Roman"/>
          <w:color w:val="000000"/>
          <w:sz w:val="24"/>
          <w:szCs w:val="24"/>
          <w:lang w:eastAsia="fr-FR"/>
        </w:rPr>
        <w:t xml:space="preserve">." : toujours dans le cadre de la transition de l’humanitaire vers le </w:t>
      </w:r>
      <w:r w:rsidRPr="00475744">
        <w:rPr>
          <w:rFonts w:ascii="Times New Roman" w:eastAsia="Times New Roman" w:hAnsi="Times New Roman"/>
          <w:color w:val="000000"/>
          <w:sz w:val="24"/>
          <w:szCs w:val="24"/>
          <w:lang w:eastAsia="fr-FR"/>
        </w:rPr>
        <w:lastRenderedPageBreak/>
        <w:t>développement, le programme pourrait mieux susciter et accompagner des dynamiques d’ancrage institutionnel local et communautaire de l’offre de services de santé.</w:t>
      </w:r>
    </w:p>
    <w:p w14:paraId="604B5155" w14:textId="77777777" w:rsidR="00475744" w:rsidRPr="00475744" w:rsidRDefault="00475744" w:rsidP="005B22B2">
      <w:pPr>
        <w:spacing w:after="0" w:line="240" w:lineRule="auto"/>
        <w:jc w:val="both"/>
        <w:rPr>
          <w:rFonts w:ascii="Times New Roman" w:eastAsia="Times New Roman" w:hAnsi="Times New Roman"/>
          <w:color w:val="000000"/>
          <w:sz w:val="24"/>
          <w:szCs w:val="24"/>
          <w:lang w:eastAsia="fr-FR"/>
        </w:rPr>
      </w:pPr>
      <w:r w:rsidRPr="00475744">
        <w:rPr>
          <w:rFonts w:ascii="Times New Roman" w:eastAsia="Times New Roman" w:hAnsi="Times New Roman"/>
          <w:color w:val="000000"/>
          <w:sz w:val="24"/>
          <w:szCs w:val="24"/>
          <w:lang w:eastAsia="fr-FR"/>
        </w:rPr>
        <w:t xml:space="preserve">  </w:t>
      </w:r>
    </w:p>
    <w:p w14:paraId="604B5156" w14:textId="77777777" w:rsidR="00475744" w:rsidRPr="00FB42E6" w:rsidRDefault="00475744" w:rsidP="0089432A">
      <w:pPr>
        <w:pStyle w:val="Paragraphedeliste"/>
        <w:numPr>
          <w:ilvl w:val="0"/>
          <w:numId w:val="45"/>
        </w:numPr>
        <w:spacing w:after="0" w:line="240" w:lineRule="auto"/>
        <w:jc w:val="both"/>
        <w:rPr>
          <w:rFonts w:ascii="Times New Roman" w:eastAsia="Times New Roman" w:hAnsi="Times New Roman"/>
          <w:color w:val="000000"/>
          <w:sz w:val="24"/>
          <w:szCs w:val="24"/>
          <w:lang w:eastAsia="fr-FR"/>
        </w:rPr>
      </w:pPr>
      <w:r w:rsidRPr="00FB42E6">
        <w:rPr>
          <w:rFonts w:ascii="Times New Roman" w:eastAsia="Times New Roman" w:hAnsi="Times New Roman"/>
          <w:b/>
          <w:color w:val="000000"/>
          <w:sz w:val="24"/>
          <w:szCs w:val="24"/>
          <w:lang w:eastAsia="fr-FR"/>
        </w:rPr>
        <w:t>Gouvernance</w:t>
      </w:r>
    </w:p>
    <w:p w14:paraId="604B5157" w14:textId="77777777" w:rsidR="00475744" w:rsidRPr="00475744" w:rsidRDefault="00475744" w:rsidP="005B22B2">
      <w:pPr>
        <w:spacing w:after="0" w:line="240" w:lineRule="auto"/>
        <w:jc w:val="both"/>
        <w:rPr>
          <w:rFonts w:ascii="Times New Roman" w:eastAsia="Times New Roman" w:hAnsi="Times New Roman"/>
          <w:color w:val="000000"/>
          <w:sz w:val="24"/>
          <w:szCs w:val="24"/>
          <w:lang w:eastAsia="fr-FR"/>
        </w:rPr>
      </w:pPr>
    </w:p>
    <w:p w14:paraId="604B5158" w14:textId="77777777" w:rsidR="00475744" w:rsidRPr="004C1CD9" w:rsidRDefault="00475744" w:rsidP="0089432A">
      <w:pPr>
        <w:numPr>
          <w:ilvl w:val="0"/>
          <w:numId w:val="26"/>
        </w:numPr>
        <w:spacing w:after="0" w:line="240" w:lineRule="auto"/>
        <w:jc w:val="both"/>
        <w:rPr>
          <w:rFonts w:ascii="Times New Roman" w:eastAsia="Times New Roman" w:hAnsi="Times New Roman"/>
          <w:color w:val="000000"/>
          <w:sz w:val="24"/>
          <w:szCs w:val="24"/>
          <w:lang w:eastAsia="fr-FR"/>
        </w:rPr>
      </w:pPr>
      <w:r w:rsidRPr="00475744">
        <w:rPr>
          <w:rFonts w:ascii="Times New Roman" w:eastAsia="Times New Roman" w:hAnsi="Times New Roman"/>
          <w:bCs/>
          <w:color w:val="000000"/>
          <w:sz w:val="24"/>
          <w:szCs w:val="24"/>
          <w:lang w:eastAsia="fr-FR"/>
        </w:rPr>
        <w:t>Elément de diagnostic et d’orientation : "</w:t>
      </w:r>
      <w:r w:rsidRPr="00475744">
        <w:rPr>
          <w:rFonts w:ascii="Times New Roman" w:eastAsia="Times New Roman" w:hAnsi="Times New Roman"/>
          <w:bCs/>
          <w:i/>
          <w:color w:val="000000"/>
          <w:sz w:val="24"/>
          <w:szCs w:val="24"/>
          <w:lang w:eastAsia="fr-FR"/>
        </w:rPr>
        <w:t>Agir efficacement et rapidement pour la Paix et la Réconciliation Nationale</w:t>
      </w:r>
      <w:r w:rsidRPr="00475744">
        <w:rPr>
          <w:rFonts w:ascii="Times New Roman" w:eastAsia="Times New Roman" w:hAnsi="Times New Roman"/>
          <w:bCs/>
          <w:color w:val="000000"/>
          <w:sz w:val="24"/>
          <w:szCs w:val="24"/>
          <w:lang w:eastAsia="fr-FR"/>
        </w:rPr>
        <w:t xml:space="preserve">", en rapport avec </w:t>
      </w:r>
      <w:r w:rsidRPr="00475744">
        <w:rPr>
          <w:rFonts w:ascii="Times New Roman" w:eastAsia="Times New Roman" w:hAnsi="Times New Roman"/>
          <w:color w:val="000000"/>
          <w:sz w:val="24"/>
          <w:szCs w:val="24"/>
          <w:lang w:eastAsia="fr-FR"/>
        </w:rPr>
        <w:t>l’ODD 16 sur priorisé par le pays : "</w:t>
      </w:r>
      <w:r w:rsidRPr="00475744">
        <w:rPr>
          <w:rFonts w:ascii="Times New Roman" w:eastAsia="Times New Roman" w:hAnsi="Times New Roman"/>
          <w:i/>
          <w:color w:val="000000"/>
          <w:sz w:val="24"/>
          <w:szCs w:val="24"/>
          <w:lang w:eastAsia="fr-FR"/>
        </w:rPr>
        <w:t xml:space="preserve">Promouvoir l’avènement de sociétés pacifiques et ouvertes aux fins du développement durable, assurer l’accès de tous à la justice et mettre en place, à tous </w:t>
      </w:r>
      <w:r w:rsidRPr="004C1CD9">
        <w:rPr>
          <w:rFonts w:ascii="Times New Roman" w:eastAsia="Times New Roman" w:hAnsi="Times New Roman"/>
          <w:i/>
          <w:color w:val="000000"/>
          <w:sz w:val="24"/>
          <w:szCs w:val="24"/>
          <w:lang w:eastAsia="fr-FR"/>
        </w:rPr>
        <w:t>les niveaux, des institutions efficaces, responsables et ouvertes</w:t>
      </w:r>
      <w:r w:rsidRPr="004C1CD9">
        <w:rPr>
          <w:rFonts w:ascii="Times New Roman" w:eastAsia="Times New Roman" w:hAnsi="Times New Roman"/>
          <w:color w:val="000000"/>
          <w:sz w:val="24"/>
          <w:szCs w:val="24"/>
          <w:lang w:eastAsia="fr-FR"/>
        </w:rPr>
        <w:t> » : L’enjeu pour le programme peut être dans les deux années à venir, de voir comment faire avancer les composantes clés de l’Accord de Paix : la démobilisation et le désarmement, tout en soutenant les efforts de neutralisation des groupes terroristes dans le cadre sans doute sous-régional du G5 Sahel.</w:t>
      </w:r>
    </w:p>
    <w:p w14:paraId="604B5159" w14:textId="77777777" w:rsidR="00475744" w:rsidRPr="004C1CD9" w:rsidRDefault="00475744" w:rsidP="0089432A">
      <w:pPr>
        <w:numPr>
          <w:ilvl w:val="0"/>
          <w:numId w:val="26"/>
        </w:numPr>
        <w:spacing w:after="0" w:line="240" w:lineRule="auto"/>
        <w:jc w:val="both"/>
        <w:rPr>
          <w:rFonts w:ascii="Times New Roman" w:eastAsia="Times New Roman" w:hAnsi="Times New Roman"/>
          <w:color w:val="000000"/>
          <w:sz w:val="24"/>
          <w:szCs w:val="24"/>
          <w:lang w:eastAsia="fr-FR"/>
        </w:rPr>
      </w:pPr>
      <w:r w:rsidRPr="004C1CD9">
        <w:rPr>
          <w:rFonts w:ascii="Times New Roman" w:eastAsia="Times New Roman" w:hAnsi="Times New Roman"/>
          <w:color w:val="000000"/>
          <w:sz w:val="24"/>
          <w:szCs w:val="24"/>
          <w:lang w:eastAsia="fr-FR"/>
        </w:rPr>
        <w:t xml:space="preserve">Eléments de diagnostic du CREDD : "(…) </w:t>
      </w:r>
      <w:r w:rsidRPr="00FF485C">
        <w:rPr>
          <w:rFonts w:ascii="Times New Roman" w:eastAsia="Times New Roman" w:hAnsi="Times New Roman"/>
          <w:i/>
          <w:color w:val="000000"/>
          <w:sz w:val="24"/>
          <w:szCs w:val="24"/>
          <w:lang w:eastAsia="fr-FR"/>
        </w:rPr>
        <w:t>une gouvernance inclusive du territoire</w:t>
      </w:r>
      <w:r w:rsidRPr="004C1CD9">
        <w:rPr>
          <w:rFonts w:ascii="Times New Roman" w:eastAsia="Times New Roman" w:hAnsi="Times New Roman"/>
          <w:i/>
          <w:color w:val="000000"/>
          <w:sz w:val="24"/>
          <w:szCs w:val="24"/>
          <w:lang w:eastAsia="fr-FR"/>
        </w:rPr>
        <w:t xml:space="preserve"> pour conforter la légitimité des collectivités territoriales, une meilleure prise en compte des citoyens, des organisations de la société civile dans la gestion des affaires publiques</w:t>
      </w:r>
      <w:r w:rsidRPr="004C1CD9">
        <w:rPr>
          <w:rFonts w:ascii="Times New Roman" w:eastAsia="Times New Roman" w:hAnsi="Times New Roman"/>
          <w:color w:val="000000"/>
          <w:sz w:val="24"/>
          <w:szCs w:val="24"/>
          <w:lang w:eastAsia="fr-FR"/>
        </w:rPr>
        <w:t xml:space="preserve">" ; "(…) </w:t>
      </w:r>
      <w:r w:rsidRPr="004C1CD9">
        <w:rPr>
          <w:rFonts w:ascii="Times New Roman" w:eastAsia="Times New Roman" w:hAnsi="Times New Roman"/>
          <w:i/>
          <w:color w:val="000000"/>
          <w:sz w:val="24"/>
          <w:szCs w:val="24"/>
          <w:lang w:eastAsia="fr-FR"/>
        </w:rPr>
        <w:t>l’adoption et la mise en œuvre de la Politique Nationale de la GAR ; l’amélioration des mécanismes de transparence et de redevabilité auprès du citoyen concernant les politiques et programmes publics</w:t>
      </w:r>
      <w:r w:rsidRPr="004C1CD9">
        <w:rPr>
          <w:rFonts w:ascii="Times New Roman" w:eastAsia="Times New Roman" w:hAnsi="Times New Roman"/>
          <w:color w:val="000000"/>
          <w:sz w:val="24"/>
          <w:szCs w:val="24"/>
          <w:lang w:eastAsia="fr-FR"/>
        </w:rPr>
        <w:t xml:space="preserve">." : le programme pourrait accompagner cet objectif par une relance </w:t>
      </w:r>
      <w:r w:rsidR="00FF485C">
        <w:rPr>
          <w:rFonts w:ascii="Times New Roman" w:eastAsia="Times New Roman" w:hAnsi="Times New Roman"/>
          <w:color w:val="000000"/>
          <w:sz w:val="24"/>
          <w:szCs w:val="24"/>
          <w:lang w:eastAsia="fr-FR"/>
        </w:rPr>
        <w:t>des</w:t>
      </w:r>
      <w:r w:rsidRPr="004C1CD9">
        <w:rPr>
          <w:rFonts w:ascii="Times New Roman" w:eastAsia="Times New Roman" w:hAnsi="Times New Roman"/>
          <w:color w:val="000000"/>
          <w:sz w:val="24"/>
          <w:szCs w:val="24"/>
          <w:lang w:eastAsia="fr-FR"/>
        </w:rPr>
        <w:t xml:space="preserve"> appuis stratégiques </w:t>
      </w:r>
      <w:r w:rsidR="00FF485C">
        <w:rPr>
          <w:rFonts w:ascii="Times New Roman" w:eastAsia="Times New Roman" w:hAnsi="Times New Roman"/>
          <w:color w:val="000000"/>
          <w:sz w:val="24"/>
          <w:szCs w:val="24"/>
          <w:lang w:eastAsia="fr-FR"/>
        </w:rPr>
        <w:t>aux</w:t>
      </w:r>
      <w:r w:rsidRPr="004C1CD9">
        <w:rPr>
          <w:rFonts w:ascii="Times New Roman" w:eastAsia="Times New Roman" w:hAnsi="Times New Roman"/>
          <w:color w:val="000000"/>
          <w:sz w:val="24"/>
          <w:szCs w:val="24"/>
          <w:lang w:eastAsia="fr-FR"/>
        </w:rPr>
        <w:t xml:space="preserve"> organes de contrôle comme la Section des Comptes du Conseil Constitutionnel, mais aussi </w:t>
      </w:r>
      <w:r w:rsidR="00FF485C">
        <w:rPr>
          <w:rFonts w:ascii="Times New Roman" w:eastAsia="Times New Roman" w:hAnsi="Times New Roman"/>
          <w:color w:val="000000"/>
          <w:sz w:val="24"/>
          <w:szCs w:val="24"/>
          <w:lang w:eastAsia="fr-FR"/>
        </w:rPr>
        <w:t>à</w:t>
      </w:r>
      <w:r w:rsidRPr="004C1CD9">
        <w:rPr>
          <w:rFonts w:ascii="Times New Roman" w:eastAsia="Times New Roman" w:hAnsi="Times New Roman"/>
          <w:color w:val="000000"/>
          <w:sz w:val="24"/>
          <w:szCs w:val="24"/>
          <w:lang w:eastAsia="fr-FR"/>
        </w:rPr>
        <w:t xml:space="preserve"> la société civile </w:t>
      </w:r>
      <w:r w:rsidR="00FF485C">
        <w:rPr>
          <w:rFonts w:ascii="Times New Roman" w:eastAsia="Times New Roman" w:hAnsi="Times New Roman"/>
          <w:color w:val="000000"/>
          <w:sz w:val="24"/>
          <w:szCs w:val="24"/>
          <w:lang w:eastAsia="fr-FR"/>
        </w:rPr>
        <w:t xml:space="preserve">en soutien à des actions de </w:t>
      </w:r>
      <w:r w:rsidRPr="004C1CD9">
        <w:rPr>
          <w:rFonts w:ascii="Times New Roman" w:eastAsia="Times New Roman" w:hAnsi="Times New Roman"/>
          <w:color w:val="000000"/>
          <w:sz w:val="24"/>
          <w:szCs w:val="24"/>
          <w:lang w:eastAsia="fr-FR"/>
        </w:rPr>
        <w:t>contrôle citoyen de l’action publique.</w:t>
      </w:r>
    </w:p>
    <w:p w14:paraId="604B515A" w14:textId="77777777" w:rsidR="00475744" w:rsidRPr="004C1CD9" w:rsidRDefault="00475744" w:rsidP="0089432A">
      <w:pPr>
        <w:numPr>
          <w:ilvl w:val="0"/>
          <w:numId w:val="26"/>
        </w:numPr>
        <w:spacing w:after="0" w:line="240" w:lineRule="auto"/>
        <w:jc w:val="both"/>
        <w:rPr>
          <w:rFonts w:ascii="Times New Roman" w:eastAsia="Times New Roman" w:hAnsi="Times New Roman"/>
          <w:color w:val="000000"/>
          <w:sz w:val="24"/>
          <w:szCs w:val="24"/>
          <w:lang w:eastAsia="fr-FR"/>
        </w:rPr>
      </w:pPr>
      <w:r w:rsidRPr="004C1CD9">
        <w:rPr>
          <w:rFonts w:ascii="Times New Roman" w:eastAsia="Times New Roman" w:hAnsi="Times New Roman"/>
          <w:color w:val="000000"/>
          <w:sz w:val="24"/>
          <w:szCs w:val="24"/>
          <w:lang w:eastAsia="fr-FR"/>
        </w:rPr>
        <w:t>Autre élément de diagnostic de la gouvernance nationale : "</w:t>
      </w:r>
      <w:r w:rsidRPr="004C1CD9">
        <w:rPr>
          <w:rFonts w:ascii="Times New Roman" w:eastAsia="Times New Roman" w:hAnsi="Times New Roman"/>
          <w:i/>
          <w:color w:val="000000"/>
          <w:sz w:val="24"/>
          <w:szCs w:val="24"/>
          <w:lang w:eastAsia="fr-FR"/>
        </w:rPr>
        <w:t>En matière de gestion des finances publiques, le Gouvernement devra accroitre l’efficacité de la politique fiscale, renforcer la qualité du contrôle interne ex post et du contrôle externe, mettre effectivement en application la loi contre l’enrichissement illicite, et la politique nationale de la transparence</w:t>
      </w:r>
      <w:r w:rsidRPr="004C1CD9">
        <w:rPr>
          <w:rFonts w:ascii="Times New Roman" w:eastAsia="Times New Roman" w:hAnsi="Times New Roman"/>
          <w:color w:val="000000"/>
          <w:sz w:val="24"/>
          <w:szCs w:val="24"/>
          <w:lang w:eastAsia="fr-FR"/>
        </w:rPr>
        <w:t xml:space="preserve">." : il s’agirait pour le programme de voir en quoi le gouvernement pourrait être accompagné dans la mise en œuvre de ces différents outils et cadres de gouvernance, bien que l’on puisse présumer que la période électorale </w:t>
      </w:r>
      <w:r w:rsidR="00FF485C">
        <w:rPr>
          <w:rFonts w:ascii="Times New Roman" w:eastAsia="Times New Roman" w:hAnsi="Times New Roman"/>
          <w:color w:val="000000"/>
          <w:sz w:val="24"/>
          <w:szCs w:val="24"/>
          <w:lang w:eastAsia="fr-FR"/>
        </w:rPr>
        <w:t xml:space="preserve">imminente </w:t>
      </w:r>
      <w:r w:rsidRPr="004C1CD9">
        <w:rPr>
          <w:rFonts w:ascii="Times New Roman" w:eastAsia="Times New Roman" w:hAnsi="Times New Roman"/>
          <w:color w:val="000000"/>
          <w:sz w:val="24"/>
          <w:szCs w:val="24"/>
          <w:lang w:eastAsia="fr-FR"/>
        </w:rPr>
        <w:t xml:space="preserve"> ne </w:t>
      </w:r>
      <w:r w:rsidR="00FF485C">
        <w:rPr>
          <w:rFonts w:ascii="Times New Roman" w:eastAsia="Times New Roman" w:hAnsi="Times New Roman"/>
          <w:color w:val="000000"/>
          <w:sz w:val="24"/>
          <w:szCs w:val="24"/>
          <w:lang w:eastAsia="fr-FR"/>
        </w:rPr>
        <w:t xml:space="preserve">serait </w:t>
      </w:r>
      <w:r w:rsidRPr="004C1CD9">
        <w:rPr>
          <w:rFonts w:ascii="Times New Roman" w:eastAsia="Times New Roman" w:hAnsi="Times New Roman"/>
          <w:color w:val="000000"/>
          <w:sz w:val="24"/>
          <w:szCs w:val="24"/>
          <w:lang w:eastAsia="fr-FR"/>
        </w:rPr>
        <w:t xml:space="preserve">pas </w:t>
      </w:r>
      <w:r w:rsidR="00FF485C">
        <w:rPr>
          <w:rFonts w:ascii="Times New Roman" w:eastAsia="Times New Roman" w:hAnsi="Times New Roman"/>
          <w:color w:val="000000"/>
          <w:sz w:val="24"/>
          <w:szCs w:val="24"/>
          <w:lang w:eastAsia="fr-FR"/>
        </w:rPr>
        <w:t>très</w:t>
      </w:r>
      <w:r w:rsidRPr="004C1CD9">
        <w:rPr>
          <w:rFonts w:ascii="Times New Roman" w:eastAsia="Times New Roman" w:hAnsi="Times New Roman"/>
          <w:color w:val="000000"/>
          <w:sz w:val="24"/>
          <w:szCs w:val="24"/>
          <w:lang w:eastAsia="fr-FR"/>
        </w:rPr>
        <w:t xml:space="preserve"> propice à des évolutions importantes en ces matières.</w:t>
      </w:r>
    </w:p>
    <w:p w14:paraId="604B515B" w14:textId="77777777" w:rsidR="00475744" w:rsidRPr="004C1CD9" w:rsidRDefault="00475744" w:rsidP="005B22B2">
      <w:pPr>
        <w:spacing w:after="0" w:line="240" w:lineRule="auto"/>
        <w:jc w:val="both"/>
        <w:rPr>
          <w:rFonts w:ascii="Times New Roman" w:hAnsi="Times New Roman"/>
          <w:sz w:val="24"/>
          <w:szCs w:val="24"/>
        </w:rPr>
      </w:pPr>
    </w:p>
    <w:p w14:paraId="604B515C" w14:textId="77777777" w:rsidR="00475744" w:rsidRPr="004C1CD9" w:rsidRDefault="00475744" w:rsidP="005B22B2">
      <w:pPr>
        <w:spacing w:after="0" w:line="240" w:lineRule="auto"/>
        <w:jc w:val="both"/>
        <w:rPr>
          <w:rFonts w:ascii="Times New Roman" w:hAnsi="Times New Roman"/>
          <w:sz w:val="24"/>
          <w:szCs w:val="24"/>
        </w:rPr>
      </w:pPr>
    </w:p>
    <w:p w14:paraId="604B515D" w14:textId="77777777" w:rsidR="00475744" w:rsidRPr="00475744" w:rsidRDefault="00AD443E" w:rsidP="005B22B2">
      <w:pPr>
        <w:spacing w:after="0" w:line="240" w:lineRule="auto"/>
        <w:jc w:val="both"/>
        <w:rPr>
          <w:rFonts w:ascii="Times New Roman" w:hAnsi="Times New Roman"/>
          <w:sz w:val="24"/>
          <w:szCs w:val="24"/>
        </w:rPr>
      </w:pPr>
      <w:r>
        <w:rPr>
          <w:rFonts w:ascii="Times New Roman" w:hAnsi="Times New Roman"/>
          <w:sz w:val="24"/>
          <w:szCs w:val="24"/>
        </w:rPr>
        <w:t>4</w:t>
      </w:r>
      <w:r w:rsidR="00C35441">
        <w:rPr>
          <w:rFonts w:ascii="Times New Roman" w:hAnsi="Times New Roman"/>
          <w:sz w:val="24"/>
          <w:szCs w:val="24"/>
        </w:rPr>
        <w:t>9</w:t>
      </w:r>
      <w:r w:rsidR="00475744" w:rsidRPr="004C1CD9">
        <w:rPr>
          <w:rFonts w:ascii="Times New Roman" w:hAnsi="Times New Roman"/>
          <w:sz w:val="24"/>
          <w:szCs w:val="24"/>
        </w:rPr>
        <w:t>.</w:t>
      </w:r>
      <w:r w:rsidR="00475744" w:rsidRPr="004C1CD9">
        <w:rPr>
          <w:rFonts w:ascii="Times New Roman" w:hAnsi="Times New Roman"/>
          <w:sz w:val="24"/>
          <w:szCs w:val="24"/>
        </w:rPr>
        <w:tab/>
        <w:t>D’autres moules stratégiques devront également être interrogés pour déterminer avec quels contenus nouveaux ils devraient féconder</w:t>
      </w:r>
      <w:r w:rsidR="00FF485C">
        <w:rPr>
          <w:rFonts w:ascii="Times New Roman" w:hAnsi="Times New Roman"/>
          <w:sz w:val="24"/>
          <w:szCs w:val="24"/>
        </w:rPr>
        <w:t>,</w:t>
      </w:r>
      <w:r w:rsidR="00475744" w:rsidRPr="004C1CD9">
        <w:rPr>
          <w:rFonts w:ascii="Times New Roman" w:hAnsi="Times New Roman"/>
          <w:sz w:val="24"/>
          <w:szCs w:val="24"/>
        </w:rPr>
        <w:t xml:space="preserve"> voire réorienter</w:t>
      </w:r>
      <w:r w:rsidR="00FF485C">
        <w:rPr>
          <w:rFonts w:ascii="Times New Roman" w:hAnsi="Times New Roman"/>
          <w:sz w:val="24"/>
          <w:szCs w:val="24"/>
        </w:rPr>
        <w:t>,</w:t>
      </w:r>
      <w:r w:rsidR="00475744" w:rsidRPr="004C1CD9">
        <w:rPr>
          <w:rFonts w:ascii="Times New Roman" w:hAnsi="Times New Roman"/>
          <w:sz w:val="24"/>
          <w:szCs w:val="24"/>
        </w:rPr>
        <w:t xml:space="preserve"> les priorités sur lesquelles l’UNDAF</w:t>
      </w:r>
      <w:r w:rsidR="005A3546" w:rsidRPr="005A3546">
        <w:rPr>
          <w:rFonts w:ascii="Times New Roman" w:hAnsi="Times New Roman"/>
          <w:sz w:val="24"/>
          <w:szCs w:val="24"/>
          <w:vertAlign w:val="superscript"/>
        </w:rPr>
        <w:t>+</w:t>
      </w:r>
      <w:r w:rsidR="00475744" w:rsidRPr="004C1CD9">
        <w:rPr>
          <w:rFonts w:ascii="Times New Roman" w:hAnsi="Times New Roman"/>
          <w:sz w:val="24"/>
          <w:szCs w:val="24"/>
        </w:rPr>
        <w:t xml:space="preserve"> est appelé à se focaliser sur la période 2018-2019 qui lui reste à vivre. Sont à considérer à cet égard</w:t>
      </w:r>
      <w:r w:rsidR="00FF485C">
        <w:rPr>
          <w:rFonts w:ascii="Times New Roman" w:hAnsi="Times New Roman"/>
          <w:sz w:val="24"/>
          <w:szCs w:val="24"/>
        </w:rPr>
        <w:t>,</w:t>
      </w:r>
      <w:r w:rsidR="00475744" w:rsidRPr="004C1CD9">
        <w:rPr>
          <w:rFonts w:ascii="Times New Roman" w:hAnsi="Times New Roman"/>
          <w:sz w:val="24"/>
          <w:szCs w:val="24"/>
        </w:rPr>
        <w:t xml:space="preserve"> au plan interne</w:t>
      </w:r>
      <w:r w:rsidR="00FF485C">
        <w:rPr>
          <w:rFonts w:ascii="Times New Roman" w:hAnsi="Times New Roman"/>
          <w:sz w:val="24"/>
          <w:szCs w:val="24"/>
        </w:rPr>
        <w:t>,</w:t>
      </w:r>
      <w:r w:rsidR="00475744" w:rsidRPr="004C1CD9">
        <w:rPr>
          <w:rFonts w:ascii="Times New Roman" w:hAnsi="Times New Roman"/>
          <w:sz w:val="24"/>
          <w:szCs w:val="24"/>
        </w:rPr>
        <w:t xml:space="preserve"> l’Accord de Paix et toutes les modalités d’accompagnement de sa mise en œuvre. Au plan régional et international</w:t>
      </w:r>
      <w:r w:rsidR="00FF485C">
        <w:rPr>
          <w:rFonts w:ascii="Times New Roman" w:hAnsi="Times New Roman"/>
          <w:sz w:val="24"/>
          <w:szCs w:val="24"/>
        </w:rPr>
        <w:t>,</w:t>
      </w:r>
      <w:r w:rsidR="00475744" w:rsidRPr="004C1CD9">
        <w:rPr>
          <w:rFonts w:ascii="Times New Roman" w:hAnsi="Times New Roman"/>
          <w:sz w:val="24"/>
          <w:szCs w:val="24"/>
        </w:rPr>
        <w:t xml:space="preserve"> l’amélioration de la pertinence stratégique du programme va se tourner vers quelques instruments clés : le cadre de mise en œuvre de l’initiative G5 Sahel, ainsi que la Stratégie des Nations Unies pour le Sahel, la Stratégie de sortie pour la Mission intégrée et la Réforme UN en</w:t>
      </w:r>
      <w:r w:rsidR="00FF485C">
        <w:rPr>
          <w:rFonts w:ascii="Times New Roman" w:hAnsi="Times New Roman"/>
          <w:sz w:val="24"/>
          <w:szCs w:val="24"/>
        </w:rPr>
        <w:t xml:space="preserve"> vue</w:t>
      </w:r>
      <w:r w:rsidR="00475744" w:rsidRPr="004C1CD9">
        <w:rPr>
          <w:rFonts w:ascii="Times New Roman" w:hAnsi="Times New Roman"/>
          <w:sz w:val="24"/>
          <w:szCs w:val="24"/>
        </w:rPr>
        <w:t>.</w:t>
      </w:r>
    </w:p>
    <w:p w14:paraId="604B515E" w14:textId="77777777" w:rsidR="00475744" w:rsidRPr="00475744" w:rsidRDefault="00475744" w:rsidP="005B22B2">
      <w:pPr>
        <w:spacing w:after="0" w:line="240" w:lineRule="auto"/>
        <w:jc w:val="both"/>
        <w:rPr>
          <w:rFonts w:ascii="Times New Roman" w:hAnsi="Times New Roman"/>
          <w:sz w:val="24"/>
          <w:szCs w:val="24"/>
        </w:rPr>
      </w:pPr>
    </w:p>
    <w:p w14:paraId="604B515F" w14:textId="77777777" w:rsidR="00475744" w:rsidRPr="00475744" w:rsidRDefault="00475744" w:rsidP="005B22B2">
      <w:pPr>
        <w:spacing w:after="0" w:line="240" w:lineRule="auto"/>
        <w:ind w:left="708"/>
        <w:jc w:val="both"/>
        <w:rPr>
          <w:rFonts w:ascii="Times New Roman" w:hAnsi="Times New Roman"/>
          <w:b/>
          <w:sz w:val="24"/>
          <w:szCs w:val="24"/>
        </w:rPr>
      </w:pPr>
      <w:r w:rsidRPr="00475744">
        <w:rPr>
          <w:rFonts w:ascii="Times New Roman" w:hAnsi="Times New Roman"/>
          <w:b/>
          <w:sz w:val="24"/>
          <w:szCs w:val="24"/>
        </w:rPr>
        <w:t>Réforme du système du Coordinateur Résident</w:t>
      </w:r>
    </w:p>
    <w:p w14:paraId="604B5160" w14:textId="77777777" w:rsidR="00475744" w:rsidRPr="00475744" w:rsidRDefault="00475744" w:rsidP="005B22B2">
      <w:pPr>
        <w:spacing w:after="0" w:line="240" w:lineRule="auto"/>
        <w:jc w:val="both"/>
        <w:rPr>
          <w:rFonts w:ascii="Times New Roman" w:hAnsi="Times New Roman"/>
          <w:sz w:val="24"/>
          <w:szCs w:val="24"/>
        </w:rPr>
      </w:pPr>
    </w:p>
    <w:p w14:paraId="604B5161" w14:textId="77777777" w:rsidR="00475744" w:rsidRPr="00475744" w:rsidRDefault="00C35441" w:rsidP="005B22B2">
      <w:pPr>
        <w:spacing w:after="0" w:line="240" w:lineRule="auto"/>
        <w:jc w:val="both"/>
        <w:rPr>
          <w:rFonts w:ascii="Times New Roman" w:hAnsi="Times New Roman"/>
          <w:sz w:val="24"/>
          <w:szCs w:val="24"/>
        </w:rPr>
      </w:pPr>
      <w:r>
        <w:rPr>
          <w:rFonts w:ascii="Times New Roman" w:hAnsi="Times New Roman"/>
          <w:sz w:val="24"/>
          <w:szCs w:val="24"/>
        </w:rPr>
        <w:t>50</w:t>
      </w:r>
      <w:r w:rsidR="00AD443E">
        <w:rPr>
          <w:rFonts w:ascii="Times New Roman" w:hAnsi="Times New Roman"/>
          <w:sz w:val="24"/>
          <w:szCs w:val="24"/>
        </w:rPr>
        <w:t>.</w:t>
      </w:r>
      <w:r w:rsidR="00FF485C">
        <w:rPr>
          <w:rFonts w:ascii="Times New Roman" w:hAnsi="Times New Roman"/>
          <w:sz w:val="24"/>
          <w:szCs w:val="24"/>
        </w:rPr>
        <w:tab/>
        <w:t>Le renforcement attendu</w:t>
      </w:r>
      <w:r w:rsidR="00475744" w:rsidRPr="00475744">
        <w:rPr>
          <w:rFonts w:ascii="Times New Roman" w:hAnsi="Times New Roman"/>
          <w:sz w:val="24"/>
          <w:szCs w:val="24"/>
        </w:rPr>
        <w:t xml:space="preserve"> de la fonction de coordination devrait contribuer à créer un environnement collaboratif meilleur pour le renouvellement du souffle du programme. A cet égard, l</w:t>
      </w:r>
      <w:r w:rsidR="00FF485C">
        <w:rPr>
          <w:rFonts w:ascii="Times New Roman" w:hAnsi="Times New Roman"/>
          <w:sz w:val="24"/>
          <w:szCs w:val="24"/>
        </w:rPr>
        <w:t>a consolidation</w:t>
      </w:r>
      <w:r w:rsidR="00475744" w:rsidRPr="00475744">
        <w:rPr>
          <w:rFonts w:ascii="Times New Roman" w:hAnsi="Times New Roman"/>
          <w:sz w:val="24"/>
          <w:szCs w:val="24"/>
        </w:rPr>
        <w:t xml:space="preserve"> de l’autorité du Coordonnateur </w:t>
      </w:r>
      <w:r w:rsidR="00EC4176">
        <w:rPr>
          <w:rFonts w:ascii="Times New Roman" w:hAnsi="Times New Roman"/>
          <w:sz w:val="24"/>
          <w:szCs w:val="24"/>
        </w:rPr>
        <w:t xml:space="preserve">Résident </w:t>
      </w:r>
      <w:r w:rsidR="00475744" w:rsidRPr="00475744">
        <w:rPr>
          <w:rFonts w:ascii="Times New Roman" w:hAnsi="Times New Roman"/>
          <w:sz w:val="24"/>
          <w:szCs w:val="24"/>
        </w:rPr>
        <w:t xml:space="preserve">et de ses capacités institutionnelles et techniques devrait faciliter les arbitrages préalables aux réorientations </w:t>
      </w:r>
      <w:r w:rsidR="00EC4176">
        <w:rPr>
          <w:rFonts w:ascii="Times New Roman" w:hAnsi="Times New Roman"/>
          <w:sz w:val="24"/>
          <w:szCs w:val="24"/>
        </w:rPr>
        <w:t xml:space="preserve">et à la </w:t>
      </w:r>
      <w:r w:rsidR="00475744" w:rsidRPr="00475744">
        <w:rPr>
          <w:rFonts w:ascii="Times New Roman" w:hAnsi="Times New Roman"/>
          <w:sz w:val="24"/>
          <w:szCs w:val="24"/>
        </w:rPr>
        <w:t>réadaptation du programme, ainsi que leur mise en œuvre. E</w:t>
      </w:r>
      <w:r w:rsidR="00EC4176">
        <w:rPr>
          <w:rFonts w:ascii="Times New Roman" w:hAnsi="Times New Roman"/>
          <w:sz w:val="24"/>
          <w:szCs w:val="24"/>
        </w:rPr>
        <w:t>n effet, bien que soit réaffirmé</w:t>
      </w:r>
      <w:r w:rsidR="00475744" w:rsidRPr="00475744">
        <w:rPr>
          <w:rFonts w:ascii="Times New Roman" w:hAnsi="Times New Roman"/>
          <w:sz w:val="24"/>
          <w:szCs w:val="24"/>
        </w:rPr>
        <w:t xml:space="preserve"> le lien de redevabilité interne aux agences entre le terrain et leur siège, le Coordonnateur </w:t>
      </w:r>
      <w:r w:rsidR="00EC4176">
        <w:rPr>
          <w:rFonts w:ascii="Times New Roman" w:hAnsi="Times New Roman"/>
          <w:sz w:val="24"/>
          <w:szCs w:val="24"/>
        </w:rPr>
        <w:lastRenderedPageBreak/>
        <w:t xml:space="preserve">Résident </w:t>
      </w:r>
      <w:r w:rsidR="00475744" w:rsidRPr="00475744">
        <w:rPr>
          <w:rFonts w:ascii="Times New Roman" w:hAnsi="Times New Roman"/>
          <w:sz w:val="24"/>
          <w:szCs w:val="24"/>
        </w:rPr>
        <w:t>devrait</w:t>
      </w:r>
      <w:r w:rsidR="00EC4176">
        <w:rPr>
          <w:rFonts w:ascii="Times New Roman" w:hAnsi="Times New Roman"/>
          <w:sz w:val="24"/>
          <w:szCs w:val="24"/>
        </w:rPr>
        <w:t>,</w:t>
      </w:r>
      <w:r w:rsidR="00475744" w:rsidRPr="00475744">
        <w:rPr>
          <w:rFonts w:ascii="Times New Roman" w:hAnsi="Times New Roman"/>
          <w:sz w:val="24"/>
          <w:szCs w:val="24"/>
        </w:rPr>
        <w:t xml:space="preserve"> dans le nouveau contexte</w:t>
      </w:r>
      <w:r w:rsidR="00EC4176">
        <w:rPr>
          <w:rFonts w:ascii="Times New Roman" w:hAnsi="Times New Roman"/>
          <w:sz w:val="24"/>
          <w:szCs w:val="24"/>
        </w:rPr>
        <w:t>,</w:t>
      </w:r>
      <w:r w:rsidR="00475744" w:rsidRPr="00475744">
        <w:rPr>
          <w:rFonts w:ascii="Times New Roman" w:hAnsi="Times New Roman"/>
          <w:sz w:val="24"/>
          <w:szCs w:val="24"/>
        </w:rPr>
        <w:t xml:space="preserve"> avoir plus de latitude pour composer, avec les agences, l</w:t>
      </w:r>
      <w:r w:rsidR="00EC4176">
        <w:rPr>
          <w:rFonts w:ascii="Times New Roman" w:hAnsi="Times New Roman"/>
          <w:sz w:val="24"/>
          <w:szCs w:val="24"/>
        </w:rPr>
        <w:t>’</w:t>
      </w:r>
      <w:r w:rsidR="00475744" w:rsidRPr="00475744">
        <w:rPr>
          <w:rFonts w:ascii="Times New Roman" w:hAnsi="Times New Roman"/>
          <w:sz w:val="24"/>
          <w:szCs w:val="24"/>
        </w:rPr>
        <w:t>a</w:t>
      </w:r>
      <w:r w:rsidR="00EC4176">
        <w:rPr>
          <w:rFonts w:ascii="Times New Roman" w:hAnsi="Times New Roman"/>
          <w:sz w:val="24"/>
          <w:szCs w:val="24"/>
        </w:rPr>
        <w:t>ction locale du Système dans le</w:t>
      </w:r>
      <w:r w:rsidR="00475744" w:rsidRPr="00475744">
        <w:rPr>
          <w:rFonts w:ascii="Times New Roman" w:hAnsi="Times New Roman"/>
          <w:sz w:val="24"/>
          <w:szCs w:val="24"/>
        </w:rPr>
        <w:t xml:space="preserve"> pays, accéder à des ressources de nature conjoint</w:t>
      </w:r>
      <w:r w:rsidR="00EC4176">
        <w:rPr>
          <w:rFonts w:ascii="Times New Roman" w:hAnsi="Times New Roman"/>
          <w:sz w:val="24"/>
          <w:szCs w:val="24"/>
        </w:rPr>
        <w:t>e ou en mobiliser et piloter l’E</w:t>
      </w:r>
      <w:r w:rsidR="00475744" w:rsidRPr="00475744">
        <w:rPr>
          <w:rFonts w:ascii="Times New Roman" w:hAnsi="Times New Roman"/>
          <w:sz w:val="24"/>
          <w:szCs w:val="24"/>
        </w:rPr>
        <w:t>quipe pays. Potentiellement dég</w:t>
      </w:r>
      <w:r w:rsidR="00EC4176">
        <w:rPr>
          <w:rFonts w:ascii="Times New Roman" w:hAnsi="Times New Roman"/>
          <w:sz w:val="24"/>
          <w:szCs w:val="24"/>
        </w:rPr>
        <w:t>agé de responsabilités d’agence</w:t>
      </w:r>
      <w:r w:rsidR="00475744" w:rsidRPr="00475744">
        <w:rPr>
          <w:rFonts w:ascii="Times New Roman" w:hAnsi="Times New Roman"/>
          <w:sz w:val="24"/>
          <w:szCs w:val="24"/>
        </w:rPr>
        <w:t xml:space="preserve">, il devrait non seulement avoir plus de temps à consacrer à la réorientation du programme à proposer, mais aussi voir la neutralité de sa fonction mieux reconnue au sein de l’Equipe pays. </w:t>
      </w:r>
    </w:p>
    <w:p w14:paraId="604B5162" w14:textId="77777777" w:rsidR="00475744" w:rsidRPr="00475744" w:rsidRDefault="00475744" w:rsidP="005B22B2">
      <w:pPr>
        <w:spacing w:after="0" w:line="240" w:lineRule="auto"/>
        <w:jc w:val="both"/>
        <w:rPr>
          <w:rFonts w:ascii="Times New Roman" w:hAnsi="Times New Roman"/>
          <w:sz w:val="24"/>
          <w:szCs w:val="24"/>
        </w:rPr>
      </w:pPr>
    </w:p>
    <w:p w14:paraId="604B5163" w14:textId="77777777" w:rsidR="00475744" w:rsidRPr="00475744" w:rsidRDefault="00475744" w:rsidP="005B22B2">
      <w:pPr>
        <w:spacing w:after="0" w:line="240" w:lineRule="auto"/>
        <w:ind w:left="708"/>
        <w:jc w:val="both"/>
        <w:rPr>
          <w:rFonts w:ascii="Times New Roman" w:hAnsi="Times New Roman"/>
          <w:b/>
          <w:sz w:val="24"/>
          <w:szCs w:val="24"/>
        </w:rPr>
      </w:pPr>
      <w:r w:rsidRPr="00475744">
        <w:rPr>
          <w:rFonts w:ascii="Times New Roman" w:hAnsi="Times New Roman"/>
          <w:b/>
          <w:sz w:val="24"/>
          <w:szCs w:val="24"/>
        </w:rPr>
        <w:t>Pris</w:t>
      </w:r>
      <w:r>
        <w:rPr>
          <w:rFonts w:ascii="Times New Roman" w:hAnsi="Times New Roman"/>
          <w:b/>
          <w:sz w:val="24"/>
          <w:szCs w:val="24"/>
        </w:rPr>
        <w:t>e</w:t>
      </w:r>
      <w:r w:rsidRPr="00475744">
        <w:rPr>
          <w:rFonts w:ascii="Times New Roman" w:hAnsi="Times New Roman"/>
          <w:b/>
          <w:sz w:val="24"/>
          <w:szCs w:val="24"/>
        </w:rPr>
        <w:t xml:space="preserve"> en compte de la Stratégie de transition de la Mission</w:t>
      </w:r>
    </w:p>
    <w:p w14:paraId="604B5164" w14:textId="77777777" w:rsidR="00475744" w:rsidRPr="00475744" w:rsidRDefault="00475744" w:rsidP="005B22B2">
      <w:pPr>
        <w:spacing w:after="0" w:line="240" w:lineRule="auto"/>
        <w:jc w:val="both"/>
        <w:rPr>
          <w:rFonts w:ascii="Times New Roman" w:hAnsi="Times New Roman"/>
          <w:sz w:val="24"/>
          <w:szCs w:val="24"/>
        </w:rPr>
      </w:pPr>
    </w:p>
    <w:p w14:paraId="604B5165" w14:textId="77777777" w:rsidR="00475744" w:rsidRPr="00475744" w:rsidRDefault="00C35441" w:rsidP="005B22B2">
      <w:pPr>
        <w:spacing w:after="0" w:line="240" w:lineRule="auto"/>
        <w:jc w:val="both"/>
        <w:rPr>
          <w:rFonts w:ascii="Times New Roman" w:hAnsi="Times New Roman"/>
          <w:sz w:val="24"/>
          <w:szCs w:val="24"/>
        </w:rPr>
      </w:pPr>
      <w:r>
        <w:rPr>
          <w:rFonts w:ascii="Times New Roman" w:hAnsi="Times New Roman"/>
          <w:sz w:val="24"/>
          <w:szCs w:val="24"/>
        </w:rPr>
        <w:t>51</w:t>
      </w:r>
      <w:r w:rsidR="0080352F" w:rsidRPr="0080352F">
        <w:rPr>
          <w:rFonts w:ascii="Times New Roman" w:hAnsi="Times New Roman"/>
          <w:sz w:val="24"/>
          <w:szCs w:val="24"/>
        </w:rPr>
        <w:t>.</w:t>
      </w:r>
      <w:r w:rsidR="00475744" w:rsidRPr="00475744">
        <w:rPr>
          <w:rFonts w:ascii="Times New Roman" w:hAnsi="Times New Roman"/>
          <w:b/>
          <w:sz w:val="24"/>
          <w:szCs w:val="24"/>
        </w:rPr>
        <w:tab/>
        <w:t>Paix et réconciliation</w:t>
      </w:r>
      <w:r w:rsidR="00475744" w:rsidRPr="00475744">
        <w:rPr>
          <w:rFonts w:ascii="Times New Roman" w:hAnsi="Times New Roman"/>
          <w:sz w:val="24"/>
          <w:szCs w:val="24"/>
        </w:rPr>
        <w:t> : La mise en œuvre de l’Accord de paix demande plus d’en</w:t>
      </w:r>
      <w:r w:rsidR="00EC4176">
        <w:rPr>
          <w:rFonts w:ascii="Times New Roman" w:hAnsi="Times New Roman"/>
          <w:sz w:val="24"/>
          <w:szCs w:val="24"/>
        </w:rPr>
        <w:t xml:space="preserve">gagement des agences, y compris, avec l’aide de la Mission, le </w:t>
      </w:r>
      <w:r w:rsidR="00475744" w:rsidRPr="00475744">
        <w:rPr>
          <w:rFonts w:ascii="Times New Roman" w:hAnsi="Times New Roman"/>
          <w:sz w:val="24"/>
          <w:szCs w:val="24"/>
        </w:rPr>
        <w:t>renforce</w:t>
      </w:r>
      <w:r w:rsidR="00EC4176">
        <w:rPr>
          <w:rFonts w:ascii="Times New Roman" w:hAnsi="Times New Roman"/>
          <w:sz w:val="24"/>
          <w:szCs w:val="24"/>
        </w:rPr>
        <w:t>ment de</w:t>
      </w:r>
      <w:r w:rsidR="00475744" w:rsidRPr="00475744">
        <w:rPr>
          <w:rFonts w:ascii="Times New Roman" w:hAnsi="Times New Roman"/>
          <w:sz w:val="24"/>
          <w:szCs w:val="24"/>
        </w:rPr>
        <w:t xml:space="preserve"> leurs capacités là où elles ont le mandat</w:t>
      </w:r>
      <w:r w:rsidR="00EC4176">
        <w:rPr>
          <w:rFonts w:ascii="Times New Roman" w:hAnsi="Times New Roman"/>
          <w:sz w:val="24"/>
          <w:szCs w:val="24"/>
        </w:rPr>
        <w:t xml:space="preserve"> </w:t>
      </w:r>
      <w:r w:rsidR="00475744" w:rsidRPr="00475744">
        <w:rPr>
          <w:rFonts w:ascii="Times New Roman" w:hAnsi="Times New Roman"/>
          <w:sz w:val="24"/>
          <w:szCs w:val="24"/>
        </w:rPr>
        <w:t>; dans la mise en œuvre de l’Accord aussi, au fur et à mesure des avanc</w:t>
      </w:r>
      <w:r w:rsidR="00EC4176">
        <w:rPr>
          <w:rFonts w:ascii="Times New Roman" w:hAnsi="Times New Roman"/>
          <w:sz w:val="24"/>
          <w:szCs w:val="24"/>
        </w:rPr>
        <w:t>é</w:t>
      </w:r>
      <w:r w:rsidR="00475744" w:rsidRPr="00475744">
        <w:rPr>
          <w:rFonts w:ascii="Times New Roman" w:hAnsi="Times New Roman"/>
          <w:sz w:val="24"/>
          <w:szCs w:val="24"/>
        </w:rPr>
        <w:t xml:space="preserve">es, la Mission pourrait se recentrer sur les aspects politiques et la mobilisation de ressources et laisser plus de place </w:t>
      </w:r>
      <w:r w:rsidR="00EC4176">
        <w:rPr>
          <w:rFonts w:ascii="Times New Roman" w:hAnsi="Times New Roman"/>
          <w:sz w:val="24"/>
          <w:szCs w:val="24"/>
        </w:rPr>
        <w:t xml:space="preserve">aux autres entités </w:t>
      </w:r>
      <w:r w:rsidR="00475744" w:rsidRPr="00475744">
        <w:rPr>
          <w:rFonts w:ascii="Times New Roman" w:hAnsi="Times New Roman"/>
          <w:sz w:val="24"/>
          <w:szCs w:val="24"/>
        </w:rPr>
        <w:t xml:space="preserve">dans le déroulement opérationnel des programmes de paix et de réconciliation nationale. D’ores et déjà, les agences ayant un mandat sur les aspects de protection humaine, pourraient conforter leur réponse dans des domaines </w:t>
      </w:r>
      <w:r w:rsidR="00EC4176">
        <w:rPr>
          <w:rFonts w:ascii="Times New Roman" w:hAnsi="Times New Roman"/>
          <w:sz w:val="24"/>
          <w:szCs w:val="24"/>
        </w:rPr>
        <w:t xml:space="preserve">comme </w:t>
      </w:r>
      <w:r w:rsidR="00475744" w:rsidRPr="00475744">
        <w:rPr>
          <w:rFonts w:ascii="Times New Roman" w:hAnsi="Times New Roman"/>
          <w:sz w:val="24"/>
          <w:szCs w:val="24"/>
        </w:rPr>
        <w:t>la lutte contre les violences sexuelles, la protection des personnes déplacées : le tout dans une logique</w:t>
      </w:r>
      <w:r w:rsidR="00EC4176">
        <w:rPr>
          <w:rFonts w:ascii="Times New Roman" w:hAnsi="Times New Roman"/>
          <w:sz w:val="24"/>
          <w:szCs w:val="24"/>
        </w:rPr>
        <w:t>,</w:t>
      </w:r>
      <w:r w:rsidR="00475744" w:rsidRPr="00475744">
        <w:rPr>
          <w:rFonts w:ascii="Times New Roman" w:hAnsi="Times New Roman"/>
          <w:sz w:val="24"/>
          <w:szCs w:val="24"/>
        </w:rPr>
        <w:t xml:space="preserve"> sinon de transition du moins de lien humanitaire-développement, dans les parties du territoire connaissant l’apaisement.</w:t>
      </w:r>
    </w:p>
    <w:p w14:paraId="604B5166" w14:textId="77777777" w:rsidR="00475744" w:rsidRPr="00475744" w:rsidRDefault="00475744" w:rsidP="005B22B2">
      <w:pPr>
        <w:spacing w:after="0" w:line="240" w:lineRule="auto"/>
        <w:jc w:val="both"/>
        <w:rPr>
          <w:rFonts w:ascii="Times New Roman" w:hAnsi="Times New Roman"/>
          <w:sz w:val="24"/>
          <w:szCs w:val="24"/>
        </w:rPr>
      </w:pPr>
    </w:p>
    <w:p w14:paraId="604B5167" w14:textId="77777777" w:rsidR="00475744" w:rsidRPr="00475744" w:rsidRDefault="00C35441" w:rsidP="005B22B2">
      <w:pPr>
        <w:spacing w:after="0" w:line="240" w:lineRule="auto"/>
        <w:jc w:val="both"/>
        <w:rPr>
          <w:rFonts w:ascii="Times New Roman" w:hAnsi="Times New Roman"/>
          <w:sz w:val="24"/>
          <w:szCs w:val="24"/>
        </w:rPr>
      </w:pPr>
      <w:r>
        <w:rPr>
          <w:rFonts w:ascii="Times New Roman" w:hAnsi="Times New Roman"/>
          <w:sz w:val="24"/>
          <w:szCs w:val="24"/>
        </w:rPr>
        <w:t>52</w:t>
      </w:r>
      <w:r w:rsidR="0080352F">
        <w:rPr>
          <w:rFonts w:ascii="Times New Roman" w:hAnsi="Times New Roman"/>
          <w:sz w:val="24"/>
          <w:szCs w:val="24"/>
        </w:rPr>
        <w:t>.</w:t>
      </w:r>
      <w:r w:rsidR="00475744" w:rsidRPr="00475744">
        <w:rPr>
          <w:rFonts w:ascii="Times New Roman" w:hAnsi="Times New Roman"/>
          <w:sz w:val="24"/>
          <w:szCs w:val="24"/>
        </w:rPr>
        <w:tab/>
        <w:t xml:space="preserve">La Mission faciliterait l’ancrage sur le terrain d’une présence de plus en plus forte des agences, là où les problèmes de sécurité se résorbent </w:t>
      </w:r>
      <w:r w:rsidR="00EC4176">
        <w:rPr>
          <w:rFonts w:ascii="Times New Roman" w:hAnsi="Times New Roman"/>
          <w:sz w:val="24"/>
          <w:szCs w:val="24"/>
        </w:rPr>
        <w:t xml:space="preserve">ou </w:t>
      </w:r>
      <w:r w:rsidR="00475744" w:rsidRPr="00475744">
        <w:rPr>
          <w:rFonts w:ascii="Times New Roman" w:hAnsi="Times New Roman"/>
          <w:sz w:val="24"/>
          <w:szCs w:val="24"/>
        </w:rPr>
        <w:t xml:space="preserve">deviennent résiduels. Sur le DDR aussi, si sa mise en œuvre intervenait dans la période, les agences pourraient se mettre davantage en avant dans les aspects de réinsertion après </w:t>
      </w:r>
      <w:r w:rsidR="00EC4176">
        <w:rPr>
          <w:rFonts w:ascii="Times New Roman" w:hAnsi="Times New Roman"/>
          <w:sz w:val="24"/>
          <w:szCs w:val="24"/>
        </w:rPr>
        <w:t xml:space="preserve">que </w:t>
      </w:r>
      <w:r w:rsidR="00475744" w:rsidRPr="00475744">
        <w:rPr>
          <w:rFonts w:ascii="Times New Roman" w:hAnsi="Times New Roman"/>
          <w:sz w:val="24"/>
          <w:szCs w:val="24"/>
        </w:rPr>
        <w:t>la Mission s’est occupée de la démobilisation ; la Mission maintiendrait aussi des efforts en matière de mobilisation des ressources nécessaires</w:t>
      </w:r>
      <w:r w:rsidR="00EC4176">
        <w:rPr>
          <w:rFonts w:ascii="Times New Roman" w:hAnsi="Times New Roman"/>
          <w:sz w:val="24"/>
          <w:szCs w:val="24"/>
        </w:rPr>
        <w:t xml:space="preserve"> à des stratégies de réinsertion</w:t>
      </w:r>
      <w:r w:rsidR="00475744" w:rsidRPr="00475744">
        <w:rPr>
          <w:rFonts w:ascii="Times New Roman" w:hAnsi="Times New Roman"/>
          <w:sz w:val="24"/>
          <w:szCs w:val="24"/>
        </w:rPr>
        <w:t xml:space="preserve"> ambitieuses et viables. </w:t>
      </w:r>
      <w:r w:rsidR="00EC4176">
        <w:rPr>
          <w:rFonts w:ascii="Times New Roman" w:hAnsi="Times New Roman"/>
          <w:sz w:val="24"/>
          <w:szCs w:val="24"/>
        </w:rPr>
        <w:t>Il</w:t>
      </w:r>
      <w:r w:rsidR="00475744" w:rsidRPr="00475744">
        <w:rPr>
          <w:rFonts w:ascii="Times New Roman" w:hAnsi="Times New Roman"/>
          <w:sz w:val="24"/>
          <w:szCs w:val="24"/>
        </w:rPr>
        <w:t xml:space="preserve"> faut toutefois reconnaître que la mise en œuvre de l’Accord de paix est </w:t>
      </w:r>
      <w:r w:rsidR="00EC4176">
        <w:rPr>
          <w:rFonts w:ascii="Times New Roman" w:hAnsi="Times New Roman"/>
          <w:sz w:val="24"/>
          <w:szCs w:val="24"/>
        </w:rPr>
        <w:t>le segment d’intervention du programme</w:t>
      </w:r>
      <w:r w:rsidR="00475744" w:rsidRPr="00475744">
        <w:rPr>
          <w:rFonts w:ascii="Times New Roman" w:hAnsi="Times New Roman"/>
          <w:sz w:val="24"/>
          <w:szCs w:val="24"/>
        </w:rPr>
        <w:t xml:space="preserve"> où les incertitudes et les blocages sont en</w:t>
      </w:r>
      <w:r w:rsidR="00EC4176">
        <w:rPr>
          <w:rFonts w:ascii="Times New Roman" w:hAnsi="Times New Roman"/>
          <w:sz w:val="24"/>
          <w:szCs w:val="24"/>
        </w:rPr>
        <w:t>core de mise,</w:t>
      </w:r>
      <w:r w:rsidR="00475744" w:rsidRPr="00475744">
        <w:rPr>
          <w:rFonts w:ascii="Times New Roman" w:hAnsi="Times New Roman"/>
          <w:sz w:val="24"/>
          <w:szCs w:val="24"/>
        </w:rPr>
        <w:t xml:space="preserve"> et </w:t>
      </w:r>
      <w:r w:rsidR="00EC4176">
        <w:rPr>
          <w:rFonts w:ascii="Times New Roman" w:hAnsi="Times New Roman"/>
          <w:sz w:val="24"/>
          <w:szCs w:val="24"/>
        </w:rPr>
        <w:t xml:space="preserve">continuent de </w:t>
      </w:r>
      <w:r w:rsidR="00475744" w:rsidRPr="00475744">
        <w:rPr>
          <w:rFonts w:ascii="Times New Roman" w:hAnsi="Times New Roman"/>
          <w:sz w:val="24"/>
          <w:szCs w:val="24"/>
        </w:rPr>
        <w:t>présage</w:t>
      </w:r>
      <w:r w:rsidR="00EC4176">
        <w:rPr>
          <w:rFonts w:ascii="Times New Roman" w:hAnsi="Times New Roman"/>
          <w:sz w:val="24"/>
          <w:szCs w:val="24"/>
        </w:rPr>
        <w:t>r d’</w:t>
      </w:r>
      <w:r w:rsidR="00475744" w:rsidRPr="00475744">
        <w:rPr>
          <w:rFonts w:ascii="Times New Roman" w:hAnsi="Times New Roman"/>
          <w:sz w:val="24"/>
          <w:szCs w:val="24"/>
        </w:rPr>
        <w:t>une implication encore lourde de la Mission.</w:t>
      </w:r>
    </w:p>
    <w:p w14:paraId="604B5168" w14:textId="77777777" w:rsidR="00475744" w:rsidRPr="00475744" w:rsidRDefault="00475744" w:rsidP="005B22B2">
      <w:pPr>
        <w:spacing w:after="0" w:line="240" w:lineRule="auto"/>
        <w:jc w:val="both"/>
        <w:rPr>
          <w:rFonts w:ascii="Times New Roman" w:hAnsi="Times New Roman"/>
          <w:sz w:val="24"/>
          <w:szCs w:val="24"/>
        </w:rPr>
      </w:pPr>
    </w:p>
    <w:p w14:paraId="604B5169" w14:textId="77777777" w:rsidR="00475744" w:rsidRPr="00475744" w:rsidRDefault="0080352F" w:rsidP="005B22B2">
      <w:pPr>
        <w:spacing w:after="0" w:line="240" w:lineRule="auto"/>
        <w:jc w:val="both"/>
        <w:rPr>
          <w:rFonts w:ascii="Times New Roman" w:hAnsi="Times New Roman"/>
          <w:sz w:val="24"/>
          <w:szCs w:val="24"/>
        </w:rPr>
      </w:pPr>
      <w:r w:rsidRPr="0080352F">
        <w:rPr>
          <w:rFonts w:ascii="Times New Roman" w:hAnsi="Times New Roman"/>
          <w:sz w:val="24"/>
          <w:szCs w:val="24"/>
        </w:rPr>
        <w:t>5</w:t>
      </w:r>
      <w:r w:rsidR="00C35441">
        <w:rPr>
          <w:rFonts w:ascii="Times New Roman" w:hAnsi="Times New Roman"/>
          <w:sz w:val="24"/>
          <w:szCs w:val="24"/>
        </w:rPr>
        <w:t>3</w:t>
      </w:r>
      <w:r w:rsidRPr="0080352F">
        <w:rPr>
          <w:rFonts w:ascii="Times New Roman" w:hAnsi="Times New Roman"/>
          <w:sz w:val="24"/>
          <w:szCs w:val="24"/>
        </w:rPr>
        <w:t>.</w:t>
      </w:r>
      <w:r w:rsidR="00475744" w:rsidRPr="00475744">
        <w:rPr>
          <w:rFonts w:ascii="Times New Roman" w:hAnsi="Times New Roman"/>
          <w:b/>
          <w:sz w:val="24"/>
          <w:szCs w:val="24"/>
        </w:rPr>
        <w:tab/>
        <w:t>Gouvernance</w:t>
      </w:r>
      <w:r w:rsidR="00475744" w:rsidRPr="00475744">
        <w:rPr>
          <w:rFonts w:ascii="Times New Roman" w:hAnsi="Times New Roman"/>
          <w:sz w:val="24"/>
          <w:szCs w:val="24"/>
        </w:rPr>
        <w:t> : Des engagements conjoints dans l’appui aux réformes et autres processus institutionnels comme le cycle électoral à venir: là aussi la Mission continuerait à garder le leadership sur le dialogue politique et la levé</w:t>
      </w:r>
      <w:r w:rsidR="00EC4176">
        <w:rPr>
          <w:rFonts w:ascii="Times New Roman" w:hAnsi="Times New Roman"/>
          <w:sz w:val="24"/>
          <w:szCs w:val="24"/>
        </w:rPr>
        <w:t>e</w:t>
      </w:r>
      <w:r w:rsidR="00475744" w:rsidRPr="00475744">
        <w:rPr>
          <w:rFonts w:ascii="Times New Roman" w:hAnsi="Times New Roman"/>
          <w:sz w:val="24"/>
          <w:szCs w:val="24"/>
        </w:rPr>
        <w:t xml:space="preserve"> des blocages sur les conditions préalables qui existent toujours lorsqu’on veut reformer, d’une part, la mobilisation de ressources, d’autre part ; les agences, fonds et programmes de développement, pour leur part, se positionne</w:t>
      </w:r>
      <w:r w:rsidR="00EC4176">
        <w:rPr>
          <w:rFonts w:ascii="Times New Roman" w:hAnsi="Times New Roman"/>
          <w:sz w:val="24"/>
          <w:szCs w:val="24"/>
        </w:rPr>
        <w:t>raie</w:t>
      </w:r>
      <w:r w:rsidR="00475744" w:rsidRPr="00475744">
        <w:rPr>
          <w:rFonts w:ascii="Times New Roman" w:hAnsi="Times New Roman"/>
          <w:sz w:val="24"/>
          <w:szCs w:val="24"/>
        </w:rPr>
        <w:t>nt davantage dans le développement de capacités institutionnelles au niveau national et local, la Mission continuant aussi à les assister dans la gestion des contraintes sécuritaires sur le terrain.</w:t>
      </w:r>
    </w:p>
    <w:p w14:paraId="604B516A" w14:textId="77777777" w:rsidR="00475744" w:rsidRPr="0080352F" w:rsidRDefault="00475744" w:rsidP="005B22B2">
      <w:pPr>
        <w:spacing w:after="0" w:line="240" w:lineRule="auto"/>
        <w:jc w:val="both"/>
        <w:rPr>
          <w:rFonts w:ascii="Times New Roman" w:hAnsi="Times New Roman"/>
          <w:sz w:val="24"/>
          <w:szCs w:val="24"/>
        </w:rPr>
      </w:pPr>
    </w:p>
    <w:p w14:paraId="604B516B" w14:textId="77777777" w:rsidR="00475744" w:rsidRPr="00475744" w:rsidRDefault="0080352F" w:rsidP="005B22B2">
      <w:pPr>
        <w:spacing w:after="0" w:line="240" w:lineRule="auto"/>
        <w:jc w:val="both"/>
        <w:rPr>
          <w:rFonts w:ascii="Times New Roman" w:hAnsi="Times New Roman"/>
          <w:sz w:val="24"/>
          <w:szCs w:val="24"/>
        </w:rPr>
      </w:pPr>
      <w:r w:rsidRPr="0080352F">
        <w:rPr>
          <w:rFonts w:ascii="Times New Roman" w:hAnsi="Times New Roman"/>
          <w:sz w:val="24"/>
          <w:szCs w:val="24"/>
        </w:rPr>
        <w:t>5</w:t>
      </w:r>
      <w:r w:rsidR="00C35441">
        <w:rPr>
          <w:rFonts w:ascii="Times New Roman" w:hAnsi="Times New Roman"/>
          <w:sz w:val="24"/>
          <w:szCs w:val="24"/>
        </w:rPr>
        <w:t>4</w:t>
      </w:r>
      <w:r w:rsidRPr="0080352F">
        <w:rPr>
          <w:rFonts w:ascii="Times New Roman" w:hAnsi="Times New Roman"/>
          <w:sz w:val="24"/>
          <w:szCs w:val="24"/>
        </w:rPr>
        <w:t>.</w:t>
      </w:r>
      <w:r w:rsidR="00475744" w:rsidRPr="00475744">
        <w:rPr>
          <w:rFonts w:ascii="Times New Roman" w:hAnsi="Times New Roman"/>
          <w:b/>
          <w:sz w:val="24"/>
          <w:szCs w:val="24"/>
        </w:rPr>
        <w:tab/>
        <w:t>Services sociaux de base</w:t>
      </w:r>
      <w:r w:rsidR="00475744" w:rsidRPr="00475744">
        <w:rPr>
          <w:rFonts w:ascii="Times New Roman" w:hAnsi="Times New Roman"/>
          <w:sz w:val="24"/>
          <w:szCs w:val="24"/>
        </w:rPr>
        <w:t> : dans une perspective d’évolution du positionnement de la Mission, celle-ci pourrait travailler en interventions conjointes avec les agences techniques</w:t>
      </w:r>
      <w:r w:rsidR="008011AC">
        <w:rPr>
          <w:rFonts w:ascii="Times New Roman" w:hAnsi="Times New Roman"/>
          <w:sz w:val="24"/>
          <w:szCs w:val="24"/>
        </w:rPr>
        <w:t xml:space="preserve">, </w:t>
      </w:r>
      <w:r w:rsidR="00475744" w:rsidRPr="00475744">
        <w:rPr>
          <w:rFonts w:ascii="Times New Roman" w:hAnsi="Times New Roman"/>
          <w:sz w:val="24"/>
          <w:szCs w:val="24"/>
        </w:rPr>
        <w:t xml:space="preserve">dans un </w:t>
      </w:r>
      <w:r w:rsidR="008011AC">
        <w:rPr>
          <w:rFonts w:ascii="Times New Roman" w:hAnsi="Times New Roman"/>
          <w:sz w:val="24"/>
          <w:szCs w:val="24"/>
        </w:rPr>
        <w:t xml:space="preserve">partage de rôles lui conférant </w:t>
      </w:r>
      <w:r w:rsidR="00475744" w:rsidRPr="00475744">
        <w:rPr>
          <w:rFonts w:ascii="Times New Roman" w:hAnsi="Times New Roman"/>
          <w:sz w:val="24"/>
          <w:szCs w:val="24"/>
        </w:rPr>
        <w:t>les aspects politiques et sécuritaires</w:t>
      </w:r>
      <w:r w:rsidR="008011AC">
        <w:rPr>
          <w:rFonts w:ascii="Times New Roman" w:hAnsi="Times New Roman"/>
          <w:sz w:val="24"/>
          <w:szCs w:val="24"/>
        </w:rPr>
        <w:t>,</w:t>
      </w:r>
      <w:r w:rsidR="00475744" w:rsidRPr="00475744">
        <w:rPr>
          <w:rFonts w:ascii="Times New Roman" w:hAnsi="Times New Roman"/>
          <w:sz w:val="24"/>
          <w:szCs w:val="24"/>
        </w:rPr>
        <w:t xml:space="preserve"> et aux agences, fonds et programmes la programmation et la gestion opérationnelle des actions de développement à la base</w:t>
      </w:r>
      <w:r w:rsidR="008011AC">
        <w:rPr>
          <w:rFonts w:ascii="Times New Roman" w:hAnsi="Times New Roman"/>
          <w:sz w:val="24"/>
          <w:szCs w:val="24"/>
        </w:rPr>
        <w:t> (</w:t>
      </w:r>
      <w:r w:rsidR="00475744" w:rsidRPr="00475744">
        <w:rPr>
          <w:rFonts w:ascii="Times New Roman" w:hAnsi="Times New Roman"/>
          <w:sz w:val="24"/>
          <w:szCs w:val="24"/>
        </w:rPr>
        <w:t xml:space="preserve">l’idée </w:t>
      </w:r>
      <w:r w:rsidR="008011AC">
        <w:rPr>
          <w:rFonts w:ascii="Times New Roman" w:hAnsi="Times New Roman"/>
          <w:sz w:val="24"/>
          <w:szCs w:val="24"/>
        </w:rPr>
        <w:t>est</w:t>
      </w:r>
      <w:r w:rsidR="00475744" w:rsidRPr="00475744">
        <w:rPr>
          <w:rFonts w:ascii="Times New Roman" w:hAnsi="Times New Roman"/>
          <w:sz w:val="24"/>
          <w:szCs w:val="24"/>
        </w:rPr>
        <w:t xml:space="preserve"> de ne pas laisser un vide se créer à la faveur d’un retrait même progressif de la Mission</w:t>
      </w:r>
      <w:r w:rsidR="008011AC">
        <w:rPr>
          <w:rFonts w:ascii="Times New Roman" w:hAnsi="Times New Roman"/>
          <w:sz w:val="24"/>
          <w:szCs w:val="24"/>
        </w:rPr>
        <w:t>)</w:t>
      </w:r>
      <w:r w:rsidR="00475744" w:rsidRPr="00475744">
        <w:rPr>
          <w:rFonts w:ascii="Times New Roman" w:hAnsi="Times New Roman"/>
          <w:sz w:val="24"/>
          <w:szCs w:val="24"/>
        </w:rPr>
        <w:t xml:space="preserve">. Les services sociaux de base sont un cadre approprié de mise en œuvre de la transition programmatique humanitaire-développement. Pour le Nord, et dans des secteurs clés comme de la santé, de la nutrition, l’éducation, la sécurité alimentaire, la </w:t>
      </w:r>
      <w:r w:rsidR="00475744" w:rsidRPr="00475744">
        <w:rPr>
          <w:rFonts w:ascii="Times New Roman" w:hAnsi="Times New Roman"/>
          <w:i/>
          <w:sz w:val="24"/>
          <w:szCs w:val="24"/>
        </w:rPr>
        <w:t>Commission de réhabilitation des zones post-conflit (CRZPC)</w:t>
      </w:r>
      <w:r w:rsidR="00475744" w:rsidRPr="00475744">
        <w:rPr>
          <w:rFonts w:ascii="Times New Roman" w:hAnsi="Times New Roman"/>
          <w:sz w:val="24"/>
          <w:szCs w:val="24"/>
        </w:rPr>
        <w:t>, déroule déjà une feuille de route dans ce sens en mettant ensemble acteurs humanitaires et de développement dans cette partie du territoire.</w:t>
      </w:r>
    </w:p>
    <w:p w14:paraId="604B516C" w14:textId="77777777" w:rsidR="00475744" w:rsidRPr="00475744" w:rsidRDefault="00475744" w:rsidP="005B22B2">
      <w:pPr>
        <w:spacing w:after="0" w:line="240" w:lineRule="auto"/>
        <w:jc w:val="both"/>
        <w:rPr>
          <w:rFonts w:ascii="Times New Roman" w:hAnsi="Times New Roman"/>
          <w:sz w:val="24"/>
          <w:szCs w:val="24"/>
        </w:rPr>
      </w:pPr>
    </w:p>
    <w:p w14:paraId="604B516D" w14:textId="77777777" w:rsidR="00475744" w:rsidRPr="00475744" w:rsidRDefault="00475744" w:rsidP="005B22B2">
      <w:pPr>
        <w:spacing w:after="0" w:line="240" w:lineRule="auto"/>
        <w:ind w:left="708"/>
        <w:jc w:val="both"/>
        <w:rPr>
          <w:rFonts w:ascii="Times New Roman" w:hAnsi="Times New Roman"/>
          <w:b/>
          <w:sz w:val="24"/>
          <w:szCs w:val="24"/>
        </w:rPr>
      </w:pPr>
      <w:r w:rsidRPr="00475744">
        <w:rPr>
          <w:rFonts w:ascii="Times New Roman" w:hAnsi="Times New Roman"/>
          <w:b/>
          <w:sz w:val="24"/>
          <w:szCs w:val="24"/>
        </w:rPr>
        <w:lastRenderedPageBreak/>
        <w:t>Les approches régionales Sécurité et Développement : Stratégie des Nations Unies pour le Sahel &amp; Groupe G5 Sahel</w:t>
      </w:r>
    </w:p>
    <w:p w14:paraId="604B516E" w14:textId="77777777" w:rsidR="00475744" w:rsidRPr="00475744" w:rsidRDefault="00475744" w:rsidP="005B22B2">
      <w:pPr>
        <w:spacing w:after="0" w:line="240" w:lineRule="auto"/>
        <w:jc w:val="both"/>
        <w:rPr>
          <w:rFonts w:ascii="Times New Roman" w:hAnsi="Times New Roman"/>
          <w:sz w:val="24"/>
          <w:szCs w:val="24"/>
        </w:rPr>
      </w:pPr>
    </w:p>
    <w:p w14:paraId="604B516F" w14:textId="77777777" w:rsidR="00475744" w:rsidRPr="00475744" w:rsidRDefault="00C35441" w:rsidP="005B22B2">
      <w:pPr>
        <w:spacing w:after="0" w:line="240" w:lineRule="auto"/>
        <w:jc w:val="both"/>
        <w:rPr>
          <w:rFonts w:ascii="Times New Roman" w:hAnsi="Times New Roman"/>
          <w:sz w:val="24"/>
          <w:szCs w:val="24"/>
        </w:rPr>
      </w:pPr>
      <w:r>
        <w:rPr>
          <w:rFonts w:ascii="Times New Roman" w:hAnsi="Times New Roman"/>
          <w:sz w:val="24"/>
          <w:szCs w:val="24"/>
        </w:rPr>
        <w:t>55</w:t>
      </w:r>
      <w:r w:rsidR="0080352F">
        <w:rPr>
          <w:rFonts w:ascii="Times New Roman" w:hAnsi="Times New Roman"/>
          <w:sz w:val="24"/>
          <w:szCs w:val="24"/>
        </w:rPr>
        <w:t>.</w:t>
      </w:r>
      <w:r w:rsidR="00475744" w:rsidRPr="00475744">
        <w:rPr>
          <w:rFonts w:ascii="Times New Roman" w:hAnsi="Times New Roman"/>
          <w:sz w:val="24"/>
          <w:szCs w:val="24"/>
        </w:rPr>
        <w:tab/>
        <w:t xml:space="preserve">Avec les développements en cours de la géopolitique de la région, les enjeux de développement et </w:t>
      </w:r>
      <w:r w:rsidR="008011AC">
        <w:rPr>
          <w:rFonts w:ascii="Times New Roman" w:hAnsi="Times New Roman"/>
          <w:sz w:val="24"/>
          <w:szCs w:val="24"/>
        </w:rPr>
        <w:t xml:space="preserve">de </w:t>
      </w:r>
      <w:r w:rsidR="00475744" w:rsidRPr="00475744">
        <w:rPr>
          <w:rFonts w:ascii="Times New Roman" w:hAnsi="Times New Roman"/>
          <w:sz w:val="24"/>
          <w:szCs w:val="24"/>
        </w:rPr>
        <w:t>sécurit</w:t>
      </w:r>
      <w:r w:rsidR="008011AC">
        <w:rPr>
          <w:rFonts w:ascii="Times New Roman" w:hAnsi="Times New Roman"/>
          <w:sz w:val="24"/>
          <w:szCs w:val="24"/>
        </w:rPr>
        <w:t>é</w:t>
      </w:r>
      <w:r w:rsidR="00475744" w:rsidRPr="00475744">
        <w:rPr>
          <w:rFonts w:ascii="Times New Roman" w:hAnsi="Times New Roman"/>
          <w:sz w:val="24"/>
          <w:szCs w:val="24"/>
        </w:rPr>
        <w:t xml:space="preserve"> ont fini de cristalliser l’attention de la communauté internationale. Pressés par les questions sécuritaires</w:t>
      </w:r>
      <w:r w:rsidR="008011AC">
        <w:rPr>
          <w:rFonts w:ascii="Times New Roman" w:hAnsi="Times New Roman"/>
          <w:sz w:val="24"/>
          <w:szCs w:val="24"/>
        </w:rPr>
        <w:t>,</w:t>
      </w:r>
      <w:r w:rsidR="00475744" w:rsidRPr="00475744">
        <w:rPr>
          <w:rFonts w:ascii="Times New Roman" w:hAnsi="Times New Roman"/>
          <w:sz w:val="24"/>
          <w:szCs w:val="24"/>
        </w:rPr>
        <w:t xml:space="preserve"> elles-mêmes régionalisées, le Mali et 4 autres pays sahélien</w:t>
      </w:r>
      <w:r w:rsidR="008011AC">
        <w:rPr>
          <w:rFonts w:ascii="Times New Roman" w:hAnsi="Times New Roman"/>
          <w:sz w:val="24"/>
          <w:szCs w:val="24"/>
        </w:rPr>
        <w:t>s</w:t>
      </w:r>
      <w:r w:rsidR="00475744" w:rsidRPr="00475744">
        <w:rPr>
          <w:rFonts w:ascii="Times New Roman" w:hAnsi="Times New Roman"/>
          <w:sz w:val="24"/>
          <w:szCs w:val="24"/>
        </w:rPr>
        <w:t xml:space="preserve"> ont mis en place un cadre régional de mutualisation de leurs réponses. De son côté, les Nations Unies</w:t>
      </w:r>
      <w:r w:rsidR="008011AC">
        <w:rPr>
          <w:rFonts w:ascii="Times New Roman" w:hAnsi="Times New Roman"/>
          <w:sz w:val="24"/>
          <w:szCs w:val="24"/>
        </w:rPr>
        <w:t>,</w:t>
      </w:r>
      <w:r w:rsidR="00475744" w:rsidRPr="00475744">
        <w:rPr>
          <w:rFonts w:ascii="Times New Roman" w:hAnsi="Times New Roman"/>
          <w:sz w:val="24"/>
          <w:szCs w:val="24"/>
        </w:rPr>
        <w:t xml:space="preserve"> dont la MINUSMA est déjà un élément de la réponse locale à cette problématique, ont développé une Stratégie spécifique d’accompagnement </w:t>
      </w:r>
      <w:r w:rsidR="008011AC">
        <w:rPr>
          <w:rFonts w:ascii="Times New Roman" w:hAnsi="Times New Roman"/>
          <w:sz w:val="24"/>
          <w:szCs w:val="24"/>
        </w:rPr>
        <w:t>de</w:t>
      </w:r>
      <w:r w:rsidR="00475744" w:rsidRPr="00475744">
        <w:rPr>
          <w:rFonts w:ascii="Times New Roman" w:hAnsi="Times New Roman"/>
          <w:sz w:val="24"/>
          <w:szCs w:val="24"/>
        </w:rPr>
        <w:t xml:space="preserve"> la région, qui va bien au-delà de la sécurité pour embrasser le défi global du développement humain durable.</w:t>
      </w:r>
    </w:p>
    <w:p w14:paraId="604B5170" w14:textId="77777777" w:rsidR="00475744" w:rsidRPr="00475744" w:rsidRDefault="00475744" w:rsidP="005B22B2">
      <w:pPr>
        <w:spacing w:after="0" w:line="240" w:lineRule="auto"/>
        <w:jc w:val="both"/>
        <w:rPr>
          <w:rFonts w:ascii="Times New Roman" w:hAnsi="Times New Roman"/>
          <w:sz w:val="24"/>
          <w:szCs w:val="24"/>
        </w:rPr>
      </w:pPr>
    </w:p>
    <w:p w14:paraId="604B5171" w14:textId="77777777" w:rsidR="00475744" w:rsidRDefault="0080352F" w:rsidP="005B22B2">
      <w:pPr>
        <w:spacing w:after="0" w:line="240" w:lineRule="auto"/>
        <w:jc w:val="both"/>
        <w:rPr>
          <w:rFonts w:ascii="Times New Roman" w:hAnsi="Times New Roman"/>
          <w:sz w:val="24"/>
          <w:szCs w:val="24"/>
        </w:rPr>
      </w:pPr>
      <w:r>
        <w:rPr>
          <w:rFonts w:ascii="Times New Roman" w:hAnsi="Times New Roman"/>
          <w:sz w:val="24"/>
          <w:szCs w:val="24"/>
        </w:rPr>
        <w:t>5</w:t>
      </w:r>
      <w:r w:rsidR="00C35441">
        <w:rPr>
          <w:rFonts w:ascii="Times New Roman" w:hAnsi="Times New Roman"/>
          <w:sz w:val="24"/>
          <w:szCs w:val="24"/>
        </w:rPr>
        <w:t>6</w:t>
      </w:r>
      <w:r>
        <w:rPr>
          <w:rFonts w:ascii="Times New Roman" w:hAnsi="Times New Roman"/>
          <w:sz w:val="24"/>
          <w:szCs w:val="24"/>
        </w:rPr>
        <w:t>.</w:t>
      </w:r>
      <w:r w:rsidR="00475744" w:rsidRPr="00475744">
        <w:rPr>
          <w:rFonts w:ascii="Times New Roman" w:hAnsi="Times New Roman"/>
          <w:sz w:val="24"/>
          <w:szCs w:val="24"/>
        </w:rPr>
        <w:tab/>
        <w:t>Ces outils et cadres de coopération en faveur de la sécurisation et du développement de la région entreront dans leur phase de maturation dans la seconde partie du cycle de l’UNDAF+. Dans la perspective de l’adaptation du programme aux éléments de contexte nouveau</w:t>
      </w:r>
      <w:r w:rsidR="008011AC">
        <w:rPr>
          <w:rFonts w:ascii="Times New Roman" w:hAnsi="Times New Roman"/>
          <w:sz w:val="24"/>
          <w:szCs w:val="24"/>
        </w:rPr>
        <w:t>x</w:t>
      </w:r>
      <w:r w:rsidR="00475744" w:rsidRPr="00475744">
        <w:rPr>
          <w:rFonts w:ascii="Times New Roman" w:hAnsi="Times New Roman"/>
          <w:sz w:val="24"/>
          <w:szCs w:val="24"/>
        </w:rPr>
        <w:t>, il serait pertinent d’envisager un appui à la consolidation des capacités institutionnelle du Secrétariat du G5 Sahel. Les éléments de diagnostic déjà stabilisés dans le cadre de la constitution du plan d’action de la UNISS</w:t>
      </w:r>
      <w:r w:rsidR="008011AC">
        <w:rPr>
          <w:rFonts w:ascii="Times New Roman" w:hAnsi="Times New Roman"/>
          <w:sz w:val="24"/>
          <w:szCs w:val="24"/>
        </w:rPr>
        <w:t>,</w:t>
      </w:r>
      <w:r w:rsidR="00475744" w:rsidRPr="00475744">
        <w:rPr>
          <w:rFonts w:ascii="Times New Roman" w:hAnsi="Times New Roman"/>
          <w:sz w:val="24"/>
          <w:szCs w:val="24"/>
        </w:rPr>
        <w:t xml:space="preserve"> montre</w:t>
      </w:r>
      <w:r w:rsidR="008011AC">
        <w:rPr>
          <w:rFonts w:ascii="Times New Roman" w:hAnsi="Times New Roman"/>
          <w:sz w:val="24"/>
          <w:szCs w:val="24"/>
        </w:rPr>
        <w:t>nt</w:t>
      </w:r>
      <w:r w:rsidR="00475744" w:rsidRPr="00475744">
        <w:rPr>
          <w:rFonts w:ascii="Times New Roman" w:hAnsi="Times New Roman"/>
          <w:sz w:val="24"/>
          <w:szCs w:val="24"/>
        </w:rPr>
        <w:t xml:space="preserve"> que cette structure connaît encore des faiblesses importantes dans ce domaine</w:t>
      </w:r>
      <w:r w:rsidR="008011AC">
        <w:rPr>
          <w:rFonts w:ascii="Times New Roman" w:hAnsi="Times New Roman"/>
          <w:sz w:val="24"/>
          <w:szCs w:val="24"/>
        </w:rPr>
        <w:t>,</w:t>
      </w:r>
      <w:r w:rsidR="00475744" w:rsidRPr="00475744">
        <w:rPr>
          <w:rFonts w:ascii="Times New Roman" w:hAnsi="Times New Roman"/>
          <w:sz w:val="24"/>
          <w:szCs w:val="24"/>
        </w:rPr>
        <w:t xml:space="preserve"> que des agences pourraient aider à résorber pour rendre </w:t>
      </w:r>
      <w:r w:rsidR="008011AC">
        <w:rPr>
          <w:rFonts w:ascii="Times New Roman" w:hAnsi="Times New Roman"/>
          <w:sz w:val="24"/>
          <w:szCs w:val="24"/>
        </w:rPr>
        <w:t xml:space="preserve">pleinement </w:t>
      </w:r>
      <w:r w:rsidR="00475744" w:rsidRPr="00475744">
        <w:rPr>
          <w:rFonts w:ascii="Times New Roman" w:hAnsi="Times New Roman"/>
          <w:sz w:val="24"/>
          <w:szCs w:val="24"/>
        </w:rPr>
        <w:t>opérationnel le G5 Sahel : l’appropriation du Programme d’Investissement, les interfaces entre le Secrétariat et la Présidence du Groupe, la préparation et l’agenda de la table ronde G</w:t>
      </w:r>
      <w:r w:rsidR="008011AC">
        <w:rPr>
          <w:rFonts w:ascii="Times New Roman" w:hAnsi="Times New Roman"/>
          <w:sz w:val="24"/>
          <w:szCs w:val="24"/>
        </w:rPr>
        <w:t>5 Sahel de Bruxelles (sécurité et</w:t>
      </w:r>
      <w:r w:rsidR="00475744" w:rsidRPr="00475744">
        <w:rPr>
          <w:rFonts w:ascii="Times New Roman" w:hAnsi="Times New Roman"/>
          <w:sz w:val="24"/>
          <w:szCs w:val="24"/>
        </w:rPr>
        <w:t xml:space="preserve"> développement) qui a déjà été ajournée par deux fois, ainsi que les possibles interactions entre le G5 et les autres entités sous-régionales comme la CEDEAO, le CILSS, la Commission du Bassin du Lac Tchad, sont autant défis </w:t>
      </w:r>
      <w:r w:rsidR="008011AC">
        <w:rPr>
          <w:rFonts w:ascii="Times New Roman" w:hAnsi="Times New Roman"/>
          <w:sz w:val="24"/>
          <w:szCs w:val="24"/>
        </w:rPr>
        <w:t xml:space="preserve">sur </w:t>
      </w:r>
      <w:r w:rsidR="00475744" w:rsidRPr="00475744">
        <w:rPr>
          <w:rFonts w:ascii="Times New Roman" w:hAnsi="Times New Roman"/>
          <w:sz w:val="24"/>
          <w:szCs w:val="24"/>
        </w:rPr>
        <w:t>lesquels le programme pourrait articuler un plan de développement de capacités ancré dans UNISS.</w:t>
      </w:r>
    </w:p>
    <w:p w14:paraId="604B5172" w14:textId="77777777" w:rsidR="009B09D9" w:rsidRDefault="009B09D9" w:rsidP="005B22B2">
      <w:pPr>
        <w:spacing w:after="0" w:line="240" w:lineRule="auto"/>
        <w:jc w:val="both"/>
        <w:rPr>
          <w:rFonts w:ascii="Times New Roman" w:hAnsi="Times New Roman"/>
          <w:sz w:val="24"/>
          <w:szCs w:val="24"/>
        </w:rPr>
      </w:pPr>
    </w:p>
    <w:p w14:paraId="604B5173" w14:textId="77777777" w:rsidR="009B09D9" w:rsidRDefault="009B09D9" w:rsidP="005B22B2">
      <w:pPr>
        <w:spacing w:after="0" w:line="240" w:lineRule="auto"/>
        <w:ind w:left="360"/>
        <w:jc w:val="both"/>
        <w:rPr>
          <w:rFonts w:ascii="Times New Roman" w:hAnsi="Times New Roman"/>
          <w:b/>
          <w:sz w:val="24"/>
          <w:szCs w:val="24"/>
        </w:rPr>
      </w:pPr>
      <w:r w:rsidRPr="009B09D9">
        <w:rPr>
          <w:rFonts w:ascii="Times New Roman" w:hAnsi="Times New Roman"/>
          <w:b/>
          <w:sz w:val="24"/>
          <w:szCs w:val="24"/>
        </w:rPr>
        <w:t>Autres facteurs potent</w:t>
      </w:r>
      <w:r w:rsidR="0080352F">
        <w:rPr>
          <w:rFonts w:ascii="Times New Roman" w:hAnsi="Times New Roman"/>
          <w:b/>
          <w:sz w:val="24"/>
          <w:szCs w:val="24"/>
        </w:rPr>
        <w:t>iels de correction</w:t>
      </w:r>
    </w:p>
    <w:p w14:paraId="604B5174" w14:textId="77777777" w:rsidR="0080352F" w:rsidRDefault="0080352F" w:rsidP="005B22B2">
      <w:pPr>
        <w:spacing w:after="0" w:line="240" w:lineRule="auto"/>
        <w:jc w:val="both"/>
        <w:rPr>
          <w:rFonts w:ascii="Times New Roman" w:hAnsi="Times New Roman"/>
          <w:b/>
          <w:sz w:val="24"/>
          <w:szCs w:val="24"/>
        </w:rPr>
      </w:pPr>
    </w:p>
    <w:p w14:paraId="604B5175" w14:textId="77777777" w:rsidR="00887C5C" w:rsidRPr="0080352F" w:rsidRDefault="0080352F" w:rsidP="005B22B2">
      <w:pPr>
        <w:spacing w:after="0" w:line="240" w:lineRule="auto"/>
        <w:jc w:val="both"/>
        <w:rPr>
          <w:rFonts w:ascii="Times New Roman" w:hAnsi="Times New Roman"/>
          <w:sz w:val="24"/>
          <w:szCs w:val="24"/>
        </w:rPr>
      </w:pPr>
      <w:r w:rsidRPr="0080352F">
        <w:rPr>
          <w:rFonts w:ascii="Times New Roman" w:hAnsi="Times New Roman"/>
          <w:sz w:val="24"/>
          <w:szCs w:val="24"/>
        </w:rPr>
        <w:t>5</w:t>
      </w:r>
      <w:r w:rsidR="00C35441">
        <w:rPr>
          <w:rFonts w:ascii="Times New Roman" w:hAnsi="Times New Roman"/>
          <w:sz w:val="24"/>
          <w:szCs w:val="24"/>
        </w:rPr>
        <w:t>7</w:t>
      </w:r>
      <w:r w:rsidRPr="0080352F">
        <w:rPr>
          <w:rFonts w:ascii="Times New Roman" w:hAnsi="Times New Roman"/>
          <w:sz w:val="24"/>
          <w:szCs w:val="24"/>
        </w:rPr>
        <w:t>.</w:t>
      </w:r>
      <w:r w:rsidRPr="0080352F">
        <w:rPr>
          <w:rFonts w:ascii="Times New Roman" w:hAnsi="Times New Roman"/>
          <w:sz w:val="24"/>
          <w:szCs w:val="24"/>
        </w:rPr>
        <w:tab/>
        <w:t>D’autres éléments à considérer dans la révision du programme et issus des gaps de livraison ou de prise en charge dans la moitié échue du cycle, sont comme suit :</w:t>
      </w:r>
    </w:p>
    <w:p w14:paraId="604B5176" w14:textId="77777777" w:rsidR="0080352F" w:rsidRPr="009B09D9" w:rsidRDefault="0080352F" w:rsidP="005B22B2">
      <w:pPr>
        <w:spacing w:after="0" w:line="240" w:lineRule="auto"/>
        <w:jc w:val="both"/>
        <w:rPr>
          <w:rFonts w:ascii="Times New Roman" w:hAnsi="Times New Roman"/>
          <w:b/>
          <w:sz w:val="24"/>
          <w:szCs w:val="24"/>
        </w:rPr>
      </w:pPr>
    </w:p>
    <w:p w14:paraId="604B5177" w14:textId="77777777" w:rsidR="009B09D9" w:rsidRPr="00887C5C" w:rsidRDefault="009B09D9" w:rsidP="0089432A">
      <w:pPr>
        <w:pStyle w:val="Paragraphedeliste"/>
        <w:numPr>
          <w:ilvl w:val="0"/>
          <w:numId w:val="27"/>
        </w:numPr>
        <w:spacing w:after="0" w:line="240" w:lineRule="auto"/>
        <w:jc w:val="both"/>
        <w:rPr>
          <w:rFonts w:ascii="Times New Roman" w:hAnsi="Times New Roman"/>
          <w:sz w:val="24"/>
          <w:szCs w:val="24"/>
        </w:rPr>
      </w:pPr>
      <w:r w:rsidRPr="00887C5C">
        <w:rPr>
          <w:rFonts w:ascii="Times New Roman" w:hAnsi="Times New Roman"/>
          <w:sz w:val="24"/>
          <w:szCs w:val="24"/>
        </w:rPr>
        <w:t xml:space="preserve">Environnement : </w:t>
      </w:r>
      <w:r w:rsidR="00FB42E6">
        <w:rPr>
          <w:rFonts w:ascii="Times New Roman" w:hAnsi="Times New Roman"/>
          <w:sz w:val="24"/>
          <w:szCs w:val="24"/>
        </w:rPr>
        <w:t xml:space="preserve">il est noté qu’il n’y a </w:t>
      </w:r>
      <w:r w:rsidRPr="00887C5C">
        <w:rPr>
          <w:rFonts w:ascii="Times New Roman" w:hAnsi="Times New Roman"/>
          <w:sz w:val="24"/>
          <w:szCs w:val="24"/>
        </w:rPr>
        <w:t>pas encore assez de projets sur le fonds vert/climat Mali (voir l’indicateur correspondant)</w:t>
      </w:r>
    </w:p>
    <w:p w14:paraId="604B5178" w14:textId="77777777" w:rsidR="009B09D9" w:rsidRPr="00887C5C" w:rsidRDefault="009B09D9" w:rsidP="0089432A">
      <w:pPr>
        <w:pStyle w:val="Paragraphedeliste"/>
        <w:numPr>
          <w:ilvl w:val="0"/>
          <w:numId w:val="27"/>
        </w:numPr>
        <w:spacing w:after="0" w:line="240" w:lineRule="auto"/>
        <w:jc w:val="both"/>
        <w:rPr>
          <w:rFonts w:ascii="Times New Roman" w:hAnsi="Times New Roman"/>
          <w:sz w:val="24"/>
          <w:szCs w:val="24"/>
        </w:rPr>
      </w:pPr>
      <w:r w:rsidRPr="00887C5C">
        <w:rPr>
          <w:rFonts w:ascii="Times New Roman" w:hAnsi="Times New Roman"/>
          <w:sz w:val="24"/>
          <w:szCs w:val="24"/>
        </w:rPr>
        <w:t xml:space="preserve">Genre : </w:t>
      </w:r>
      <w:r w:rsidR="00FB42E6">
        <w:rPr>
          <w:rFonts w:ascii="Times New Roman" w:hAnsi="Times New Roman"/>
          <w:sz w:val="24"/>
          <w:szCs w:val="24"/>
        </w:rPr>
        <w:t xml:space="preserve">il est noté une </w:t>
      </w:r>
      <w:r w:rsidRPr="00887C5C">
        <w:rPr>
          <w:rFonts w:ascii="Times New Roman" w:hAnsi="Times New Roman"/>
          <w:sz w:val="24"/>
          <w:szCs w:val="24"/>
        </w:rPr>
        <w:t xml:space="preserve">faible analyse </w:t>
      </w:r>
      <w:r w:rsidR="00887C5C" w:rsidRPr="00887C5C">
        <w:rPr>
          <w:rFonts w:ascii="Times New Roman" w:hAnsi="Times New Roman"/>
          <w:sz w:val="24"/>
          <w:szCs w:val="24"/>
        </w:rPr>
        <w:t>situationnelle</w:t>
      </w:r>
      <w:r w:rsidR="00FB42E6">
        <w:rPr>
          <w:rFonts w:ascii="Times New Roman" w:hAnsi="Times New Roman"/>
          <w:sz w:val="24"/>
          <w:szCs w:val="24"/>
        </w:rPr>
        <w:t xml:space="preserve"> qui a débouché sur une </w:t>
      </w:r>
      <w:r w:rsidRPr="00887C5C">
        <w:rPr>
          <w:rFonts w:ascii="Times New Roman" w:hAnsi="Times New Roman"/>
          <w:sz w:val="24"/>
          <w:szCs w:val="24"/>
        </w:rPr>
        <w:t xml:space="preserve">faible prise en compte </w:t>
      </w:r>
      <w:r w:rsidR="00FB42E6">
        <w:rPr>
          <w:rFonts w:ascii="Times New Roman" w:hAnsi="Times New Roman"/>
          <w:sz w:val="24"/>
          <w:szCs w:val="24"/>
        </w:rPr>
        <w:t>de la thématique (</w:t>
      </w:r>
      <w:r w:rsidR="00887C5C" w:rsidRPr="00887C5C">
        <w:rPr>
          <w:rFonts w:ascii="Times New Roman" w:hAnsi="Times New Roman"/>
          <w:sz w:val="24"/>
          <w:szCs w:val="24"/>
        </w:rPr>
        <w:t>maintenant</w:t>
      </w:r>
      <w:r w:rsidRPr="00887C5C">
        <w:rPr>
          <w:rFonts w:ascii="Times New Roman" w:hAnsi="Times New Roman"/>
          <w:sz w:val="24"/>
          <w:szCs w:val="24"/>
        </w:rPr>
        <w:t xml:space="preserve"> il </w:t>
      </w:r>
      <w:r w:rsidR="00887C5C" w:rsidRPr="00887C5C">
        <w:rPr>
          <w:rFonts w:ascii="Times New Roman" w:hAnsi="Times New Roman"/>
          <w:sz w:val="24"/>
          <w:szCs w:val="24"/>
        </w:rPr>
        <w:t>existe des</w:t>
      </w:r>
      <w:r w:rsidRPr="00887C5C">
        <w:rPr>
          <w:rFonts w:ascii="Times New Roman" w:hAnsi="Times New Roman"/>
          <w:sz w:val="24"/>
          <w:szCs w:val="24"/>
        </w:rPr>
        <w:t xml:space="preserve"> référentiels </w:t>
      </w:r>
      <w:r w:rsidR="00887C5C" w:rsidRPr="00887C5C">
        <w:rPr>
          <w:rFonts w:ascii="Times New Roman" w:hAnsi="Times New Roman"/>
          <w:sz w:val="24"/>
          <w:szCs w:val="24"/>
        </w:rPr>
        <w:t>analytiques</w:t>
      </w:r>
      <w:r w:rsidRPr="00887C5C">
        <w:rPr>
          <w:rFonts w:ascii="Times New Roman" w:hAnsi="Times New Roman"/>
          <w:sz w:val="24"/>
          <w:szCs w:val="24"/>
        </w:rPr>
        <w:t xml:space="preserve"> à exploiter pour asseoir une </w:t>
      </w:r>
      <w:r w:rsidR="00FB42E6">
        <w:rPr>
          <w:rFonts w:ascii="Times New Roman" w:hAnsi="Times New Roman"/>
          <w:sz w:val="24"/>
          <w:szCs w:val="24"/>
        </w:rPr>
        <w:t xml:space="preserve">approche </w:t>
      </w:r>
      <w:r w:rsidRPr="00887C5C">
        <w:rPr>
          <w:rFonts w:ascii="Times New Roman" w:hAnsi="Times New Roman"/>
          <w:sz w:val="24"/>
          <w:szCs w:val="24"/>
        </w:rPr>
        <w:t>genre et développer des réponses appropriées</w:t>
      </w:r>
      <w:r w:rsidR="008011AC">
        <w:rPr>
          <w:rFonts w:ascii="Times New Roman" w:hAnsi="Times New Roman"/>
          <w:sz w:val="24"/>
          <w:szCs w:val="24"/>
        </w:rPr>
        <w:t>)</w:t>
      </w:r>
    </w:p>
    <w:p w14:paraId="604B5179" w14:textId="77777777" w:rsidR="009B09D9" w:rsidRPr="00C92DD3" w:rsidRDefault="00C92DD3" w:rsidP="0089432A">
      <w:pPr>
        <w:pStyle w:val="Paragraphedeliste"/>
        <w:numPr>
          <w:ilvl w:val="0"/>
          <w:numId w:val="27"/>
        </w:numPr>
        <w:spacing w:after="0" w:line="240" w:lineRule="auto"/>
        <w:jc w:val="both"/>
        <w:rPr>
          <w:rFonts w:ascii="Times New Roman" w:hAnsi="Times New Roman"/>
          <w:sz w:val="24"/>
          <w:szCs w:val="24"/>
        </w:rPr>
      </w:pPr>
      <w:r>
        <w:rPr>
          <w:rFonts w:ascii="Times New Roman" w:hAnsi="Times New Roman"/>
          <w:sz w:val="24"/>
          <w:szCs w:val="24"/>
        </w:rPr>
        <w:t>Inclusions</w:t>
      </w:r>
      <w:r w:rsidR="009B09D9" w:rsidRPr="00C92DD3">
        <w:rPr>
          <w:rFonts w:ascii="Times New Roman" w:hAnsi="Times New Roman"/>
          <w:sz w:val="24"/>
          <w:szCs w:val="24"/>
        </w:rPr>
        <w:t xml:space="preserve"> thématiques factuelles : question des déplacés/retournés </w:t>
      </w:r>
      <w:r w:rsidR="00FB42E6" w:rsidRPr="00C92DD3">
        <w:rPr>
          <w:rFonts w:ascii="Times New Roman" w:hAnsi="Times New Roman"/>
          <w:sz w:val="24"/>
          <w:szCs w:val="24"/>
        </w:rPr>
        <w:t xml:space="preserve">qui ne seraient pas suffisamment pris en compte dans les indicateurs de produits </w:t>
      </w:r>
      <w:r w:rsidR="009B09D9" w:rsidRPr="00C92DD3">
        <w:rPr>
          <w:rFonts w:ascii="Times New Roman" w:hAnsi="Times New Roman"/>
          <w:sz w:val="24"/>
          <w:szCs w:val="24"/>
        </w:rPr>
        <w:t xml:space="preserve">; </w:t>
      </w:r>
      <w:r w:rsidR="00887C5C" w:rsidRPr="00C92DD3">
        <w:rPr>
          <w:rFonts w:ascii="Times New Roman" w:hAnsi="Times New Roman"/>
          <w:sz w:val="24"/>
          <w:szCs w:val="24"/>
        </w:rPr>
        <w:t>les</w:t>
      </w:r>
      <w:r w:rsidR="009B09D9" w:rsidRPr="00C92DD3">
        <w:rPr>
          <w:rFonts w:ascii="Times New Roman" w:hAnsi="Times New Roman"/>
          <w:sz w:val="24"/>
          <w:szCs w:val="24"/>
        </w:rPr>
        <w:t xml:space="preserve"> questions de</w:t>
      </w:r>
      <w:r w:rsidR="00FB42E6" w:rsidRPr="00C92DD3">
        <w:rPr>
          <w:rFonts w:ascii="Times New Roman" w:hAnsi="Times New Roman"/>
          <w:sz w:val="24"/>
          <w:szCs w:val="24"/>
        </w:rPr>
        <w:t xml:space="preserve"> réhabilitation et re</w:t>
      </w:r>
      <w:r w:rsidR="008011AC">
        <w:rPr>
          <w:rFonts w:ascii="Times New Roman" w:hAnsi="Times New Roman"/>
          <w:sz w:val="24"/>
          <w:szCs w:val="24"/>
        </w:rPr>
        <w:t xml:space="preserve"> </w:t>
      </w:r>
      <w:r w:rsidR="00FB42E6" w:rsidRPr="00C92DD3">
        <w:rPr>
          <w:rFonts w:ascii="Times New Roman" w:hAnsi="Times New Roman"/>
          <w:sz w:val="24"/>
          <w:szCs w:val="24"/>
        </w:rPr>
        <w:t>profilage de mécanismes de justice traditionnelle en appui au traitement d</w:t>
      </w:r>
      <w:r w:rsidRPr="00C92DD3">
        <w:rPr>
          <w:rFonts w:ascii="Times New Roman" w:hAnsi="Times New Roman"/>
          <w:sz w:val="24"/>
          <w:szCs w:val="24"/>
        </w:rPr>
        <w:t>e la question de l’insécuri</w:t>
      </w:r>
      <w:r>
        <w:rPr>
          <w:rFonts w:ascii="Times New Roman" w:hAnsi="Times New Roman"/>
          <w:sz w:val="24"/>
          <w:szCs w:val="24"/>
        </w:rPr>
        <w:t>t</w:t>
      </w:r>
      <w:r w:rsidRPr="00C92DD3">
        <w:rPr>
          <w:rFonts w:ascii="Times New Roman" w:hAnsi="Times New Roman"/>
          <w:sz w:val="24"/>
          <w:szCs w:val="24"/>
        </w:rPr>
        <w:t>é des magistrats</w:t>
      </w:r>
      <w:r>
        <w:rPr>
          <w:rFonts w:ascii="Times New Roman" w:hAnsi="Times New Roman"/>
          <w:sz w:val="24"/>
          <w:szCs w:val="24"/>
        </w:rPr>
        <w:t> ; etc.</w:t>
      </w:r>
    </w:p>
    <w:p w14:paraId="604B517A" w14:textId="77777777" w:rsidR="00475744" w:rsidRDefault="00475744" w:rsidP="005B22B2">
      <w:pPr>
        <w:spacing w:after="0" w:line="240" w:lineRule="auto"/>
        <w:jc w:val="both"/>
        <w:rPr>
          <w:rFonts w:ascii="Times New Roman" w:hAnsi="Times New Roman"/>
          <w:sz w:val="24"/>
          <w:szCs w:val="24"/>
        </w:rPr>
      </w:pPr>
    </w:p>
    <w:p w14:paraId="604B517B" w14:textId="77777777" w:rsidR="00475744" w:rsidRPr="003467CE" w:rsidRDefault="00475744" w:rsidP="005B22B2">
      <w:pPr>
        <w:pStyle w:val="Titre3"/>
        <w:numPr>
          <w:ilvl w:val="2"/>
          <w:numId w:val="3"/>
        </w:numPr>
        <w:spacing w:before="0" w:line="240" w:lineRule="auto"/>
        <w:rPr>
          <w:rFonts w:ascii="Times New Roman" w:hAnsi="Times New Roman"/>
          <w:color w:val="auto"/>
          <w:sz w:val="24"/>
          <w:szCs w:val="24"/>
        </w:rPr>
      </w:pPr>
      <w:bookmarkStart w:id="178" w:name="_Toc502863870"/>
      <w:bookmarkStart w:id="179" w:name="_Toc505758475"/>
      <w:bookmarkStart w:id="180" w:name="_Toc506201567"/>
      <w:r w:rsidRPr="003467CE">
        <w:rPr>
          <w:rFonts w:ascii="Times New Roman" w:hAnsi="Times New Roman"/>
          <w:color w:val="auto"/>
          <w:sz w:val="24"/>
          <w:szCs w:val="24"/>
          <w:lang w:eastAsia="fr-FR"/>
        </w:rPr>
        <w:t>Pertinence logique : qualité du cadre de résultats et des ressources</w:t>
      </w:r>
      <w:bookmarkEnd w:id="178"/>
      <w:bookmarkEnd w:id="179"/>
      <w:bookmarkEnd w:id="180"/>
    </w:p>
    <w:p w14:paraId="604B517C" w14:textId="77777777" w:rsidR="00475744" w:rsidRPr="00475744" w:rsidRDefault="00475744" w:rsidP="005B22B2">
      <w:pPr>
        <w:spacing w:after="0" w:line="240" w:lineRule="auto"/>
        <w:jc w:val="both"/>
        <w:rPr>
          <w:rFonts w:ascii="Times New Roman" w:hAnsi="Times New Roman"/>
          <w:sz w:val="24"/>
          <w:szCs w:val="24"/>
        </w:rPr>
      </w:pPr>
    </w:p>
    <w:p w14:paraId="604B517D" w14:textId="77777777" w:rsidR="00475744" w:rsidRDefault="0080352F" w:rsidP="005B22B2">
      <w:pPr>
        <w:spacing w:after="0" w:line="240" w:lineRule="auto"/>
        <w:jc w:val="both"/>
        <w:rPr>
          <w:rFonts w:ascii="Times New Roman" w:hAnsi="Times New Roman"/>
          <w:sz w:val="24"/>
          <w:szCs w:val="24"/>
        </w:rPr>
      </w:pPr>
      <w:r>
        <w:rPr>
          <w:rFonts w:ascii="Times New Roman" w:hAnsi="Times New Roman"/>
          <w:sz w:val="24"/>
          <w:szCs w:val="24"/>
        </w:rPr>
        <w:t>5</w:t>
      </w:r>
      <w:r w:rsidR="00C35441">
        <w:rPr>
          <w:rFonts w:ascii="Times New Roman" w:hAnsi="Times New Roman"/>
          <w:sz w:val="24"/>
          <w:szCs w:val="24"/>
        </w:rPr>
        <w:t>8</w:t>
      </w:r>
      <w:r w:rsidR="00475744" w:rsidRPr="00475744">
        <w:rPr>
          <w:rFonts w:ascii="Times New Roman" w:hAnsi="Times New Roman"/>
          <w:sz w:val="24"/>
          <w:szCs w:val="24"/>
        </w:rPr>
        <w:t>.</w:t>
      </w:r>
      <w:r w:rsidR="00475744" w:rsidRPr="00475744">
        <w:rPr>
          <w:rFonts w:ascii="Times New Roman" w:hAnsi="Times New Roman"/>
          <w:sz w:val="24"/>
          <w:szCs w:val="24"/>
        </w:rPr>
        <w:tab/>
        <w:t xml:space="preserve">Le programme est doté d’une matrice valant cadre de mise en adéquation des résultats et des ressources. Cinq (05) </w:t>
      </w:r>
      <w:r w:rsidR="00475744" w:rsidRPr="003A1D53">
        <w:rPr>
          <w:rFonts w:ascii="Times New Roman" w:hAnsi="Times New Roman"/>
          <w:sz w:val="24"/>
          <w:szCs w:val="24"/>
        </w:rPr>
        <w:t xml:space="preserve">Effets et cent vingt et un (121) produits assortis de plusieurs centaines d’indicateurs de mesure, eux-mêmes articulés sur des valeurs de référence et des cibles à atteindre, décrivent les apports de substance que le programme se propose de faire à l’environnement. Les tableaux </w:t>
      </w:r>
      <w:r w:rsidR="00034D57" w:rsidRPr="003A1D53">
        <w:rPr>
          <w:rFonts w:ascii="Times New Roman" w:hAnsi="Times New Roman"/>
          <w:sz w:val="24"/>
          <w:szCs w:val="24"/>
        </w:rPr>
        <w:t xml:space="preserve">3 à 12, dans le cahier des Annexes, </w:t>
      </w:r>
      <w:r w:rsidR="00475744" w:rsidRPr="003A1D53">
        <w:rPr>
          <w:rFonts w:ascii="Times New Roman" w:hAnsi="Times New Roman"/>
          <w:sz w:val="24"/>
          <w:szCs w:val="24"/>
        </w:rPr>
        <w:t xml:space="preserve">analysent </w:t>
      </w:r>
      <w:r w:rsidR="00034D57" w:rsidRPr="003A1D53">
        <w:rPr>
          <w:rFonts w:ascii="Times New Roman" w:hAnsi="Times New Roman"/>
          <w:sz w:val="24"/>
          <w:szCs w:val="24"/>
        </w:rPr>
        <w:t xml:space="preserve">dans le détail, </w:t>
      </w:r>
      <w:r w:rsidR="00475744" w:rsidRPr="003A1D53">
        <w:rPr>
          <w:rFonts w:ascii="Times New Roman" w:hAnsi="Times New Roman"/>
          <w:sz w:val="24"/>
          <w:szCs w:val="24"/>
        </w:rPr>
        <w:t>la qualité technique de ces instruments de programmation.</w:t>
      </w:r>
    </w:p>
    <w:p w14:paraId="604B517E" w14:textId="77777777" w:rsidR="00034D57" w:rsidRPr="00034D57" w:rsidRDefault="00034D57" w:rsidP="005B22B2">
      <w:pPr>
        <w:spacing w:after="0" w:line="240" w:lineRule="auto"/>
        <w:jc w:val="both"/>
        <w:rPr>
          <w:rFonts w:ascii="Times New Roman" w:hAnsi="Times New Roman"/>
          <w:sz w:val="24"/>
          <w:szCs w:val="24"/>
        </w:rPr>
      </w:pPr>
    </w:p>
    <w:p w14:paraId="604B517F" w14:textId="77777777" w:rsidR="00475744" w:rsidRPr="00475744" w:rsidRDefault="0080352F" w:rsidP="005B22B2">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C35441">
        <w:rPr>
          <w:rFonts w:ascii="Times New Roman" w:hAnsi="Times New Roman"/>
          <w:sz w:val="24"/>
          <w:szCs w:val="24"/>
        </w:rPr>
        <w:t>9</w:t>
      </w:r>
      <w:r>
        <w:rPr>
          <w:rFonts w:ascii="Times New Roman" w:hAnsi="Times New Roman"/>
          <w:sz w:val="24"/>
          <w:szCs w:val="24"/>
        </w:rPr>
        <w:t>.</w:t>
      </w:r>
      <w:r w:rsidR="00475744" w:rsidRPr="00475744">
        <w:rPr>
          <w:rFonts w:ascii="Times New Roman" w:hAnsi="Times New Roman"/>
          <w:sz w:val="24"/>
          <w:szCs w:val="24"/>
        </w:rPr>
        <w:tab/>
        <w:t>L’Effet 1, "</w:t>
      </w:r>
      <w:r w:rsidR="00475744" w:rsidRPr="00475744">
        <w:rPr>
          <w:rFonts w:ascii="Times New Roman" w:hAnsi="Times New Roman"/>
          <w:i/>
          <w:sz w:val="24"/>
          <w:szCs w:val="24"/>
        </w:rPr>
        <w:t>La paix et la stabilisation sont assurées à travers un dialogue politique inclusif, une réforme des institutions concernées et la promotion d’une coexistence pacifique et le respect des droits humains.</w:t>
      </w:r>
      <w:r w:rsidR="00475744" w:rsidRPr="00475744">
        <w:rPr>
          <w:rFonts w:ascii="Times New Roman" w:hAnsi="Times New Roman"/>
          <w:sz w:val="24"/>
          <w:szCs w:val="24"/>
        </w:rPr>
        <w:t>", est formulé d’une manière ambigüe qui réunit les contenus de l’effet lui-même (paix et stabilité ; respect des droits humains), et des produits censés y contribuer (dialogue politique inclusif ; réformes des institutions ; promotion de la coexistence pacifique). L’Effet 1 aurait dû s’intituler "</w:t>
      </w:r>
      <w:r w:rsidR="00475744" w:rsidRPr="00475744">
        <w:rPr>
          <w:rFonts w:ascii="Times New Roman" w:hAnsi="Times New Roman"/>
          <w:i/>
          <w:sz w:val="24"/>
          <w:szCs w:val="24"/>
          <w:u w:val="single"/>
        </w:rPr>
        <w:t>La paix, la stabilisation et le respect des droits humains sont assurés</w:t>
      </w:r>
      <w:r w:rsidR="00475744" w:rsidRPr="00475744">
        <w:rPr>
          <w:rFonts w:ascii="Times New Roman" w:hAnsi="Times New Roman"/>
          <w:sz w:val="24"/>
          <w:szCs w:val="24"/>
        </w:rPr>
        <w:t>." Les indicateurs de performance sur l’effet sont mal libellés : au lieu du "Nombre d’incidents…, de victimes…, de réfugiés, déplacés…, de violations…", c’est plutôt, la "Baisse du Nombre d’incidents…, de victimes…, de réfugiés, déplacés…, de violations…", qui est significative de progrès dans l’effet 1.</w:t>
      </w:r>
    </w:p>
    <w:p w14:paraId="604B5180" w14:textId="77777777" w:rsidR="00475744" w:rsidRPr="00475744" w:rsidRDefault="00475744" w:rsidP="005B22B2">
      <w:pPr>
        <w:spacing w:after="0" w:line="240" w:lineRule="auto"/>
        <w:jc w:val="both"/>
        <w:rPr>
          <w:rFonts w:ascii="Times New Roman" w:hAnsi="Times New Roman"/>
          <w:sz w:val="24"/>
          <w:szCs w:val="24"/>
        </w:rPr>
      </w:pPr>
    </w:p>
    <w:p w14:paraId="604B5181" w14:textId="77777777" w:rsidR="00475744" w:rsidRPr="00475744" w:rsidRDefault="00C35441" w:rsidP="005B22B2">
      <w:pPr>
        <w:spacing w:after="0" w:line="240" w:lineRule="auto"/>
        <w:jc w:val="both"/>
        <w:rPr>
          <w:rFonts w:ascii="Times New Roman" w:hAnsi="Times New Roman"/>
          <w:sz w:val="24"/>
          <w:szCs w:val="24"/>
        </w:rPr>
      </w:pPr>
      <w:r>
        <w:rPr>
          <w:rFonts w:ascii="Times New Roman" w:hAnsi="Times New Roman"/>
          <w:sz w:val="24"/>
          <w:szCs w:val="24"/>
        </w:rPr>
        <w:t>60</w:t>
      </w:r>
      <w:r w:rsidR="0080352F">
        <w:rPr>
          <w:rFonts w:ascii="Times New Roman" w:hAnsi="Times New Roman"/>
          <w:sz w:val="24"/>
          <w:szCs w:val="24"/>
        </w:rPr>
        <w:t>.</w:t>
      </w:r>
      <w:r w:rsidR="00475744" w:rsidRPr="00475744">
        <w:rPr>
          <w:rFonts w:ascii="Times New Roman" w:hAnsi="Times New Roman"/>
          <w:sz w:val="24"/>
          <w:szCs w:val="24"/>
        </w:rPr>
        <w:tab/>
        <w:t>Par ailleurs</w:t>
      </w:r>
      <w:r w:rsidR="00642AD1">
        <w:rPr>
          <w:rFonts w:ascii="Times New Roman" w:hAnsi="Times New Roman"/>
          <w:sz w:val="24"/>
          <w:szCs w:val="24"/>
        </w:rPr>
        <w:t>,</w:t>
      </w:r>
      <w:r w:rsidR="00475744" w:rsidRPr="00475744">
        <w:rPr>
          <w:rFonts w:ascii="Times New Roman" w:hAnsi="Times New Roman"/>
          <w:sz w:val="24"/>
          <w:szCs w:val="24"/>
        </w:rPr>
        <w:t xml:space="preserve"> l’on note une surreprésentation des indicateurs de sécurité (incidents de sécurité et victimes d’incidents explosifs), l’absence d’indicateurs de dialogue politique inclusif et de réforme des institutions. En ce qui concerne l’intérêt opératoire des indicateurs, </w:t>
      </w:r>
      <w:r w:rsidR="00642AD1">
        <w:rPr>
          <w:rFonts w:ascii="Times New Roman" w:hAnsi="Times New Roman"/>
          <w:sz w:val="24"/>
          <w:szCs w:val="24"/>
        </w:rPr>
        <w:t>2</w:t>
      </w:r>
      <w:r w:rsidR="00475744" w:rsidRPr="00475744">
        <w:rPr>
          <w:rFonts w:ascii="Times New Roman" w:hAnsi="Times New Roman"/>
          <w:sz w:val="24"/>
          <w:szCs w:val="24"/>
        </w:rPr>
        <w:t xml:space="preserve"> sur 4 sont techniquement non décidables : à l’un, il manque une cible assignée, à l’autre une situation de référence déterminée. Du point de vue de</w:t>
      </w:r>
      <w:r w:rsidR="00642AD1">
        <w:rPr>
          <w:rFonts w:ascii="Times New Roman" w:hAnsi="Times New Roman"/>
          <w:sz w:val="24"/>
          <w:szCs w:val="24"/>
        </w:rPr>
        <w:t xml:space="preserve"> la sensibilité au genre, seul 1</w:t>
      </w:r>
      <w:r w:rsidR="00475744" w:rsidRPr="00475744">
        <w:rPr>
          <w:rFonts w:ascii="Times New Roman" w:hAnsi="Times New Roman"/>
          <w:sz w:val="24"/>
          <w:szCs w:val="24"/>
        </w:rPr>
        <w:t xml:space="preserve"> sur 4 a une formulation qui y satisfait explicitement. Enfin, le nombre d’indicateurs excède les 3 prescrits pour exprimer un résultat sans exercer une charge de documentation des mesures trop élevée.</w:t>
      </w:r>
    </w:p>
    <w:p w14:paraId="604B5182" w14:textId="77777777" w:rsidR="00475744" w:rsidRPr="00475744" w:rsidRDefault="00475744" w:rsidP="005B22B2">
      <w:pPr>
        <w:spacing w:after="0" w:line="240" w:lineRule="auto"/>
        <w:rPr>
          <w:rFonts w:ascii="Times New Roman" w:hAnsi="Times New Roman"/>
          <w:sz w:val="24"/>
          <w:szCs w:val="24"/>
        </w:rPr>
      </w:pPr>
    </w:p>
    <w:p w14:paraId="604B5183" w14:textId="77777777" w:rsidR="00475744" w:rsidRDefault="00C35441" w:rsidP="005B22B2">
      <w:pPr>
        <w:spacing w:after="0" w:line="240" w:lineRule="auto"/>
        <w:jc w:val="both"/>
        <w:rPr>
          <w:rFonts w:ascii="Times New Roman" w:hAnsi="Times New Roman"/>
          <w:sz w:val="24"/>
          <w:szCs w:val="24"/>
        </w:rPr>
      </w:pPr>
      <w:r>
        <w:rPr>
          <w:rFonts w:ascii="Times New Roman" w:hAnsi="Times New Roman"/>
          <w:sz w:val="24"/>
          <w:szCs w:val="24"/>
        </w:rPr>
        <w:t>61</w:t>
      </w:r>
      <w:r w:rsidR="00E548A9">
        <w:rPr>
          <w:rFonts w:ascii="Times New Roman" w:hAnsi="Times New Roman"/>
          <w:sz w:val="24"/>
          <w:szCs w:val="24"/>
        </w:rPr>
        <w:t>.</w:t>
      </w:r>
      <w:r w:rsidR="00475744" w:rsidRPr="00475744">
        <w:rPr>
          <w:rFonts w:ascii="Times New Roman" w:hAnsi="Times New Roman"/>
          <w:sz w:val="24"/>
          <w:szCs w:val="24"/>
        </w:rPr>
        <w:tab/>
        <w:t>L’Effet 2, "</w:t>
      </w:r>
      <w:r w:rsidR="00475744" w:rsidRPr="00475744">
        <w:rPr>
          <w:rFonts w:ascii="Times New Roman" w:hAnsi="Times New Roman"/>
          <w:i/>
          <w:sz w:val="24"/>
          <w:szCs w:val="24"/>
        </w:rPr>
        <w:t>D’ici 2019, la cohésion sociale est facilitée par la justice transitionnelle, le dialogue communautaire inclusif, la culture et l’éducation pour la paix</w:t>
      </w:r>
      <w:r w:rsidR="00475744" w:rsidRPr="00475744">
        <w:rPr>
          <w:rFonts w:ascii="Times New Roman" w:hAnsi="Times New Roman"/>
          <w:sz w:val="24"/>
          <w:szCs w:val="24"/>
        </w:rPr>
        <w:t>.", souffre aussi d’une rédaction inappropriée qui aligne des contenus d’effet (la cohésion sociale est facilité) et des éléments de produit (la justice transitionnelle ; le dialogue communautaire inclusif), et même quelque chose qui est entre les deux ("la culture et l’éducation pour la paix"). L’Effet 2 aurait dû se limiter à : "</w:t>
      </w:r>
      <w:r w:rsidR="00475744" w:rsidRPr="00475744">
        <w:rPr>
          <w:rFonts w:ascii="Times New Roman" w:hAnsi="Times New Roman"/>
          <w:i/>
          <w:sz w:val="24"/>
          <w:szCs w:val="24"/>
          <w:u w:val="single"/>
        </w:rPr>
        <w:t>D’ici 2019, la cohésion sociale et la culture de la paix sont facilitées.</w:t>
      </w:r>
      <w:r w:rsidR="00475744" w:rsidRPr="00475744">
        <w:rPr>
          <w:rFonts w:ascii="Times New Roman" w:hAnsi="Times New Roman"/>
          <w:sz w:val="24"/>
          <w:szCs w:val="24"/>
        </w:rPr>
        <w:t>"Les indicateurs sont mal libellés ; au lieu du "Pourcentage de conflits…, de bénéficiaires… et de personnes retournées…", c’est plutôt l’"Augmentation du Pourcentage de conflits…, de bénéficiaires… et de personnes retournées…", qui peut indiquer la progression du pays en matière de cohésion sociale et de culture de paix. Si la norme des trois indicateurs par résultat est respectée,  lesdits indicateurs ne sont pas sensibles au genre et souffrent d’une absence totale de situations dé référence et de cibles, ce qui les rend impuissants à indiquer précisément les progrès dans l’Effet.</w:t>
      </w:r>
    </w:p>
    <w:p w14:paraId="604B5184" w14:textId="77777777" w:rsidR="00303618" w:rsidRDefault="00303618" w:rsidP="005B22B2">
      <w:pPr>
        <w:pStyle w:val="Titre1"/>
        <w:spacing w:before="0" w:line="240" w:lineRule="auto"/>
        <w:rPr>
          <w:rFonts w:ascii="Times New Roman" w:hAnsi="Times New Roman"/>
          <w:b w:val="0"/>
          <w:color w:val="auto"/>
          <w:sz w:val="24"/>
          <w:szCs w:val="24"/>
        </w:rPr>
      </w:pPr>
    </w:p>
    <w:p w14:paraId="604B5185" w14:textId="77777777" w:rsidR="00475744" w:rsidRPr="00475744" w:rsidRDefault="00C35441" w:rsidP="005B22B2">
      <w:pPr>
        <w:spacing w:after="0" w:line="240" w:lineRule="auto"/>
        <w:jc w:val="both"/>
        <w:rPr>
          <w:rFonts w:ascii="Times New Roman" w:hAnsi="Times New Roman"/>
          <w:sz w:val="24"/>
          <w:szCs w:val="24"/>
        </w:rPr>
      </w:pPr>
      <w:r>
        <w:rPr>
          <w:rFonts w:ascii="Times New Roman" w:hAnsi="Times New Roman"/>
          <w:sz w:val="24"/>
          <w:szCs w:val="24"/>
        </w:rPr>
        <w:t>62</w:t>
      </w:r>
      <w:r w:rsidR="00E548A9">
        <w:rPr>
          <w:rFonts w:ascii="Times New Roman" w:hAnsi="Times New Roman"/>
          <w:sz w:val="24"/>
          <w:szCs w:val="24"/>
        </w:rPr>
        <w:t>.</w:t>
      </w:r>
      <w:r w:rsidR="00475744" w:rsidRPr="00475744">
        <w:rPr>
          <w:rFonts w:ascii="Times New Roman" w:hAnsi="Times New Roman"/>
          <w:sz w:val="24"/>
          <w:szCs w:val="24"/>
        </w:rPr>
        <w:tab/>
        <w:t>L’Effet 3,"</w:t>
      </w:r>
      <w:r w:rsidR="00475744" w:rsidRPr="00475744">
        <w:rPr>
          <w:rFonts w:ascii="Times New Roman" w:hAnsi="Times New Roman"/>
          <w:i/>
          <w:sz w:val="24"/>
          <w:szCs w:val="24"/>
        </w:rPr>
        <w:t>Les institutions étatiques, nationales et locales, exercent de manière plus efficace leurs missions de service public et les acteurs non étatiques participent et assurent le contrôle citoyen en conformité avec les principes de bonne gouvernance et d’Etat de droit</w:t>
      </w:r>
      <w:r w:rsidR="00475744" w:rsidRPr="00475744">
        <w:rPr>
          <w:rFonts w:ascii="Times New Roman" w:hAnsi="Times New Roman"/>
          <w:sz w:val="24"/>
          <w:szCs w:val="24"/>
        </w:rPr>
        <w:t>.", est bien libellé dans le sens où les différents éléments qui y sont exprimés sont des contenus d’effet (institutions de service public efficace</w:t>
      </w:r>
      <w:r w:rsidR="00642AD1">
        <w:rPr>
          <w:rFonts w:ascii="Times New Roman" w:hAnsi="Times New Roman"/>
          <w:sz w:val="24"/>
          <w:szCs w:val="24"/>
        </w:rPr>
        <w:t>s</w:t>
      </w:r>
      <w:r w:rsidR="00475744" w:rsidRPr="00475744">
        <w:rPr>
          <w:rFonts w:ascii="Times New Roman" w:hAnsi="Times New Roman"/>
          <w:sz w:val="24"/>
          <w:szCs w:val="24"/>
        </w:rPr>
        <w:t> ; contrôle citoyen conforme à l’Etat de droit et à la bonne gouvernance, exercé). La formulation des indicateurs</w:t>
      </w:r>
      <w:r w:rsidR="00642AD1">
        <w:rPr>
          <w:rFonts w:ascii="Times New Roman" w:hAnsi="Times New Roman"/>
          <w:sz w:val="24"/>
          <w:szCs w:val="24"/>
        </w:rPr>
        <w:t>,</w:t>
      </w:r>
      <w:r w:rsidR="00475744" w:rsidRPr="00475744">
        <w:rPr>
          <w:rFonts w:ascii="Times New Roman" w:hAnsi="Times New Roman"/>
          <w:sz w:val="24"/>
          <w:szCs w:val="24"/>
        </w:rPr>
        <w:t xml:space="preserve"> en revanche</w:t>
      </w:r>
      <w:r w:rsidR="00642AD1">
        <w:rPr>
          <w:rFonts w:ascii="Times New Roman" w:hAnsi="Times New Roman"/>
          <w:sz w:val="24"/>
          <w:szCs w:val="24"/>
        </w:rPr>
        <w:t>,</w:t>
      </w:r>
      <w:r w:rsidR="00475744" w:rsidRPr="00475744">
        <w:rPr>
          <w:rFonts w:ascii="Times New Roman" w:hAnsi="Times New Roman"/>
          <w:sz w:val="24"/>
          <w:szCs w:val="24"/>
        </w:rPr>
        <w:t xml:space="preserve"> reste biaisée, articulée sur les valeurs et non sur les dynamiques </w:t>
      </w:r>
      <w:r w:rsidR="00642AD1">
        <w:rPr>
          <w:rFonts w:ascii="Times New Roman" w:hAnsi="Times New Roman"/>
          <w:sz w:val="24"/>
          <w:szCs w:val="24"/>
        </w:rPr>
        <w:t>(</w:t>
      </w:r>
      <w:r w:rsidR="00475744" w:rsidRPr="00475744">
        <w:rPr>
          <w:rFonts w:ascii="Times New Roman" w:hAnsi="Times New Roman"/>
          <w:sz w:val="24"/>
          <w:szCs w:val="24"/>
        </w:rPr>
        <w:t>haussières et baissières, selon le cas</w:t>
      </w:r>
      <w:r w:rsidR="00642AD1">
        <w:rPr>
          <w:rFonts w:ascii="Times New Roman" w:hAnsi="Times New Roman"/>
          <w:sz w:val="24"/>
          <w:szCs w:val="24"/>
        </w:rPr>
        <w:t>)</w:t>
      </w:r>
      <w:r w:rsidR="00475744" w:rsidRPr="00475744">
        <w:rPr>
          <w:rFonts w:ascii="Times New Roman" w:hAnsi="Times New Roman"/>
          <w:sz w:val="24"/>
          <w:szCs w:val="24"/>
        </w:rPr>
        <w:t xml:space="preserve">, seules en mesure d’exprimer la performance réalisée par le pays au regard de l’effet. Avec 6 indicateurs autour de cet effet, le cadre de mesure se révèle particulièrement encombré, sans pour autant couvrir </w:t>
      </w:r>
      <w:r w:rsidR="00642AD1">
        <w:rPr>
          <w:rFonts w:ascii="Times New Roman" w:hAnsi="Times New Roman"/>
          <w:sz w:val="24"/>
          <w:szCs w:val="24"/>
        </w:rPr>
        <w:t>toutes les dimensions de l’E</w:t>
      </w:r>
      <w:r w:rsidR="00475744" w:rsidRPr="00475744">
        <w:rPr>
          <w:rFonts w:ascii="Times New Roman" w:hAnsi="Times New Roman"/>
          <w:sz w:val="24"/>
          <w:szCs w:val="24"/>
        </w:rPr>
        <w:t xml:space="preserve">ffet : l’exercice du contrôle citoyen n’est pas mesuré. Enfin, seuls 2 indicateurs sur les 6 sont ouvertement sensibles au genre, tandis tous ont fait l’objet d’une détermination de leurs situations de référence et cibles, à l’exception d’un seul qui dispose d’une situation de référence mais pas de cible.  </w:t>
      </w:r>
    </w:p>
    <w:p w14:paraId="604B5186" w14:textId="77777777" w:rsidR="004C1CD9" w:rsidRDefault="004C1CD9" w:rsidP="005B22B2">
      <w:pPr>
        <w:spacing w:after="0" w:line="240" w:lineRule="auto"/>
        <w:jc w:val="both"/>
        <w:rPr>
          <w:rFonts w:ascii="Times New Roman" w:eastAsia="Times New Roman" w:hAnsi="Times New Roman"/>
          <w:b/>
          <w:bCs/>
          <w:sz w:val="24"/>
          <w:szCs w:val="24"/>
        </w:rPr>
      </w:pPr>
      <w:bookmarkStart w:id="181" w:name="_Toc499211606"/>
      <w:bookmarkStart w:id="182" w:name="_Toc499213879"/>
    </w:p>
    <w:p w14:paraId="604B5187" w14:textId="77777777" w:rsidR="00475744" w:rsidRDefault="00C21F24" w:rsidP="005B22B2">
      <w:pPr>
        <w:spacing w:after="0" w:line="240" w:lineRule="auto"/>
        <w:jc w:val="both"/>
        <w:rPr>
          <w:rFonts w:ascii="Times New Roman" w:eastAsia="Times New Roman" w:hAnsi="Times New Roman"/>
          <w:bCs/>
          <w:sz w:val="24"/>
          <w:szCs w:val="24"/>
        </w:rPr>
      </w:pPr>
      <w:r w:rsidRPr="00C21F24">
        <w:rPr>
          <w:rFonts w:ascii="Times New Roman" w:eastAsia="Times New Roman" w:hAnsi="Times New Roman"/>
          <w:bCs/>
          <w:sz w:val="24"/>
          <w:szCs w:val="24"/>
        </w:rPr>
        <w:t>6</w:t>
      </w:r>
      <w:r w:rsidR="00C35441">
        <w:rPr>
          <w:rFonts w:ascii="Times New Roman" w:eastAsia="Times New Roman" w:hAnsi="Times New Roman"/>
          <w:bCs/>
          <w:sz w:val="24"/>
          <w:szCs w:val="24"/>
        </w:rPr>
        <w:t>3</w:t>
      </w:r>
      <w:r w:rsidRPr="00C21F24">
        <w:rPr>
          <w:rFonts w:ascii="Times New Roman" w:eastAsia="Times New Roman" w:hAnsi="Times New Roman"/>
          <w:bCs/>
          <w:sz w:val="24"/>
          <w:szCs w:val="24"/>
        </w:rPr>
        <w:t>.</w:t>
      </w:r>
      <w:r w:rsidR="00475744" w:rsidRPr="00475744">
        <w:rPr>
          <w:rFonts w:ascii="Times New Roman" w:eastAsia="Times New Roman" w:hAnsi="Times New Roman"/>
          <w:b/>
          <w:bCs/>
          <w:sz w:val="24"/>
          <w:szCs w:val="24"/>
        </w:rPr>
        <w:tab/>
        <w:t>L’Effet 4, "</w:t>
      </w:r>
      <w:r w:rsidR="00475744" w:rsidRPr="00475744">
        <w:rPr>
          <w:rFonts w:ascii="Times New Roman" w:eastAsia="Times New Roman" w:hAnsi="Times New Roman"/>
          <w:bCs/>
          <w:i/>
          <w:sz w:val="24"/>
          <w:szCs w:val="24"/>
        </w:rPr>
        <w:t>D’ici 2019, les populations, en particulier les femmes et les enfants les plus vulnérables et celles affectées par les crises, ont un accès accru et équitable et utilisent les SSB de qualité</w:t>
      </w:r>
      <w:r w:rsidR="00475744" w:rsidRPr="00475744">
        <w:rPr>
          <w:rFonts w:ascii="Times New Roman" w:eastAsia="Times New Roman" w:hAnsi="Times New Roman"/>
          <w:bCs/>
          <w:sz w:val="24"/>
          <w:szCs w:val="24"/>
        </w:rPr>
        <w:t xml:space="preserve">.", est adéquatement libellé, dans le sens où il ne contient que des contenus d’effet. </w:t>
      </w:r>
      <w:r w:rsidR="00475744" w:rsidRPr="00475744">
        <w:rPr>
          <w:rFonts w:ascii="Times New Roman" w:eastAsia="Times New Roman" w:hAnsi="Times New Roman"/>
          <w:bCs/>
          <w:sz w:val="24"/>
          <w:szCs w:val="24"/>
        </w:rPr>
        <w:lastRenderedPageBreak/>
        <w:t xml:space="preserve">En revanche, ses indicateurs de mesure, 17 au total, sont particulièrement pléthoriques, et résument des états </w:t>
      </w:r>
      <w:r w:rsidR="00642AD1">
        <w:rPr>
          <w:rFonts w:ascii="Times New Roman" w:eastAsia="Times New Roman" w:hAnsi="Times New Roman"/>
          <w:bCs/>
          <w:sz w:val="24"/>
          <w:szCs w:val="24"/>
        </w:rPr>
        <w:t xml:space="preserve">statiques </w:t>
      </w:r>
      <w:r w:rsidR="00475744" w:rsidRPr="00475744">
        <w:rPr>
          <w:rFonts w:ascii="Times New Roman" w:eastAsia="Times New Roman" w:hAnsi="Times New Roman"/>
          <w:bCs/>
          <w:sz w:val="24"/>
          <w:szCs w:val="24"/>
        </w:rPr>
        <w:t xml:space="preserve">et non des dynamiques synonymes de progression. Par rapport au genre, la situation des indicateurs est assez </w:t>
      </w:r>
      <w:r w:rsidR="00642AD1">
        <w:rPr>
          <w:rFonts w:ascii="Times New Roman" w:eastAsia="Times New Roman" w:hAnsi="Times New Roman"/>
          <w:bCs/>
          <w:sz w:val="24"/>
          <w:szCs w:val="24"/>
        </w:rPr>
        <w:t>partagé</w:t>
      </w:r>
      <w:r w:rsidR="00475744" w:rsidRPr="00475744">
        <w:rPr>
          <w:rFonts w:ascii="Times New Roman" w:eastAsia="Times New Roman" w:hAnsi="Times New Roman"/>
          <w:bCs/>
          <w:sz w:val="24"/>
          <w:szCs w:val="24"/>
        </w:rPr>
        <w:t>e : 7 indicateurs sur 17 ne sont pas sensibles au genre ; 3 indicateurs de santé de la reproduction sont sensibles au genre, non pas par volontarisme pro genre, mais parce que la réalité sous-jacente est naturellement féminine ; les indicateurs d’éducation, en revanche, dénotent une réelle préoccupation de faire ressortir les niveaux d’effort spécifiques du pays en direction de la petite fille. Enfin, pour l’ensemble des 17 indicateurs, les situations de référence et les cibles sont déterminées.</w:t>
      </w:r>
    </w:p>
    <w:p w14:paraId="604B5188" w14:textId="77777777" w:rsidR="00303618" w:rsidRPr="00475744" w:rsidRDefault="00303618" w:rsidP="005B22B2">
      <w:pPr>
        <w:spacing w:after="0" w:line="240" w:lineRule="auto"/>
        <w:jc w:val="both"/>
        <w:rPr>
          <w:rFonts w:ascii="Times New Roman" w:eastAsia="Times New Roman" w:hAnsi="Times New Roman"/>
          <w:bCs/>
          <w:sz w:val="24"/>
          <w:szCs w:val="24"/>
        </w:rPr>
      </w:pPr>
    </w:p>
    <w:p w14:paraId="604B5189" w14:textId="77777777" w:rsidR="00475744" w:rsidRPr="00475744" w:rsidRDefault="00475744" w:rsidP="005B22B2">
      <w:pPr>
        <w:spacing w:after="0" w:line="240" w:lineRule="auto"/>
        <w:jc w:val="both"/>
        <w:rPr>
          <w:rFonts w:ascii="Times New Roman" w:eastAsia="Times New Roman" w:hAnsi="Times New Roman"/>
          <w:bCs/>
          <w:sz w:val="20"/>
          <w:szCs w:val="20"/>
        </w:rPr>
      </w:pPr>
    </w:p>
    <w:p w14:paraId="604B518A" w14:textId="77777777" w:rsidR="00475744" w:rsidRPr="00475744" w:rsidRDefault="00C21F24" w:rsidP="005B22B2">
      <w:pPr>
        <w:spacing w:after="0" w:line="240" w:lineRule="auto"/>
        <w:jc w:val="both"/>
        <w:rPr>
          <w:rFonts w:ascii="Times New Roman" w:eastAsia="Times New Roman" w:hAnsi="Times New Roman"/>
          <w:b/>
          <w:bCs/>
          <w:sz w:val="24"/>
          <w:szCs w:val="24"/>
        </w:rPr>
      </w:pPr>
      <w:r w:rsidRPr="00C21F24">
        <w:rPr>
          <w:rFonts w:ascii="Times New Roman" w:eastAsia="Times New Roman" w:hAnsi="Times New Roman"/>
          <w:bCs/>
          <w:sz w:val="24"/>
          <w:szCs w:val="24"/>
        </w:rPr>
        <w:t>6</w:t>
      </w:r>
      <w:r w:rsidR="00C35441">
        <w:rPr>
          <w:rFonts w:ascii="Times New Roman" w:eastAsia="Times New Roman" w:hAnsi="Times New Roman"/>
          <w:bCs/>
          <w:sz w:val="24"/>
          <w:szCs w:val="24"/>
        </w:rPr>
        <w:t>4</w:t>
      </w:r>
      <w:r w:rsidRPr="00C21F24">
        <w:rPr>
          <w:rFonts w:ascii="Times New Roman" w:eastAsia="Times New Roman" w:hAnsi="Times New Roman"/>
          <w:bCs/>
          <w:sz w:val="24"/>
          <w:szCs w:val="24"/>
        </w:rPr>
        <w:t>.</w:t>
      </w:r>
      <w:r w:rsidR="00475744" w:rsidRPr="00475744">
        <w:rPr>
          <w:rFonts w:ascii="Times New Roman" w:eastAsia="Times New Roman" w:hAnsi="Times New Roman"/>
          <w:b/>
          <w:bCs/>
          <w:sz w:val="24"/>
          <w:szCs w:val="24"/>
        </w:rPr>
        <w:tab/>
        <w:t xml:space="preserve">L’Effet 5, </w:t>
      </w:r>
      <w:r w:rsidR="00475744" w:rsidRPr="00475744">
        <w:rPr>
          <w:rFonts w:ascii="Times New Roman" w:eastAsia="Times New Roman" w:hAnsi="Times New Roman"/>
          <w:bCs/>
          <w:sz w:val="24"/>
          <w:szCs w:val="24"/>
        </w:rPr>
        <w:t>"</w:t>
      </w:r>
      <w:r w:rsidR="00475744" w:rsidRPr="00475744">
        <w:rPr>
          <w:rFonts w:ascii="Times New Roman" w:eastAsia="Times New Roman" w:hAnsi="Times New Roman"/>
          <w:bCs/>
          <w:i/>
          <w:sz w:val="24"/>
          <w:szCs w:val="24"/>
        </w:rPr>
        <w:t>Les populations défavorisées particulièrement les femmes et les jeunes, bénéficient de capacités et d’opportunités productives accrues, dans un environnement sain et durable, favorable à la réduction de la pauvreté</w:t>
      </w:r>
      <w:r w:rsidR="00475744" w:rsidRPr="00475744">
        <w:rPr>
          <w:rFonts w:ascii="Times New Roman" w:eastAsia="Times New Roman" w:hAnsi="Times New Roman"/>
          <w:bCs/>
          <w:sz w:val="24"/>
          <w:szCs w:val="24"/>
        </w:rPr>
        <w:t xml:space="preserve">.", est également libellé de façon techniquement adéquate et sensible au genre. Les 4 indicateurs retenus débordent, plutôt légèrement, la norme de 3, et sont comme les autres des instruments statiques ne reflétant pas les mouvements </w:t>
      </w:r>
      <w:r w:rsidR="00642AD1">
        <w:rPr>
          <w:rFonts w:ascii="Times New Roman" w:eastAsia="Times New Roman" w:hAnsi="Times New Roman"/>
          <w:bCs/>
          <w:sz w:val="24"/>
          <w:szCs w:val="24"/>
        </w:rPr>
        <w:t>potentiellement indicatifs de progrès dans l’E</w:t>
      </w:r>
      <w:r w:rsidR="00475744" w:rsidRPr="00475744">
        <w:rPr>
          <w:rFonts w:ascii="Times New Roman" w:eastAsia="Times New Roman" w:hAnsi="Times New Roman"/>
          <w:bCs/>
          <w:sz w:val="24"/>
          <w:szCs w:val="24"/>
        </w:rPr>
        <w:t>ffet. Tous disposent d’une situation de référence et d’une cible, mais aucun n’est sensible au genre. Enfin la couverture de</w:t>
      </w:r>
      <w:r w:rsidR="00642AD1">
        <w:rPr>
          <w:rFonts w:ascii="Times New Roman" w:eastAsia="Times New Roman" w:hAnsi="Times New Roman"/>
          <w:bCs/>
          <w:sz w:val="24"/>
          <w:szCs w:val="24"/>
        </w:rPr>
        <w:t>s contenus de l’E</w:t>
      </w:r>
      <w:r w:rsidR="00475744" w:rsidRPr="00475744">
        <w:rPr>
          <w:rFonts w:ascii="Times New Roman" w:eastAsia="Times New Roman" w:hAnsi="Times New Roman"/>
          <w:bCs/>
          <w:sz w:val="24"/>
          <w:szCs w:val="24"/>
        </w:rPr>
        <w:t>ffet est incomplète, la dimension environnementale n’étant pas mesur</w:t>
      </w:r>
      <w:r w:rsidR="00642AD1">
        <w:rPr>
          <w:rFonts w:ascii="Times New Roman" w:eastAsia="Times New Roman" w:hAnsi="Times New Roman"/>
          <w:bCs/>
          <w:sz w:val="24"/>
          <w:szCs w:val="24"/>
        </w:rPr>
        <w:t>é</w:t>
      </w:r>
      <w:r w:rsidR="00475744" w:rsidRPr="00475744">
        <w:rPr>
          <w:rFonts w:ascii="Times New Roman" w:eastAsia="Times New Roman" w:hAnsi="Times New Roman"/>
          <w:bCs/>
          <w:sz w:val="24"/>
          <w:szCs w:val="24"/>
        </w:rPr>
        <w:t>e. Ce manquement profite à la dimension économique et productiviste classique, mesurée par  trois indicateurs (taux de chômage, de croissance et de pauvreté</w:t>
      </w:r>
      <w:r w:rsidR="00642AD1">
        <w:rPr>
          <w:rFonts w:ascii="Times New Roman" w:eastAsia="Times New Roman" w:hAnsi="Times New Roman"/>
          <w:bCs/>
          <w:sz w:val="24"/>
          <w:szCs w:val="24"/>
        </w:rPr>
        <w:t>)</w:t>
      </w:r>
      <w:r w:rsidR="00475744" w:rsidRPr="00475744">
        <w:rPr>
          <w:rFonts w:ascii="Times New Roman" w:eastAsia="Times New Roman" w:hAnsi="Times New Roman"/>
          <w:bCs/>
          <w:sz w:val="24"/>
          <w:szCs w:val="24"/>
        </w:rPr>
        <w:t>. Les indicateurs sont statiques : seule la confrontation entre les références et les cibles permet de les insérer dans la perspective dynamique devant rendre compte des progrès recherchés par le programme.</w:t>
      </w:r>
    </w:p>
    <w:p w14:paraId="604B518B" w14:textId="77777777" w:rsidR="00475744" w:rsidRPr="00475744" w:rsidRDefault="00475744" w:rsidP="005B22B2">
      <w:pPr>
        <w:spacing w:after="0" w:line="240" w:lineRule="auto"/>
        <w:jc w:val="both"/>
        <w:rPr>
          <w:rFonts w:ascii="Times New Roman" w:eastAsia="Times New Roman" w:hAnsi="Times New Roman"/>
          <w:b/>
          <w:bCs/>
          <w:sz w:val="24"/>
          <w:szCs w:val="24"/>
        </w:rPr>
      </w:pPr>
    </w:p>
    <w:p w14:paraId="604B518C" w14:textId="77777777" w:rsidR="00475744" w:rsidRPr="00475744" w:rsidRDefault="00475744" w:rsidP="005B22B2">
      <w:pPr>
        <w:spacing w:after="0" w:line="240" w:lineRule="auto"/>
        <w:jc w:val="both"/>
        <w:rPr>
          <w:rFonts w:ascii="Times New Roman" w:eastAsia="Times New Roman" w:hAnsi="Times New Roman"/>
          <w:b/>
          <w:bCs/>
          <w:sz w:val="24"/>
          <w:szCs w:val="24"/>
        </w:rPr>
      </w:pPr>
      <w:r w:rsidRPr="00475744">
        <w:rPr>
          <w:rFonts w:ascii="Times New Roman" w:eastAsia="Times New Roman" w:hAnsi="Times New Roman"/>
          <w:b/>
          <w:bCs/>
          <w:sz w:val="24"/>
          <w:szCs w:val="24"/>
        </w:rPr>
        <w:tab/>
        <w:t>Chaîne de produits liés à l’Effet 1</w:t>
      </w:r>
    </w:p>
    <w:p w14:paraId="604B518D" w14:textId="77777777" w:rsidR="00475744" w:rsidRPr="00475744" w:rsidRDefault="00475744" w:rsidP="005B22B2">
      <w:pPr>
        <w:spacing w:after="0" w:line="240" w:lineRule="auto"/>
        <w:jc w:val="both"/>
        <w:rPr>
          <w:rFonts w:ascii="Times New Roman" w:eastAsia="Times New Roman" w:hAnsi="Times New Roman"/>
          <w:b/>
          <w:bCs/>
          <w:sz w:val="24"/>
          <w:szCs w:val="24"/>
        </w:rPr>
      </w:pPr>
    </w:p>
    <w:p w14:paraId="604B518E" w14:textId="77777777" w:rsidR="00475744" w:rsidRPr="00475744" w:rsidRDefault="00C21F24" w:rsidP="005B22B2">
      <w:pPr>
        <w:spacing w:after="0" w:line="240" w:lineRule="auto"/>
        <w:jc w:val="both"/>
        <w:rPr>
          <w:rFonts w:ascii="Times New Roman" w:hAnsi="Times New Roman"/>
          <w:sz w:val="24"/>
          <w:szCs w:val="24"/>
        </w:rPr>
      </w:pPr>
      <w:r>
        <w:rPr>
          <w:rFonts w:ascii="Times New Roman" w:eastAsia="Times New Roman" w:hAnsi="Times New Roman"/>
          <w:bCs/>
          <w:sz w:val="24"/>
          <w:szCs w:val="24"/>
        </w:rPr>
        <w:t>6</w:t>
      </w:r>
      <w:r w:rsidR="00C35441">
        <w:rPr>
          <w:rFonts w:ascii="Times New Roman" w:eastAsia="Times New Roman" w:hAnsi="Times New Roman"/>
          <w:bCs/>
          <w:sz w:val="24"/>
          <w:szCs w:val="24"/>
        </w:rPr>
        <w:t>5</w:t>
      </w:r>
      <w:r>
        <w:rPr>
          <w:rFonts w:ascii="Times New Roman" w:eastAsia="Times New Roman" w:hAnsi="Times New Roman"/>
          <w:bCs/>
          <w:sz w:val="24"/>
          <w:szCs w:val="24"/>
        </w:rPr>
        <w:t>.</w:t>
      </w:r>
      <w:r w:rsidR="00475744" w:rsidRPr="00475744">
        <w:rPr>
          <w:rFonts w:ascii="Times New Roman" w:eastAsia="Times New Roman" w:hAnsi="Times New Roman"/>
          <w:bCs/>
          <w:sz w:val="24"/>
          <w:szCs w:val="24"/>
        </w:rPr>
        <w:tab/>
      </w:r>
      <w:r w:rsidR="00475744" w:rsidRPr="004C1CD9">
        <w:rPr>
          <w:rFonts w:ascii="Times New Roman" w:eastAsia="Times New Roman" w:hAnsi="Times New Roman"/>
          <w:bCs/>
          <w:sz w:val="24"/>
          <w:szCs w:val="24"/>
        </w:rPr>
        <w:t>Sur quatre produits dédiés à porter les contributions du programme à l’Effet 1, deux au moins ont une formulation partiellement inadéquate, mélange d’éléments de résultats et de produit proprement dits : Produit 1.1., "</w:t>
      </w:r>
      <w:r w:rsidR="00475744" w:rsidRPr="004C1CD9">
        <w:rPr>
          <w:rFonts w:ascii="Times New Roman" w:hAnsi="Times New Roman"/>
          <w:i/>
          <w:sz w:val="24"/>
          <w:szCs w:val="24"/>
        </w:rPr>
        <w:t>Dialogue politique / médiation: Les mécanismes de dialogue politique et de médiation inclusifs sont améliorés à travers le renforcement des capacités techniques des institutions gouvernementales et des autres acteurs nationaux y compris les groupes armés</w:t>
      </w:r>
      <w:r w:rsidR="00475744" w:rsidRPr="004C1CD9">
        <w:rPr>
          <w:rFonts w:ascii="Times New Roman" w:hAnsi="Times New Roman"/>
          <w:sz w:val="24"/>
          <w:szCs w:val="24"/>
        </w:rPr>
        <w:t>" : l’amélioration attendue des mécanismes… est un contenu d’effet, tandis le renforcement des capacités techniques des instituions…, est bien un contenu de produit ; Produit 1.4 : "</w:t>
      </w:r>
      <w:r w:rsidR="00475744" w:rsidRPr="004C1CD9">
        <w:rPr>
          <w:rFonts w:ascii="Times New Roman" w:hAnsi="Times New Roman"/>
          <w:i/>
          <w:sz w:val="24"/>
          <w:szCs w:val="24"/>
        </w:rPr>
        <w:t>Réduction des risques explosifs : Les risques explosifs sont réduits à travers une capacité nationale et communautaire renforcée</w:t>
      </w:r>
      <w:r w:rsidR="00475744" w:rsidRPr="004C1CD9">
        <w:rPr>
          <w:rFonts w:ascii="Times New Roman" w:hAnsi="Times New Roman"/>
          <w:sz w:val="24"/>
          <w:szCs w:val="24"/>
        </w:rPr>
        <w:t>" : la réduction des risques explosifs tient de l’effet, et le renforcement de la capacité nationale…, un contenu de produit. Les produits 1.2. et 1.3. sont, quant à eux, adéquatement libellés, à la réserve près qu’eux</w:t>
      </w:r>
      <w:r w:rsidR="00475744" w:rsidRPr="00475744">
        <w:rPr>
          <w:rFonts w:ascii="Times New Roman" w:hAnsi="Times New Roman"/>
          <w:sz w:val="24"/>
          <w:szCs w:val="24"/>
        </w:rPr>
        <w:t xml:space="preserve"> aussi décrivent des états statiques au lieu de refléter des dynamiques plus appropriées pour exprimer les progrès attendus. </w:t>
      </w:r>
    </w:p>
    <w:p w14:paraId="604B518F" w14:textId="77777777" w:rsidR="00475744" w:rsidRPr="00475744" w:rsidRDefault="00475744" w:rsidP="005B22B2">
      <w:pPr>
        <w:spacing w:after="0" w:line="240" w:lineRule="auto"/>
        <w:jc w:val="both"/>
        <w:rPr>
          <w:rFonts w:ascii="Times New Roman" w:hAnsi="Times New Roman"/>
          <w:sz w:val="24"/>
          <w:szCs w:val="24"/>
        </w:rPr>
      </w:pPr>
    </w:p>
    <w:p w14:paraId="604B5190" w14:textId="77777777" w:rsidR="00475744" w:rsidRDefault="00C35441" w:rsidP="005B22B2">
      <w:pPr>
        <w:spacing w:after="0" w:line="240" w:lineRule="auto"/>
        <w:jc w:val="both"/>
        <w:rPr>
          <w:rFonts w:ascii="Times New Roman" w:hAnsi="Times New Roman"/>
          <w:sz w:val="24"/>
          <w:szCs w:val="24"/>
        </w:rPr>
      </w:pPr>
      <w:r>
        <w:rPr>
          <w:rFonts w:ascii="Times New Roman" w:hAnsi="Times New Roman"/>
          <w:sz w:val="24"/>
          <w:szCs w:val="24"/>
        </w:rPr>
        <w:t>66</w:t>
      </w:r>
      <w:r w:rsidR="00C21F24">
        <w:rPr>
          <w:rFonts w:ascii="Times New Roman" w:hAnsi="Times New Roman"/>
          <w:sz w:val="24"/>
          <w:szCs w:val="24"/>
        </w:rPr>
        <w:t>.</w:t>
      </w:r>
      <w:r w:rsidR="00475744" w:rsidRPr="00475744">
        <w:rPr>
          <w:rFonts w:ascii="Times New Roman" w:hAnsi="Times New Roman"/>
          <w:sz w:val="24"/>
          <w:szCs w:val="24"/>
        </w:rPr>
        <w:tab/>
        <w:t xml:space="preserve">Si tous les indicateurs de cette chaîne de produits sont assortis de situations de référence et de cibles déterminées, au moins deux ne sont pas formulés de manière </w:t>
      </w:r>
      <w:r w:rsidR="00475744" w:rsidRPr="004C1CD9">
        <w:rPr>
          <w:rFonts w:ascii="Times New Roman" w:hAnsi="Times New Roman"/>
          <w:sz w:val="24"/>
          <w:szCs w:val="24"/>
        </w:rPr>
        <w:t>adéquate : le 1.1.3, "</w:t>
      </w:r>
      <w:r w:rsidR="00475744" w:rsidRPr="004C1CD9">
        <w:rPr>
          <w:rFonts w:ascii="Times New Roman" w:eastAsia="Times New Roman" w:hAnsi="Times New Roman"/>
          <w:color w:val="000000"/>
          <w:sz w:val="24"/>
          <w:szCs w:val="24"/>
          <w:lang w:eastAsia="fr-FR"/>
        </w:rPr>
        <w:t>Pourcentage de dialogue inclusif politique et communautaire avec participation des organisations de la société civile", et le 1.2.3., "</w:t>
      </w:r>
      <w:r w:rsidR="00475744" w:rsidRPr="004C1CD9">
        <w:rPr>
          <w:rFonts w:ascii="Times New Roman" w:eastAsia="Times New Roman" w:hAnsi="Times New Roman"/>
          <w:i/>
          <w:color w:val="000000"/>
          <w:sz w:val="24"/>
          <w:szCs w:val="24"/>
          <w:lang w:eastAsia="fr-FR"/>
        </w:rPr>
        <w:t>Proportion de plaintes contre les forces armées et de sécurité malienne qui sont traitées à terme par le système de justice formel</w:t>
      </w:r>
      <w:r w:rsidR="00475744" w:rsidRPr="004C1CD9">
        <w:rPr>
          <w:rFonts w:ascii="Times New Roman" w:eastAsia="Times New Roman" w:hAnsi="Times New Roman"/>
          <w:color w:val="000000"/>
          <w:sz w:val="24"/>
          <w:szCs w:val="24"/>
          <w:lang w:eastAsia="fr-FR"/>
        </w:rPr>
        <w:t>", sont des indicateurs d’effet, pas de produit à proprement parler.  A 23 indicateurs</w:t>
      </w:r>
      <w:r w:rsidR="00475744" w:rsidRPr="00475744">
        <w:rPr>
          <w:rFonts w:ascii="Times New Roman" w:eastAsia="Times New Roman" w:hAnsi="Times New Roman"/>
          <w:color w:val="000000"/>
          <w:sz w:val="24"/>
          <w:szCs w:val="24"/>
          <w:lang w:eastAsia="fr-FR"/>
        </w:rPr>
        <w:t xml:space="preserve"> pour 4 produits, l’effectif d’indicateurs se révèle pléthorique aussi, puisqu’il y a en moyenne près de 6 indicateurs par produit, soit près du double de ce qui dev</w:t>
      </w:r>
      <w:r w:rsidR="00E7666B">
        <w:rPr>
          <w:rFonts w:ascii="Times New Roman" w:eastAsia="Times New Roman" w:hAnsi="Times New Roman"/>
          <w:color w:val="000000"/>
          <w:sz w:val="24"/>
          <w:szCs w:val="24"/>
          <w:lang w:eastAsia="fr-FR"/>
        </w:rPr>
        <w:t>r</w:t>
      </w:r>
      <w:r w:rsidR="00475744" w:rsidRPr="00475744">
        <w:rPr>
          <w:rFonts w:ascii="Times New Roman" w:eastAsia="Times New Roman" w:hAnsi="Times New Roman"/>
          <w:color w:val="000000"/>
          <w:sz w:val="24"/>
          <w:szCs w:val="24"/>
          <w:lang w:eastAsia="fr-FR"/>
        </w:rPr>
        <w:t>ait être.</w:t>
      </w:r>
      <w:r w:rsidR="00475744" w:rsidRPr="00475744">
        <w:rPr>
          <w:rFonts w:ascii="Times New Roman" w:hAnsi="Times New Roman"/>
          <w:sz w:val="24"/>
          <w:szCs w:val="24"/>
        </w:rPr>
        <w:t xml:space="preserve"> La sensibilité au genre reste faible par ailleurs, avec 3 indicateurs </w:t>
      </w:r>
      <w:r w:rsidR="00083CF9">
        <w:rPr>
          <w:rFonts w:ascii="Times New Roman" w:hAnsi="Times New Roman"/>
          <w:sz w:val="24"/>
          <w:szCs w:val="24"/>
        </w:rPr>
        <w:t xml:space="preserve">seulement </w:t>
      </w:r>
      <w:r w:rsidR="00475744" w:rsidRPr="00475744">
        <w:rPr>
          <w:rFonts w:ascii="Times New Roman" w:hAnsi="Times New Roman"/>
          <w:sz w:val="24"/>
          <w:szCs w:val="24"/>
        </w:rPr>
        <w:t>satisfaisant</w:t>
      </w:r>
      <w:r w:rsidR="00083CF9">
        <w:rPr>
          <w:rFonts w:ascii="Times New Roman" w:hAnsi="Times New Roman"/>
          <w:sz w:val="24"/>
          <w:szCs w:val="24"/>
        </w:rPr>
        <w:t>s</w:t>
      </w:r>
      <w:r w:rsidR="00475744" w:rsidRPr="00475744">
        <w:rPr>
          <w:rFonts w:ascii="Times New Roman" w:hAnsi="Times New Roman"/>
          <w:sz w:val="24"/>
          <w:szCs w:val="24"/>
        </w:rPr>
        <w:t xml:space="preserve"> à cet égard.</w:t>
      </w:r>
    </w:p>
    <w:p w14:paraId="604B5191" w14:textId="77777777" w:rsidR="00303618" w:rsidRDefault="00303618" w:rsidP="005B22B2">
      <w:pPr>
        <w:pStyle w:val="Titre1"/>
        <w:tabs>
          <w:tab w:val="center" w:pos="4535"/>
        </w:tabs>
        <w:spacing w:before="0" w:line="240" w:lineRule="auto"/>
        <w:rPr>
          <w:rFonts w:ascii="Times New Roman" w:hAnsi="Times New Roman"/>
          <w:b w:val="0"/>
          <w:color w:val="auto"/>
          <w:sz w:val="24"/>
          <w:szCs w:val="24"/>
        </w:rPr>
      </w:pPr>
    </w:p>
    <w:p w14:paraId="604B5192" w14:textId="77777777" w:rsidR="00475744" w:rsidRPr="00475744" w:rsidRDefault="00475744" w:rsidP="005B22B2">
      <w:pPr>
        <w:spacing w:after="0" w:line="240" w:lineRule="auto"/>
        <w:jc w:val="both"/>
        <w:rPr>
          <w:rFonts w:ascii="Times New Roman" w:eastAsia="Times New Roman" w:hAnsi="Times New Roman"/>
          <w:b/>
          <w:bCs/>
          <w:sz w:val="24"/>
          <w:szCs w:val="24"/>
        </w:rPr>
      </w:pPr>
      <w:r w:rsidRPr="00475744">
        <w:rPr>
          <w:rFonts w:ascii="Times New Roman" w:eastAsia="Times New Roman" w:hAnsi="Times New Roman"/>
          <w:b/>
          <w:bCs/>
          <w:sz w:val="24"/>
          <w:szCs w:val="24"/>
        </w:rPr>
        <w:t>Chaîne de produits liés à l’Effet 2</w:t>
      </w:r>
    </w:p>
    <w:p w14:paraId="604B5193" w14:textId="77777777" w:rsidR="00475744" w:rsidRPr="00475744" w:rsidRDefault="00475744" w:rsidP="005B22B2">
      <w:pPr>
        <w:spacing w:after="0" w:line="240" w:lineRule="auto"/>
        <w:jc w:val="both"/>
        <w:rPr>
          <w:rFonts w:ascii="Times New Roman" w:eastAsia="Times New Roman" w:hAnsi="Times New Roman"/>
          <w:bCs/>
          <w:sz w:val="24"/>
          <w:szCs w:val="24"/>
        </w:rPr>
      </w:pPr>
    </w:p>
    <w:p w14:paraId="604B5194" w14:textId="77777777" w:rsidR="00475744" w:rsidRDefault="00C21F24"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6</w:t>
      </w:r>
      <w:r w:rsidR="00C35441">
        <w:rPr>
          <w:rFonts w:ascii="Times New Roman" w:eastAsia="Times New Roman" w:hAnsi="Times New Roman"/>
          <w:bCs/>
          <w:sz w:val="24"/>
          <w:szCs w:val="24"/>
        </w:rPr>
        <w:t>7</w:t>
      </w:r>
      <w:r>
        <w:rPr>
          <w:rFonts w:ascii="Times New Roman" w:eastAsia="Times New Roman" w:hAnsi="Times New Roman"/>
          <w:bCs/>
          <w:sz w:val="24"/>
          <w:szCs w:val="24"/>
        </w:rPr>
        <w:t>.</w:t>
      </w:r>
      <w:r w:rsidR="00475744" w:rsidRPr="00475744">
        <w:rPr>
          <w:rFonts w:ascii="Times New Roman" w:eastAsia="Times New Roman" w:hAnsi="Times New Roman"/>
          <w:bCs/>
          <w:sz w:val="24"/>
          <w:szCs w:val="24"/>
        </w:rPr>
        <w:tab/>
        <w:t>La chaîne de produits référés à l’Effet 2 comporte 4 contenus, tous adéquatement formulés. Les 17 indicateurs destinés à mesurer les progrès excèdent largement la norme de 3 indicateurs/produit, pour se situer à une moyenne de 4,25 indicateurs par produit. Au moins 3 indicateurs, le 2.1.1., "</w:t>
      </w:r>
      <w:r w:rsidR="00475744" w:rsidRPr="00475744">
        <w:rPr>
          <w:rFonts w:ascii="Times New Roman" w:eastAsia="Times New Roman" w:hAnsi="Times New Roman"/>
          <w:bCs/>
          <w:i/>
          <w:sz w:val="24"/>
          <w:szCs w:val="24"/>
        </w:rPr>
        <w:t>Nombre de textes réglementaires adoptés et mis en œuvre par les membres de la CVJR</w:t>
      </w:r>
      <w:r w:rsidR="00475744" w:rsidRPr="00475744">
        <w:rPr>
          <w:rFonts w:ascii="Times New Roman" w:eastAsia="Times New Roman" w:hAnsi="Times New Roman"/>
          <w:bCs/>
          <w:sz w:val="24"/>
          <w:szCs w:val="24"/>
        </w:rPr>
        <w:t>", le 2.1.2., "%  des cas investigués par la CVJR par rapport au nombre de cas de plaintes déposés", et le 2.1.5., "</w:t>
      </w:r>
      <w:r w:rsidR="00475744" w:rsidRPr="00475744">
        <w:rPr>
          <w:rFonts w:ascii="Times New Roman" w:eastAsia="Times New Roman" w:hAnsi="Times New Roman"/>
          <w:bCs/>
          <w:i/>
          <w:sz w:val="24"/>
          <w:szCs w:val="24"/>
        </w:rPr>
        <w:t>Nombre de structures de la société civile, incluant les organisations des femmes, qui participent au sein de la coalition pour la justice transitionnelle</w:t>
      </w:r>
      <w:r w:rsidR="00475744" w:rsidRPr="00475744">
        <w:rPr>
          <w:rFonts w:ascii="Times New Roman" w:eastAsia="Times New Roman" w:hAnsi="Times New Roman"/>
          <w:bCs/>
          <w:sz w:val="24"/>
          <w:szCs w:val="24"/>
        </w:rPr>
        <w:t xml:space="preserve">", sont formulés de manière inadéquate car ayant un contenu d’effet plutôt que de produit. La sensibilité au genre est très faible par ailleurs, avec seulement 2 indicateurs </w:t>
      </w:r>
      <w:r w:rsidR="00E7666B">
        <w:rPr>
          <w:rFonts w:ascii="Times New Roman" w:eastAsia="Times New Roman" w:hAnsi="Times New Roman"/>
          <w:bCs/>
          <w:sz w:val="24"/>
          <w:szCs w:val="24"/>
        </w:rPr>
        <w:t xml:space="preserve">ciblant spécifiquement </w:t>
      </w:r>
      <w:r w:rsidR="00475744" w:rsidRPr="00475744">
        <w:rPr>
          <w:rFonts w:ascii="Times New Roman" w:eastAsia="Times New Roman" w:hAnsi="Times New Roman"/>
          <w:bCs/>
          <w:sz w:val="24"/>
          <w:szCs w:val="24"/>
        </w:rPr>
        <w:t>cette dimension. En revanche tous les 27 sont adossés à des situations de référence et des cibles clairement identifiées.</w:t>
      </w:r>
    </w:p>
    <w:p w14:paraId="604B5195" w14:textId="77777777" w:rsidR="00303618" w:rsidRDefault="00303618" w:rsidP="005B22B2">
      <w:pPr>
        <w:spacing w:after="0" w:line="240" w:lineRule="auto"/>
        <w:jc w:val="both"/>
        <w:rPr>
          <w:rFonts w:ascii="Times New Roman" w:eastAsia="Times New Roman" w:hAnsi="Times New Roman"/>
          <w:bCs/>
          <w:sz w:val="24"/>
          <w:szCs w:val="24"/>
        </w:rPr>
      </w:pPr>
    </w:p>
    <w:p w14:paraId="604B5196" w14:textId="77777777" w:rsidR="00475744" w:rsidRPr="00475744" w:rsidRDefault="00475744" w:rsidP="005B22B2">
      <w:pPr>
        <w:spacing w:after="0" w:line="240" w:lineRule="auto"/>
        <w:jc w:val="both"/>
        <w:rPr>
          <w:rFonts w:ascii="Times New Roman" w:eastAsia="Times New Roman" w:hAnsi="Times New Roman"/>
          <w:b/>
          <w:bCs/>
          <w:sz w:val="24"/>
          <w:szCs w:val="24"/>
        </w:rPr>
      </w:pPr>
      <w:r w:rsidRPr="00475744">
        <w:rPr>
          <w:rFonts w:ascii="Times New Roman" w:eastAsia="Times New Roman" w:hAnsi="Times New Roman"/>
          <w:b/>
          <w:bCs/>
          <w:sz w:val="24"/>
          <w:szCs w:val="24"/>
        </w:rPr>
        <w:t>Chaîne de produits liés à l’Effet 3</w:t>
      </w:r>
    </w:p>
    <w:p w14:paraId="604B5197" w14:textId="77777777" w:rsidR="00475744" w:rsidRPr="00475744" w:rsidRDefault="00475744" w:rsidP="005B22B2">
      <w:pPr>
        <w:spacing w:after="0" w:line="240" w:lineRule="auto"/>
        <w:jc w:val="both"/>
      </w:pPr>
    </w:p>
    <w:p w14:paraId="604B5198" w14:textId="77777777" w:rsidR="00475744" w:rsidRPr="00475744" w:rsidRDefault="00C21F24"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6</w:t>
      </w:r>
      <w:r w:rsidR="00C35441">
        <w:rPr>
          <w:rFonts w:ascii="Times New Roman" w:eastAsia="Times New Roman" w:hAnsi="Times New Roman"/>
          <w:bCs/>
          <w:sz w:val="24"/>
          <w:szCs w:val="24"/>
        </w:rPr>
        <w:t>8</w:t>
      </w:r>
      <w:r>
        <w:rPr>
          <w:rFonts w:ascii="Times New Roman" w:eastAsia="Times New Roman" w:hAnsi="Times New Roman"/>
          <w:bCs/>
          <w:sz w:val="24"/>
          <w:szCs w:val="24"/>
        </w:rPr>
        <w:t>.</w:t>
      </w:r>
      <w:r w:rsidR="00475744" w:rsidRPr="00475744">
        <w:rPr>
          <w:rFonts w:ascii="Times New Roman" w:eastAsia="Times New Roman" w:hAnsi="Times New Roman"/>
          <w:bCs/>
          <w:sz w:val="24"/>
          <w:szCs w:val="24"/>
        </w:rPr>
        <w:tab/>
        <w:t>Un total de 7 produits sont référés à l’Effet 3, pour 24 indicateurs, soit un ratio de 3,4 indicateur</w:t>
      </w:r>
      <w:r w:rsidR="00E7666B">
        <w:rPr>
          <w:rFonts w:ascii="Times New Roman" w:eastAsia="Times New Roman" w:hAnsi="Times New Roman"/>
          <w:bCs/>
          <w:sz w:val="24"/>
          <w:szCs w:val="24"/>
        </w:rPr>
        <w:t>s</w:t>
      </w:r>
      <w:r w:rsidR="00475744" w:rsidRPr="00475744">
        <w:rPr>
          <w:rFonts w:ascii="Times New Roman" w:eastAsia="Times New Roman" w:hAnsi="Times New Roman"/>
          <w:bCs/>
          <w:sz w:val="24"/>
          <w:szCs w:val="24"/>
        </w:rPr>
        <w:t xml:space="preserve"> par produit, légèrement au dessus de la norme de 3. Trois produits sont libellés de manière inadéquate car renfermant plutôt des contenus d</w:t>
      </w:r>
      <w:r w:rsidR="00E7666B">
        <w:rPr>
          <w:rFonts w:ascii="Times New Roman" w:eastAsia="Times New Roman" w:hAnsi="Times New Roman"/>
          <w:bCs/>
          <w:sz w:val="24"/>
          <w:szCs w:val="24"/>
        </w:rPr>
        <w:t>’effet</w:t>
      </w:r>
      <w:r w:rsidR="00475744" w:rsidRPr="00475744">
        <w:rPr>
          <w:rFonts w:ascii="Times New Roman" w:eastAsia="Times New Roman" w:hAnsi="Times New Roman"/>
          <w:bCs/>
          <w:sz w:val="24"/>
          <w:szCs w:val="24"/>
        </w:rPr>
        <w:t> : Produit 3.3, "</w:t>
      </w:r>
      <w:r w:rsidR="00475744" w:rsidRPr="00475744">
        <w:rPr>
          <w:rFonts w:ascii="Times New Roman" w:eastAsia="Times New Roman" w:hAnsi="Times New Roman"/>
          <w:bCs/>
          <w:i/>
          <w:sz w:val="24"/>
          <w:szCs w:val="24"/>
        </w:rPr>
        <w:t>Les stratégies et plans d’action disponibles sont opérationnalisés pour l’approfondissement de la décentralisation et la consolidation de la gouvernance locale.</w:t>
      </w:r>
      <w:r w:rsidR="00475744" w:rsidRPr="00475744">
        <w:rPr>
          <w:rFonts w:ascii="Times New Roman" w:eastAsia="Times New Roman" w:hAnsi="Times New Roman"/>
          <w:bCs/>
          <w:sz w:val="24"/>
          <w:szCs w:val="24"/>
        </w:rPr>
        <w:t>" ; Produit 3.7, "</w:t>
      </w:r>
      <w:r w:rsidR="00475744" w:rsidRPr="00475744">
        <w:rPr>
          <w:rFonts w:ascii="Times New Roman" w:eastAsia="Times New Roman" w:hAnsi="Times New Roman"/>
          <w:bCs/>
          <w:i/>
          <w:sz w:val="24"/>
          <w:szCs w:val="24"/>
        </w:rPr>
        <w:t>Les mécanismes nationaux formels et informels de promotion et de protection des droits Humains disposent des capacités institutionnelles et techniques pour mieux accomplir leurs missions en conformité avec les standards internationaux.</w:t>
      </w:r>
      <w:r w:rsidR="00475744" w:rsidRPr="00475744">
        <w:rPr>
          <w:rFonts w:ascii="Times New Roman" w:eastAsia="Times New Roman" w:hAnsi="Times New Roman"/>
          <w:bCs/>
          <w:sz w:val="24"/>
          <w:szCs w:val="24"/>
        </w:rPr>
        <w:t>" ; Produit 3.6, "</w:t>
      </w:r>
      <w:r w:rsidR="00475744" w:rsidRPr="00475744">
        <w:rPr>
          <w:rFonts w:ascii="Times New Roman" w:eastAsia="Times New Roman" w:hAnsi="Times New Roman"/>
          <w:bCs/>
          <w:i/>
          <w:sz w:val="24"/>
          <w:szCs w:val="24"/>
        </w:rPr>
        <w:t>Le fonctionnement des Institutions judiciaires et pénitentiaires et des organes de lutte contre l’impunité est amélioré sur toute l’étendue du territoire national dans un cadre juridique réformé conforme aux principes de l’Etat de droit.</w:t>
      </w:r>
      <w:r w:rsidR="00475744" w:rsidRPr="00475744">
        <w:rPr>
          <w:rFonts w:ascii="Times New Roman" w:eastAsia="Times New Roman" w:hAnsi="Times New Roman"/>
          <w:bCs/>
          <w:sz w:val="24"/>
          <w:szCs w:val="24"/>
        </w:rPr>
        <w:t>". Un quatrième, le 3.5., "</w:t>
      </w:r>
      <w:r w:rsidR="00475744" w:rsidRPr="00475744">
        <w:rPr>
          <w:rFonts w:ascii="Times New Roman" w:eastAsia="Times New Roman" w:hAnsi="Times New Roman"/>
          <w:bCs/>
          <w:i/>
          <w:sz w:val="24"/>
          <w:szCs w:val="24"/>
        </w:rPr>
        <w:t>Les capacités des organisations de la société civile et des médias sont renforcées en vue d’améliorer le contrôle citoyen, la redevabilité des institutions et la participation des femmes et des jeunes dans la vie publique</w:t>
      </w:r>
      <w:r w:rsidR="00475744" w:rsidRPr="00475744">
        <w:rPr>
          <w:rFonts w:ascii="Times New Roman" w:eastAsia="Times New Roman" w:hAnsi="Times New Roman"/>
          <w:bCs/>
          <w:sz w:val="24"/>
          <w:szCs w:val="24"/>
        </w:rPr>
        <w:t>.", mélange des éléments d</w:t>
      </w:r>
      <w:r w:rsidR="00E7666B">
        <w:rPr>
          <w:rFonts w:ascii="Times New Roman" w:eastAsia="Times New Roman" w:hAnsi="Times New Roman"/>
          <w:bCs/>
          <w:sz w:val="24"/>
          <w:szCs w:val="24"/>
        </w:rPr>
        <w:t>’</w:t>
      </w:r>
      <w:r w:rsidR="00475744" w:rsidRPr="00475744">
        <w:rPr>
          <w:rFonts w:ascii="Times New Roman" w:eastAsia="Times New Roman" w:hAnsi="Times New Roman"/>
          <w:bCs/>
          <w:sz w:val="24"/>
          <w:szCs w:val="24"/>
        </w:rPr>
        <w:t>e</w:t>
      </w:r>
      <w:r w:rsidR="00E7666B">
        <w:rPr>
          <w:rFonts w:ascii="Times New Roman" w:eastAsia="Times New Roman" w:hAnsi="Times New Roman"/>
          <w:bCs/>
          <w:sz w:val="24"/>
          <w:szCs w:val="24"/>
        </w:rPr>
        <w:t>ffet</w:t>
      </w:r>
      <w:r w:rsidR="00475744" w:rsidRPr="00475744">
        <w:rPr>
          <w:rFonts w:ascii="Times New Roman" w:eastAsia="Times New Roman" w:hAnsi="Times New Roman"/>
          <w:bCs/>
          <w:sz w:val="24"/>
          <w:szCs w:val="24"/>
        </w:rPr>
        <w:t xml:space="preserve"> (amélioration du contrôle citoyen, de la redevabilité des institutions et la participation des femmes et des jeunes dans la vie publique) et d’autres de produit (capacités des organisations de la société civile et des médias sont renforcées).Aucun produit n’est sensible au genre dans sa formulation.</w:t>
      </w:r>
    </w:p>
    <w:p w14:paraId="604B5199" w14:textId="77777777" w:rsidR="00475744" w:rsidRPr="00475744" w:rsidRDefault="00475744" w:rsidP="005B22B2">
      <w:pPr>
        <w:spacing w:after="0" w:line="240" w:lineRule="auto"/>
        <w:jc w:val="both"/>
        <w:rPr>
          <w:rFonts w:ascii="Times New Roman" w:eastAsia="Times New Roman" w:hAnsi="Times New Roman"/>
          <w:bCs/>
          <w:sz w:val="24"/>
          <w:szCs w:val="24"/>
        </w:rPr>
      </w:pPr>
    </w:p>
    <w:p w14:paraId="604B519A" w14:textId="77777777" w:rsidR="00475744" w:rsidRPr="00475744" w:rsidRDefault="00C21F24"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6</w:t>
      </w:r>
      <w:r w:rsidR="00C35441">
        <w:rPr>
          <w:rFonts w:ascii="Times New Roman" w:eastAsia="Times New Roman" w:hAnsi="Times New Roman"/>
          <w:bCs/>
          <w:sz w:val="24"/>
          <w:szCs w:val="24"/>
        </w:rPr>
        <w:t>9</w:t>
      </w:r>
      <w:r>
        <w:rPr>
          <w:rFonts w:ascii="Times New Roman" w:eastAsia="Times New Roman" w:hAnsi="Times New Roman"/>
          <w:bCs/>
          <w:sz w:val="24"/>
          <w:szCs w:val="24"/>
        </w:rPr>
        <w:t>.</w:t>
      </w:r>
      <w:r w:rsidR="00475744" w:rsidRPr="00475744">
        <w:rPr>
          <w:rFonts w:ascii="Times New Roman" w:eastAsia="Times New Roman" w:hAnsi="Times New Roman"/>
          <w:bCs/>
          <w:sz w:val="24"/>
          <w:szCs w:val="24"/>
        </w:rPr>
        <w:tab/>
        <w:t xml:space="preserve">Les 24 indicateurs sont tous des indicateurs pertinents pour refléter des produits, mais aucun n’est sensible au genre. 14 indicateurs sur 24, soit plus de la moitié sont formulés de manière inadéquate car </w:t>
      </w:r>
      <w:r w:rsidR="00E7666B">
        <w:rPr>
          <w:rFonts w:ascii="Times New Roman" w:eastAsia="Times New Roman" w:hAnsi="Times New Roman"/>
          <w:bCs/>
          <w:sz w:val="24"/>
          <w:szCs w:val="24"/>
        </w:rPr>
        <w:t>tenant d’un effet</w:t>
      </w:r>
      <w:r w:rsidR="00475744" w:rsidRPr="00475744">
        <w:rPr>
          <w:rFonts w:ascii="Times New Roman" w:eastAsia="Times New Roman" w:hAnsi="Times New Roman"/>
          <w:bCs/>
          <w:sz w:val="24"/>
          <w:szCs w:val="24"/>
        </w:rPr>
        <w:t xml:space="preserve"> dont le programme à lui seul ne peut être comptable. </w:t>
      </w:r>
      <w:r w:rsidR="00E7666B">
        <w:rPr>
          <w:rFonts w:ascii="Times New Roman" w:eastAsia="Times New Roman" w:hAnsi="Times New Roman"/>
          <w:bCs/>
          <w:sz w:val="24"/>
          <w:szCs w:val="24"/>
        </w:rPr>
        <w:t>Trois indicateurs ne</w:t>
      </w:r>
      <w:r w:rsidR="00475744" w:rsidRPr="00475744">
        <w:rPr>
          <w:rFonts w:ascii="Times New Roman" w:eastAsia="Times New Roman" w:hAnsi="Times New Roman"/>
          <w:bCs/>
          <w:sz w:val="24"/>
          <w:szCs w:val="24"/>
        </w:rPr>
        <w:t xml:space="preserve"> disposent ni d’une situation de référence ni d’une cible déterminée, les 21 autres satisfaisant à ces deux exigences.</w:t>
      </w:r>
    </w:p>
    <w:p w14:paraId="604B519B" w14:textId="77777777" w:rsidR="00475744" w:rsidRDefault="00475744" w:rsidP="005B22B2">
      <w:pPr>
        <w:spacing w:after="0" w:line="240" w:lineRule="auto"/>
        <w:jc w:val="both"/>
      </w:pPr>
    </w:p>
    <w:p w14:paraId="604B519C" w14:textId="77777777" w:rsidR="00475744" w:rsidRPr="00475744" w:rsidRDefault="00475744" w:rsidP="005B22B2">
      <w:pPr>
        <w:spacing w:after="0" w:line="240" w:lineRule="auto"/>
        <w:jc w:val="both"/>
        <w:rPr>
          <w:rFonts w:ascii="Times New Roman" w:eastAsia="Times New Roman" w:hAnsi="Times New Roman"/>
          <w:b/>
          <w:bCs/>
          <w:sz w:val="24"/>
          <w:szCs w:val="24"/>
        </w:rPr>
      </w:pPr>
      <w:r w:rsidRPr="00475744">
        <w:rPr>
          <w:rFonts w:ascii="Times New Roman" w:eastAsia="Times New Roman" w:hAnsi="Times New Roman"/>
          <w:b/>
          <w:bCs/>
          <w:sz w:val="24"/>
          <w:szCs w:val="24"/>
        </w:rPr>
        <w:t>Chaîne de produits liés à l’Effet 4</w:t>
      </w:r>
    </w:p>
    <w:p w14:paraId="604B519D" w14:textId="77777777" w:rsidR="00475744" w:rsidRPr="00475744" w:rsidRDefault="00475744" w:rsidP="005B22B2">
      <w:pPr>
        <w:spacing w:after="0" w:line="240" w:lineRule="auto"/>
        <w:jc w:val="both"/>
      </w:pPr>
    </w:p>
    <w:p w14:paraId="604B519E" w14:textId="77777777" w:rsidR="00475744" w:rsidRDefault="00C21F24"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7</w:t>
      </w:r>
      <w:r w:rsidR="00C35441">
        <w:rPr>
          <w:rFonts w:ascii="Times New Roman" w:eastAsia="Times New Roman" w:hAnsi="Times New Roman"/>
          <w:bCs/>
          <w:sz w:val="24"/>
          <w:szCs w:val="24"/>
        </w:rPr>
        <w:t>0</w:t>
      </w:r>
      <w:r>
        <w:rPr>
          <w:rFonts w:ascii="Times New Roman" w:eastAsia="Times New Roman" w:hAnsi="Times New Roman"/>
          <w:bCs/>
          <w:sz w:val="24"/>
          <w:szCs w:val="24"/>
        </w:rPr>
        <w:t>.</w:t>
      </w:r>
      <w:r w:rsidR="00475744" w:rsidRPr="00475744">
        <w:rPr>
          <w:rFonts w:ascii="Times New Roman" w:eastAsia="Times New Roman" w:hAnsi="Times New Roman"/>
          <w:bCs/>
          <w:sz w:val="24"/>
          <w:szCs w:val="24"/>
        </w:rPr>
        <w:tab/>
        <w:t>L’Effet 4 articule 31 indicateurs pour 6 produits, soit un ratio de plus de 5 indicateurs par produit, essentiellement tiré par le premier produit qui draine à lui seul quelque 11 indicateurs. Trois des six produits sont libellés de façon sensible au genre. Tous les produits sont formulés de façon inadéquate, avec des libellés renvoyant à d</w:t>
      </w:r>
      <w:r w:rsidR="00E7666B">
        <w:rPr>
          <w:rFonts w:ascii="Times New Roman" w:eastAsia="Times New Roman" w:hAnsi="Times New Roman"/>
          <w:bCs/>
          <w:sz w:val="24"/>
          <w:szCs w:val="24"/>
        </w:rPr>
        <w:t>es contenus d’effet</w:t>
      </w:r>
      <w:r w:rsidR="00475744" w:rsidRPr="00475744">
        <w:rPr>
          <w:rFonts w:ascii="Times New Roman" w:eastAsia="Times New Roman" w:hAnsi="Times New Roman"/>
          <w:bCs/>
          <w:sz w:val="24"/>
          <w:szCs w:val="24"/>
        </w:rPr>
        <w:t>, au</w:t>
      </w:r>
      <w:r w:rsidR="00E7666B">
        <w:rPr>
          <w:rFonts w:ascii="Times New Roman" w:eastAsia="Times New Roman" w:hAnsi="Times New Roman"/>
          <w:bCs/>
          <w:sz w:val="24"/>
          <w:szCs w:val="24"/>
        </w:rPr>
        <w:t>x</w:t>
      </w:r>
      <w:r w:rsidR="00475744" w:rsidRPr="00475744">
        <w:rPr>
          <w:rFonts w:ascii="Times New Roman" w:eastAsia="Times New Roman" w:hAnsi="Times New Roman"/>
          <w:bCs/>
          <w:sz w:val="24"/>
          <w:szCs w:val="24"/>
        </w:rPr>
        <w:t>quel</w:t>
      </w:r>
      <w:r w:rsidR="00E7666B">
        <w:rPr>
          <w:rFonts w:ascii="Times New Roman" w:eastAsia="Times New Roman" w:hAnsi="Times New Roman"/>
          <w:bCs/>
          <w:sz w:val="24"/>
          <w:szCs w:val="24"/>
        </w:rPr>
        <w:t>s</w:t>
      </w:r>
      <w:r w:rsidR="00475744" w:rsidRPr="00475744">
        <w:rPr>
          <w:rFonts w:ascii="Times New Roman" w:eastAsia="Times New Roman" w:hAnsi="Times New Roman"/>
          <w:bCs/>
          <w:sz w:val="24"/>
          <w:szCs w:val="24"/>
        </w:rPr>
        <w:t xml:space="preserve"> le programme peut seulement contribuer sans </w:t>
      </w:r>
      <w:r w:rsidR="00E7666B">
        <w:rPr>
          <w:rFonts w:ascii="Times New Roman" w:eastAsia="Times New Roman" w:hAnsi="Times New Roman"/>
          <w:bCs/>
          <w:sz w:val="24"/>
          <w:szCs w:val="24"/>
        </w:rPr>
        <w:t>devoir</w:t>
      </w:r>
      <w:r w:rsidR="00475744" w:rsidRPr="00475744">
        <w:rPr>
          <w:rFonts w:ascii="Times New Roman" w:eastAsia="Times New Roman" w:hAnsi="Times New Roman"/>
          <w:bCs/>
          <w:sz w:val="24"/>
          <w:szCs w:val="24"/>
        </w:rPr>
        <w:t xml:space="preserve"> en être tenu pour le responsable unique. Un nombre élevé d’indicateurs (13) ne sont pas libellés de manière adéquate : ils contiennent entièrement des contenus d’effet auxquels le programme peut contribuer au surplus, sans donc pouvoir être tenu comptable exclusif. 5 indicateurs ne disposent ni de situation de référence, ni de cible assignée, tandis que 3 autres disposent uniquement d’une situation de référence et </w:t>
      </w:r>
      <w:r w:rsidR="00475744" w:rsidRPr="00475744">
        <w:rPr>
          <w:rFonts w:ascii="Times New Roman" w:eastAsia="Times New Roman" w:hAnsi="Times New Roman"/>
          <w:bCs/>
          <w:sz w:val="24"/>
          <w:szCs w:val="24"/>
        </w:rPr>
        <w:lastRenderedPageBreak/>
        <w:t>manquent donc de cible déterminée. La sensibilité au genre des indicateurs (7 sur 31) est faible, et encore certains des 7 sensibles au genre le sont parce qu’ils dénotent des situations structurellement liées à la femme ou à la jeune fille.</w:t>
      </w:r>
    </w:p>
    <w:p w14:paraId="604B519F" w14:textId="77777777" w:rsidR="00475744" w:rsidRPr="00475744" w:rsidRDefault="00475744" w:rsidP="005B22B2">
      <w:pPr>
        <w:spacing w:after="0" w:line="240" w:lineRule="auto"/>
        <w:jc w:val="both"/>
        <w:rPr>
          <w:rFonts w:ascii="Times New Roman" w:eastAsia="Times New Roman" w:hAnsi="Times New Roman"/>
          <w:bCs/>
          <w:sz w:val="24"/>
          <w:szCs w:val="24"/>
        </w:rPr>
      </w:pPr>
    </w:p>
    <w:p w14:paraId="604B51A0" w14:textId="77777777" w:rsidR="00475744" w:rsidRPr="00475744" w:rsidRDefault="00475744" w:rsidP="005B22B2">
      <w:pPr>
        <w:spacing w:after="0" w:line="240" w:lineRule="auto"/>
        <w:jc w:val="both"/>
        <w:rPr>
          <w:rFonts w:ascii="Times New Roman" w:eastAsia="Times New Roman" w:hAnsi="Times New Roman"/>
          <w:b/>
          <w:bCs/>
          <w:sz w:val="24"/>
          <w:szCs w:val="24"/>
        </w:rPr>
      </w:pPr>
      <w:r w:rsidRPr="00475744">
        <w:rPr>
          <w:rFonts w:ascii="Times New Roman" w:eastAsia="Times New Roman" w:hAnsi="Times New Roman"/>
          <w:b/>
          <w:bCs/>
          <w:sz w:val="24"/>
          <w:szCs w:val="24"/>
        </w:rPr>
        <w:t>Chaîne de produits liés à l’Effet 5</w:t>
      </w:r>
    </w:p>
    <w:p w14:paraId="604B51A1" w14:textId="77777777" w:rsidR="00475744" w:rsidRPr="00475744" w:rsidRDefault="00475744" w:rsidP="005B22B2">
      <w:pPr>
        <w:spacing w:after="0" w:line="240" w:lineRule="auto"/>
        <w:jc w:val="both"/>
        <w:rPr>
          <w:rFonts w:ascii="Times New Roman" w:eastAsia="Times New Roman" w:hAnsi="Times New Roman"/>
          <w:bCs/>
          <w:sz w:val="24"/>
          <w:szCs w:val="24"/>
        </w:rPr>
      </w:pPr>
    </w:p>
    <w:p w14:paraId="604B51A2" w14:textId="77777777" w:rsidR="00475744" w:rsidRPr="00475744" w:rsidRDefault="00574B4D"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71</w:t>
      </w:r>
      <w:r w:rsidR="00C21F24">
        <w:rPr>
          <w:rFonts w:ascii="Times New Roman" w:eastAsia="Times New Roman" w:hAnsi="Times New Roman"/>
          <w:bCs/>
          <w:sz w:val="24"/>
          <w:szCs w:val="24"/>
        </w:rPr>
        <w:t>.</w:t>
      </w:r>
      <w:r w:rsidR="00475744" w:rsidRPr="00475744">
        <w:rPr>
          <w:rFonts w:ascii="Times New Roman" w:eastAsia="Times New Roman" w:hAnsi="Times New Roman"/>
          <w:bCs/>
          <w:sz w:val="24"/>
          <w:szCs w:val="24"/>
        </w:rPr>
        <w:tab/>
        <w:t xml:space="preserve">Pour 6 produits dédiés à l’Effet 5, quelque 26 indicateurs spécifiques sont prévus pour refléter les progrès du programme dans ce cadre. Le ratio </w:t>
      </w:r>
      <w:r w:rsidR="00E7666B">
        <w:rPr>
          <w:rFonts w:ascii="Times New Roman" w:eastAsia="Times New Roman" w:hAnsi="Times New Roman"/>
          <w:bCs/>
          <w:sz w:val="24"/>
          <w:szCs w:val="24"/>
        </w:rPr>
        <w:t xml:space="preserve">du </w:t>
      </w:r>
      <w:r w:rsidR="00475744" w:rsidRPr="00475744">
        <w:rPr>
          <w:rFonts w:ascii="Times New Roman" w:eastAsia="Times New Roman" w:hAnsi="Times New Roman"/>
          <w:bCs/>
          <w:sz w:val="24"/>
          <w:szCs w:val="24"/>
        </w:rPr>
        <w:t xml:space="preserve">nombre d’indicateurs sur </w:t>
      </w:r>
      <w:r w:rsidR="00E7666B">
        <w:rPr>
          <w:rFonts w:ascii="Times New Roman" w:eastAsia="Times New Roman" w:hAnsi="Times New Roman"/>
          <w:bCs/>
          <w:sz w:val="24"/>
          <w:szCs w:val="24"/>
        </w:rPr>
        <w:t xml:space="preserve">le </w:t>
      </w:r>
      <w:r w:rsidR="00475744" w:rsidRPr="00475744">
        <w:rPr>
          <w:rFonts w:ascii="Times New Roman" w:eastAsia="Times New Roman" w:hAnsi="Times New Roman"/>
          <w:bCs/>
          <w:sz w:val="24"/>
          <w:szCs w:val="24"/>
        </w:rPr>
        <w:t xml:space="preserve">nombre de produits (4,3) est donc supérieur à la norme, sans trop s’en éloigner mais avec des disparités importantes : 3 produits ont entre 6 et 7 indicateurs, tandis </w:t>
      </w:r>
      <w:r w:rsidR="00880FC1">
        <w:rPr>
          <w:rFonts w:ascii="Times New Roman" w:eastAsia="Times New Roman" w:hAnsi="Times New Roman"/>
          <w:bCs/>
          <w:sz w:val="24"/>
          <w:szCs w:val="24"/>
        </w:rPr>
        <w:t xml:space="preserve">que </w:t>
      </w:r>
      <w:r w:rsidR="00475744" w:rsidRPr="00475744">
        <w:rPr>
          <w:rFonts w:ascii="Times New Roman" w:eastAsia="Times New Roman" w:hAnsi="Times New Roman"/>
          <w:bCs/>
          <w:sz w:val="24"/>
          <w:szCs w:val="24"/>
        </w:rPr>
        <w:t>deux autres n’en ont que 2. Un produit au moins, le 5.3 : "</w:t>
      </w:r>
      <w:r w:rsidR="00475744" w:rsidRPr="00475744">
        <w:rPr>
          <w:rFonts w:ascii="Times New Roman" w:eastAsia="Times New Roman" w:hAnsi="Times New Roman"/>
          <w:bCs/>
          <w:i/>
          <w:sz w:val="24"/>
          <w:szCs w:val="24"/>
        </w:rPr>
        <w:t>La mise en œuvre des politiques nationales de création d’emplois et d’entreprenariat féminin favorise une meilleure insertion socio-économique des jeunes et des femmes.</w:t>
      </w:r>
      <w:r w:rsidR="00475744" w:rsidRPr="00475744">
        <w:rPr>
          <w:rFonts w:ascii="Times New Roman" w:eastAsia="Times New Roman" w:hAnsi="Times New Roman"/>
          <w:bCs/>
          <w:sz w:val="24"/>
          <w:szCs w:val="24"/>
        </w:rPr>
        <w:t>", est libellé d’une manière inadéquate, renfe</w:t>
      </w:r>
      <w:r w:rsidR="00880FC1">
        <w:rPr>
          <w:rFonts w:ascii="Times New Roman" w:eastAsia="Times New Roman" w:hAnsi="Times New Roman"/>
          <w:bCs/>
          <w:sz w:val="24"/>
          <w:szCs w:val="24"/>
        </w:rPr>
        <w:t xml:space="preserve">rmant des dimensions d’effet </w:t>
      </w:r>
      <w:r w:rsidR="00475744" w:rsidRPr="00475744">
        <w:rPr>
          <w:rFonts w:ascii="Times New Roman" w:eastAsia="Times New Roman" w:hAnsi="Times New Roman"/>
          <w:bCs/>
          <w:sz w:val="24"/>
          <w:szCs w:val="24"/>
        </w:rPr>
        <w:t>que le programme ne saurait réaliser seul. Un second indicateur, le 5.4, "</w:t>
      </w:r>
      <w:r w:rsidR="00475744" w:rsidRPr="00475744">
        <w:rPr>
          <w:rFonts w:ascii="Times New Roman" w:eastAsia="Times New Roman" w:hAnsi="Times New Roman"/>
          <w:bCs/>
          <w:i/>
          <w:sz w:val="24"/>
          <w:szCs w:val="24"/>
        </w:rPr>
        <w:t>Les populations vulnérables bénéficient d’un meilleur cadre de vie à travers un accès durable à l’eau et un assainissement adéquat</w:t>
      </w:r>
      <w:r w:rsidR="00475744" w:rsidRPr="00475744">
        <w:rPr>
          <w:rFonts w:ascii="Times New Roman" w:eastAsia="Times New Roman" w:hAnsi="Times New Roman"/>
          <w:bCs/>
          <w:sz w:val="24"/>
          <w:szCs w:val="24"/>
        </w:rPr>
        <w:t>.", est partiellement inapproprié : le cadre de vie amélioré est un contenu d</w:t>
      </w:r>
      <w:r w:rsidR="00880FC1">
        <w:rPr>
          <w:rFonts w:ascii="Times New Roman" w:eastAsia="Times New Roman" w:hAnsi="Times New Roman"/>
          <w:bCs/>
          <w:sz w:val="24"/>
          <w:szCs w:val="24"/>
        </w:rPr>
        <w:t>’effe</w:t>
      </w:r>
      <w:r w:rsidR="00475744" w:rsidRPr="00475744">
        <w:rPr>
          <w:rFonts w:ascii="Times New Roman" w:eastAsia="Times New Roman" w:hAnsi="Times New Roman"/>
          <w:bCs/>
          <w:sz w:val="24"/>
          <w:szCs w:val="24"/>
        </w:rPr>
        <w:t>t, tandis que l’accès à l’eau et à l’assainissement est bien un élément de produit. Aucun des 6 produits de l’Effet 5 n’est ouvertement sensible au genre.</w:t>
      </w:r>
    </w:p>
    <w:p w14:paraId="604B51A3" w14:textId="77777777" w:rsidR="00475744" w:rsidRPr="00475744" w:rsidRDefault="00475744" w:rsidP="005B22B2">
      <w:pPr>
        <w:spacing w:after="0" w:line="240" w:lineRule="auto"/>
        <w:jc w:val="both"/>
        <w:rPr>
          <w:rFonts w:ascii="Times New Roman" w:eastAsia="Times New Roman" w:hAnsi="Times New Roman"/>
          <w:bCs/>
          <w:sz w:val="24"/>
          <w:szCs w:val="24"/>
        </w:rPr>
      </w:pPr>
    </w:p>
    <w:p w14:paraId="604B51A4" w14:textId="77777777" w:rsidR="00475744" w:rsidRDefault="00574B4D"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72</w:t>
      </w:r>
      <w:r w:rsidR="00C21F24">
        <w:rPr>
          <w:rFonts w:ascii="Times New Roman" w:eastAsia="Times New Roman" w:hAnsi="Times New Roman"/>
          <w:bCs/>
          <w:sz w:val="24"/>
          <w:szCs w:val="24"/>
        </w:rPr>
        <w:t>.</w:t>
      </w:r>
      <w:r w:rsidR="00475744" w:rsidRPr="00475744">
        <w:rPr>
          <w:rFonts w:ascii="Times New Roman" w:eastAsia="Times New Roman" w:hAnsi="Times New Roman"/>
          <w:bCs/>
          <w:sz w:val="24"/>
          <w:szCs w:val="24"/>
        </w:rPr>
        <w:tab/>
        <w:t>Tous les 26 indicateurs sont adossés à une situation de référence connue et à une cible déterminée, à une exception et demi près : l’indicateur 5.3.2, "</w:t>
      </w:r>
      <w:r w:rsidR="00475744" w:rsidRPr="00475744">
        <w:rPr>
          <w:rFonts w:ascii="Times New Roman" w:eastAsia="Times New Roman" w:hAnsi="Times New Roman"/>
          <w:bCs/>
          <w:i/>
          <w:sz w:val="24"/>
          <w:szCs w:val="24"/>
        </w:rPr>
        <w:t>Nombre de femmes et de jeunes ayant bénéficié de l’appui financier des Structures de financements décentralisés (SFD)</w:t>
      </w:r>
      <w:r w:rsidR="00475744" w:rsidRPr="00475744">
        <w:rPr>
          <w:rFonts w:ascii="Times New Roman" w:eastAsia="Times New Roman" w:hAnsi="Times New Roman"/>
          <w:bCs/>
          <w:sz w:val="24"/>
          <w:szCs w:val="24"/>
        </w:rPr>
        <w:t>", qui n’a ni référence ni cible, et les indicateurs 5.4.1, "</w:t>
      </w:r>
      <w:r w:rsidR="00475744" w:rsidRPr="00475744">
        <w:rPr>
          <w:rFonts w:ascii="Times New Roman" w:eastAsia="Times New Roman" w:hAnsi="Times New Roman"/>
          <w:bCs/>
          <w:i/>
          <w:sz w:val="24"/>
          <w:szCs w:val="24"/>
        </w:rPr>
        <w:t>Pourcentage de la population ayant accès à une source d’eau améliorée</w:t>
      </w:r>
      <w:r w:rsidR="00475744" w:rsidRPr="00475744">
        <w:rPr>
          <w:rFonts w:ascii="Times New Roman" w:eastAsia="Times New Roman" w:hAnsi="Times New Roman"/>
          <w:bCs/>
          <w:sz w:val="24"/>
          <w:szCs w:val="24"/>
        </w:rPr>
        <w:t>", et 5.4.2, "</w:t>
      </w:r>
      <w:r w:rsidR="00475744" w:rsidRPr="00475744">
        <w:rPr>
          <w:rFonts w:ascii="Times New Roman" w:eastAsia="Times New Roman" w:hAnsi="Times New Roman"/>
          <w:bCs/>
          <w:i/>
          <w:sz w:val="24"/>
          <w:szCs w:val="24"/>
        </w:rPr>
        <w:t>Pourcentage de la population ayant accès à des infrastructures sanitaires améliorées</w:t>
      </w:r>
      <w:r w:rsidR="00475744" w:rsidRPr="00475744">
        <w:rPr>
          <w:rFonts w:ascii="Times New Roman" w:eastAsia="Times New Roman" w:hAnsi="Times New Roman"/>
          <w:bCs/>
          <w:sz w:val="24"/>
          <w:szCs w:val="24"/>
        </w:rPr>
        <w:t>", respectivement, qui disposent de situations de référence, mais dont les cibles sont à moitié déterminées seulement (la performance en milieu urbain est connue, pas la réalisation projetée en milieu rural).  La sensibilité au genre des indicateurs de produits sous l’Effet 5 est faible : seul</w:t>
      </w:r>
      <w:r w:rsidR="00880FC1">
        <w:rPr>
          <w:rFonts w:ascii="Times New Roman" w:eastAsia="Times New Roman" w:hAnsi="Times New Roman"/>
          <w:bCs/>
          <w:sz w:val="24"/>
          <w:szCs w:val="24"/>
        </w:rPr>
        <w:t>s</w:t>
      </w:r>
      <w:r w:rsidR="00475744" w:rsidRPr="00475744">
        <w:rPr>
          <w:rFonts w:ascii="Times New Roman" w:eastAsia="Times New Roman" w:hAnsi="Times New Roman"/>
          <w:bCs/>
          <w:sz w:val="24"/>
          <w:szCs w:val="24"/>
        </w:rPr>
        <w:t xml:space="preserve"> 4 indicateurs sur les 26 intègrent ouvertement cette dimension. L’analyse de la qualité de formulation des indicateurs fait ressortir 3 indicateurs abusivement retenus parmi les indicateurs de produits alors q</w:t>
      </w:r>
      <w:r w:rsidR="00880FC1">
        <w:rPr>
          <w:rFonts w:ascii="Times New Roman" w:eastAsia="Times New Roman" w:hAnsi="Times New Roman"/>
          <w:bCs/>
          <w:sz w:val="24"/>
          <w:szCs w:val="24"/>
        </w:rPr>
        <w:t xml:space="preserve">u’ils recèlent des éléments d’effet </w:t>
      </w:r>
      <w:r w:rsidR="00475744" w:rsidRPr="00475744">
        <w:rPr>
          <w:rFonts w:ascii="Times New Roman" w:eastAsia="Times New Roman" w:hAnsi="Times New Roman"/>
          <w:bCs/>
          <w:sz w:val="24"/>
          <w:szCs w:val="24"/>
        </w:rPr>
        <w:t xml:space="preserve">dont le programme </w:t>
      </w:r>
      <w:r w:rsidR="00880FC1">
        <w:rPr>
          <w:rFonts w:ascii="Times New Roman" w:eastAsia="Times New Roman" w:hAnsi="Times New Roman"/>
          <w:bCs/>
          <w:sz w:val="24"/>
          <w:szCs w:val="24"/>
        </w:rPr>
        <w:t>s</w:t>
      </w:r>
      <w:r w:rsidR="00475744" w:rsidRPr="00475744">
        <w:rPr>
          <w:rFonts w:ascii="Times New Roman" w:eastAsia="Times New Roman" w:hAnsi="Times New Roman"/>
          <w:bCs/>
          <w:sz w:val="24"/>
          <w:szCs w:val="24"/>
        </w:rPr>
        <w:t xml:space="preserve">eul ne peut répondre. Comme pratiquement l’ensemble des indicateurs de la matrice de l’UNDAF+, les indicateurs de produits de l’Effet 5 sont également de nature statique, </w:t>
      </w:r>
      <w:r w:rsidR="00880FC1">
        <w:rPr>
          <w:rFonts w:ascii="Times New Roman" w:eastAsia="Times New Roman" w:hAnsi="Times New Roman"/>
          <w:bCs/>
          <w:sz w:val="24"/>
          <w:szCs w:val="24"/>
        </w:rPr>
        <w:t xml:space="preserve">donc </w:t>
      </w:r>
      <w:r w:rsidR="00475744" w:rsidRPr="00475744">
        <w:rPr>
          <w:rFonts w:ascii="Times New Roman" w:eastAsia="Times New Roman" w:hAnsi="Times New Roman"/>
          <w:bCs/>
          <w:sz w:val="24"/>
          <w:szCs w:val="24"/>
        </w:rPr>
        <w:t>en manque d’une dimension dynamique mieux à même d’exprimer la logique de progression qui sous-tend le programme en tant que cadre d’investissement.</w:t>
      </w:r>
    </w:p>
    <w:p w14:paraId="604B51A5" w14:textId="77777777" w:rsidR="00475744" w:rsidRPr="00475744" w:rsidRDefault="00475744" w:rsidP="005B22B2">
      <w:pPr>
        <w:spacing w:after="0" w:line="240" w:lineRule="auto"/>
        <w:jc w:val="both"/>
        <w:rPr>
          <w:rFonts w:ascii="Times New Roman" w:eastAsia="Times New Roman" w:hAnsi="Times New Roman"/>
          <w:bCs/>
          <w:sz w:val="24"/>
          <w:szCs w:val="24"/>
        </w:rPr>
      </w:pPr>
    </w:p>
    <w:p w14:paraId="604B51A6" w14:textId="77777777" w:rsidR="00475744" w:rsidRPr="00475744" w:rsidRDefault="00C21F24"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7</w:t>
      </w:r>
      <w:r w:rsidR="00574B4D">
        <w:rPr>
          <w:rFonts w:ascii="Times New Roman" w:eastAsia="Times New Roman" w:hAnsi="Times New Roman"/>
          <w:bCs/>
          <w:sz w:val="24"/>
          <w:szCs w:val="24"/>
        </w:rPr>
        <w:t>3</w:t>
      </w:r>
      <w:r>
        <w:rPr>
          <w:rFonts w:ascii="Times New Roman" w:eastAsia="Times New Roman" w:hAnsi="Times New Roman"/>
          <w:bCs/>
          <w:sz w:val="24"/>
          <w:szCs w:val="24"/>
        </w:rPr>
        <w:t>.</w:t>
      </w:r>
      <w:r w:rsidR="00475744" w:rsidRPr="00475744">
        <w:rPr>
          <w:rFonts w:ascii="Times New Roman" w:eastAsia="Times New Roman" w:hAnsi="Times New Roman"/>
          <w:bCs/>
          <w:sz w:val="24"/>
          <w:szCs w:val="24"/>
        </w:rPr>
        <w:tab/>
        <w:t xml:space="preserve">Au total, l’analyse de la pertinence logique du programme, telle que reflétée dans son cadre des résultats et des ressources, fait ressortir un certain nombre </w:t>
      </w:r>
      <w:r w:rsidR="00880FC1">
        <w:rPr>
          <w:rFonts w:ascii="Times New Roman" w:eastAsia="Times New Roman" w:hAnsi="Times New Roman"/>
          <w:bCs/>
          <w:sz w:val="24"/>
          <w:szCs w:val="24"/>
        </w:rPr>
        <w:t xml:space="preserve">de </w:t>
      </w:r>
      <w:r w:rsidR="00475744" w:rsidRPr="00475744">
        <w:rPr>
          <w:rFonts w:ascii="Times New Roman" w:eastAsia="Times New Roman" w:hAnsi="Times New Roman"/>
          <w:bCs/>
          <w:sz w:val="24"/>
          <w:szCs w:val="24"/>
        </w:rPr>
        <w:t xml:space="preserve">limites qui, à contrario, contribuent aussi à profiler les directions dans lesquelles devrait aller la révision de cette dimension du document de programmation. D’abord, les effets et produits, pour certains, sont formulés de façon insuffisamment appropriée. Sur le plan de la doctrine, en matière de programmation, les astreintes substantielles au programme doivent le plus possible être à sa portée et dépendre de son action, de sorte qu’il puisse en répondre à l’évaluation. Dans la pratique, l’on admet qu’un programme puisse avoir des </w:t>
      </w:r>
      <w:r w:rsidR="00880FC1">
        <w:rPr>
          <w:rFonts w:ascii="Times New Roman" w:eastAsia="Times New Roman" w:hAnsi="Times New Roman"/>
          <w:bCs/>
          <w:sz w:val="24"/>
          <w:szCs w:val="24"/>
        </w:rPr>
        <w:t>effets</w:t>
      </w:r>
      <w:r w:rsidR="00475744" w:rsidRPr="00475744">
        <w:rPr>
          <w:rFonts w:ascii="Times New Roman" w:eastAsia="Times New Roman" w:hAnsi="Times New Roman"/>
          <w:bCs/>
          <w:sz w:val="24"/>
          <w:szCs w:val="24"/>
        </w:rPr>
        <w:t xml:space="preserve"> auxquels il contribue et qui ne rentrent que partiellement dans sa souveraineté ; s’agissant des produits en revanche, ils ne doivent enregistrer que ce que le programme sait délivrer isolément, de sorte qu’il soit individuellement redevable et comptable à cet égard.</w:t>
      </w:r>
    </w:p>
    <w:p w14:paraId="604B51A7" w14:textId="77777777" w:rsidR="00475744" w:rsidRPr="00475744" w:rsidRDefault="00475744" w:rsidP="005B22B2">
      <w:pPr>
        <w:spacing w:after="0" w:line="240" w:lineRule="auto"/>
        <w:jc w:val="both"/>
        <w:rPr>
          <w:rFonts w:ascii="Times New Roman" w:eastAsia="Times New Roman" w:hAnsi="Times New Roman"/>
          <w:bCs/>
          <w:sz w:val="24"/>
          <w:szCs w:val="24"/>
        </w:rPr>
      </w:pPr>
    </w:p>
    <w:p w14:paraId="604B51A8" w14:textId="77777777" w:rsidR="00475744" w:rsidRPr="00475744" w:rsidRDefault="00C21F24"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7</w:t>
      </w:r>
      <w:r w:rsidR="00574B4D">
        <w:rPr>
          <w:rFonts w:ascii="Times New Roman" w:eastAsia="Times New Roman" w:hAnsi="Times New Roman"/>
          <w:bCs/>
          <w:sz w:val="24"/>
          <w:szCs w:val="24"/>
        </w:rPr>
        <w:t>4</w:t>
      </w:r>
      <w:r>
        <w:rPr>
          <w:rFonts w:ascii="Times New Roman" w:eastAsia="Times New Roman" w:hAnsi="Times New Roman"/>
          <w:bCs/>
          <w:sz w:val="24"/>
          <w:szCs w:val="24"/>
        </w:rPr>
        <w:t>.</w:t>
      </w:r>
      <w:r w:rsidR="00475744" w:rsidRPr="00475744">
        <w:rPr>
          <w:rFonts w:ascii="Times New Roman" w:eastAsia="Times New Roman" w:hAnsi="Times New Roman"/>
          <w:bCs/>
          <w:sz w:val="24"/>
          <w:szCs w:val="24"/>
        </w:rPr>
        <w:tab/>
        <w:t>Avec cette grille conceptuelle, certains effets de l’UNDAF+ souffrent de mélanger des contenus d</w:t>
      </w:r>
      <w:r w:rsidR="00880FC1">
        <w:rPr>
          <w:rFonts w:ascii="Times New Roman" w:eastAsia="Times New Roman" w:hAnsi="Times New Roman"/>
          <w:bCs/>
          <w:sz w:val="24"/>
          <w:szCs w:val="24"/>
        </w:rPr>
        <w:t>’effet</w:t>
      </w:r>
      <w:r w:rsidR="00475744" w:rsidRPr="00475744">
        <w:rPr>
          <w:rFonts w:ascii="Times New Roman" w:eastAsia="Times New Roman" w:hAnsi="Times New Roman"/>
          <w:bCs/>
          <w:sz w:val="24"/>
          <w:szCs w:val="24"/>
        </w:rPr>
        <w:t xml:space="preserve"> (légitimes) et des contenus de produit (indus dans un effet). Les produits déficients de leur </w:t>
      </w:r>
      <w:r w:rsidR="00880FC1">
        <w:rPr>
          <w:rFonts w:ascii="Times New Roman" w:eastAsia="Times New Roman" w:hAnsi="Times New Roman"/>
          <w:bCs/>
          <w:sz w:val="24"/>
          <w:szCs w:val="24"/>
        </w:rPr>
        <w:t>côté contiennent des éléments d’effet</w:t>
      </w:r>
      <w:r w:rsidR="00475744" w:rsidRPr="00475744">
        <w:rPr>
          <w:rFonts w:ascii="Times New Roman" w:eastAsia="Times New Roman" w:hAnsi="Times New Roman"/>
          <w:bCs/>
          <w:sz w:val="24"/>
          <w:szCs w:val="24"/>
        </w:rPr>
        <w:t xml:space="preserve"> (indus dans le libellé d’un produit) et </w:t>
      </w:r>
      <w:r w:rsidR="00475744" w:rsidRPr="00475744">
        <w:rPr>
          <w:rFonts w:ascii="Times New Roman" w:eastAsia="Times New Roman" w:hAnsi="Times New Roman"/>
          <w:bCs/>
          <w:sz w:val="24"/>
          <w:szCs w:val="24"/>
        </w:rPr>
        <w:lastRenderedPageBreak/>
        <w:t>des éléments de produit proprement dits. Les indicateurs d’effet et de produit, connaissent pour beaucoup les mêmes limites techniques, à quoi s’ajoute, souvent aussi, d’autres lacunes : sensibilité au genre insuffisante, pléthore si l’on s’aligne sur la norme de 3 indicateurs au plus par effet ou produit à mesurer, absence de situation de référence et ou de cible assignée. Un effort a été manifestement consenti, en cours de route, pour améliorer l’expressivité intrinsèque des indicateurs (appelée communément qualité SMART si elle est entière). Seuls 6 indicateurs continuent de poser problème à cet égard, dont les 5 en rapport avec l’Effet 5. Avec le 1.2.6, "</w:t>
      </w:r>
      <w:r w:rsidR="00475744" w:rsidRPr="00475744">
        <w:rPr>
          <w:rFonts w:ascii="Times New Roman" w:eastAsia="Times New Roman" w:hAnsi="Times New Roman"/>
          <w:bCs/>
          <w:i/>
          <w:sz w:val="24"/>
          <w:szCs w:val="24"/>
        </w:rPr>
        <w:t>Les mécanismes de coopération internationale, en matière de lutte contre la criminalité transnationale, renforcées et harmonisées avec l’implication  de tous les services de sécurité concernés à savoir la police, la gendarmerie nationale et la douane</w:t>
      </w:r>
      <w:r w:rsidR="00475744" w:rsidRPr="00475744">
        <w:rPr>
          <w:rFonts w:ascii="Times New Roman" w:eastAsia="Times New Roman" w:hAnsi="Times New Roman"/>
          <w:bCs/>
          <w:sz w:val="24"/>
          <w:szCs w:val="24"/>
        </w:rPr>
        <w:t xml:space="preserve">.", il n’est pas rationnel d’astreindre le programme </w:t>
      </w:r>
      <w:r w:rsidR="00880FC1">
        <w:rPr>
          <w:rFonts w:ascii="Times New Roman" w:eastAsia="Times New Roman" w:hAnsi="Times New Roman"/>
          <w:bCs/>
          <w:sz w:val="24"/>
          <w:szCs w:val="24"/>
        </w:rPr>
        <w:t xml:space="preserve">à </w:t>
      </w:r>
      <w:r w:rsidR="00475744" w:rsidRPr="00475744">
        <w:rPr>
          <w:rFonts w:ascii="Times New Roman" w:eastAsia="Times New Roman" w:hAnsi="Times New Roman"/>
          <w:bCs/>
          <w:sz w:val="24"/>
          <w:szCs w:val="24"/>
        </w:rPr>
        <w:t>renforcer les mécanismes de la coopération internationale…, qui restent vagues d’ailleurs.</w:t>
      </w:r>
    </w:p>
    <w:p w14:paraId="604B51A9" w14:textId="77777777" w:rsidR="00475744" w:rsidRPr="00475744" w:rsidRDefault="00475744" w:rsidP="005B22B2">
      <w:pPr>
        <w:spacing w:after="0" w:line="240" w:lineRule="auto"/>
        <w:jc w:val="both"/>
        <w:rPr>
          <w:rFonts w:ascii="Times New Roman" w:eastAsia="Times New Roman" w:hAnsi="Times New Roman"/>
          <w:bCs/>
          <w:sz w:val="24"/>
          <w:szCs w:val="24"/>
        </w:rPr>
      </w:pPr>
    </w:p>
    <w:p w14:paraId="604B51AA" w14:textId="77777777" w:rsidR="00475744" w:rsidRPr="00475744" w:rsidRDefault="00574B4D"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75</w:t>
      </w:r>
      <w:r w:rsidR="00C21F24">
        <w:rPr>
          <w:rFonts w:ascii="Times New Roman" w:eastAsia="Times New Roman" w:hAnsi="Times New Roman"/>
          <w:bCs/>
          <w:sz w:val="24"/>
          <w:szCs w:val="24"/>
        </w:rPr>
        <w:t>.</w:t>
      </w:r>
      <w:r w:rsidR="00475744" w:rsidRPr="00475744">
        <w:rPr>
          <w:rFonts w:ascii="Times New Roman" w:eastAsia="Times New Roman" w:hAnsi="Times New Roman"/>
          <w:bCs/>
          <w:sz w:val="24"/>
          <w:szCs w:val="24"/>
        </w:rPr>
        <w:tab/>
        <w:t>Quatre indicateurs dans l’Effet 5 : le  5.2.1 : "</w:t>
      </w:r>
      <w:r w:rsidR="00475744" w:rsidRPr="00475744">
        <w:rPr>
          <w:rFonts w:ascii="Times New Roman" w:eastAsia="Times New Roman" w:hAnsi="Times New Roman"/>
          <w:bCs/>
          <w:i/>
          <w:sz w:val="24"/>
          <w:szCs w:val="24"/>
        </w:rPr>
        <w:t>Une instance nationale (CSSP, CPI) de pilotage du dialogue public -privé opérationnalisée</w:t>
      </w:r>
      <w:r w:rsidR="00475744" w:rsidRPr="00475744">
        <w:rPr>
          <w:rFonts w:ascii="Times New Roman" w:eastAsia="Times New Roman" w:hAnsi="Times New Roman"/>
          <w:bCs/>
          <w:sz w:val="24"/>
          <w:szCs w:val="24"/>
        </w:rPr>
        <w:t>", le 5.2.3 : "</w:t>
      </w:r>
      <w:r w:rsidR="00475744" w:rsidRPr="00475744">
        <w:rPr>
          <w:rFonts w:ascii="Times New Roman" w:eastAsia="Times New Roman" w:hAnsi="Times New Roman"/>
          <w:bCs/>
          <w:i/>
          <w:sz w:val="24"/>
          <w:szCs w:val="24"/>
        </w:rPr>
        <w:t>La stratégie de croissance accélérée opérationnalisée</w:t>
      </w:r>
      <w:r w:rsidR="00475744" w:rsidRPr="00475744">
        <w:rPr>
          <w:rFonts w:ascii="Times New Roman" w:eastAsia="Times New Roman" w:hAnsi="Times New Roman"/>
          <w:bCs/>
          <w:sz w:val="24"/>
          <w:szCs w:val="24"/>
        </w:rPr>
        <w:t>.", le 5.5.5, "</w:t>
      </w:r>
      <w:r w:rsidR="00475744" w:rsidRPr="00475744">
        <w:rPr>
          <w:rFonts w:ascii="Times New Roman" w:eastAsia="Times New Roman" w:hAnsi="Times New Roman"/>
          <w:bCs/>
          <w:i/>
          <w:sz w:val="24"/>
          <w:szCs w:val="24"/>
        </w:rPr>
        <w:t>La plateforme de gestion des catastrophes opérationnalisée</w:t>
      </w:r>
      <w:r w:rsidR="00475744" w:rsidRPr="00475744">
        <w:rPr>
          <w:rFonts w:ascii="Times New Roman" w:eastAsia="Times New Roman" w:hAnsi="Times New Roman"/>
          <w:bCs/>
          <w:sz w:val="24"/>
          <w:szCs w:val="24"/>
        </w:rPr>
        <w:t>", et le 5.5.7 : "Nombre de comités communaux et locaux de RRC mis en place et opérationnels.",  ne sont pas robustes à cause de leur chute "</w:t>
      </w:r>
      <w:r w:rsidR="00475744" w:rsidRPr="00475744">
        <w:rPr>
          <w:rFonts w:ascii="Times New Roman" w:eastAsia="Times New Roman" w:hAnsi="Times New Roman"/>
          <w:bCs/>
          <w:i/>
          <w:sz w:val="24"/>
          <w:szCs w:val="24"/>
        </w:rPr>
        <w:t>opérationnelle</w:t>
      </w:r>
      <w:r w:rsidR="00475744" w:rsidRPr="00475744">
        <w:rPr>
          <w:rFonts w:ascii="Times New Roman" w:eastAsia="Times New Roman" w:hAnsi="Times New Roman"/>
          <w:bCs/>
          <w:sz w:val="24"/>
          <w:szCs w:val="24"/>
        </w:rPr>
        <w:t>" : le fait que tout le monde n’a pas la même acception de ce qui est opérationnel, handicape la clarté et la décidabilité de ces quatre outils de mesure. Enfin, l’indicateur 5.6.2 : "</w:t>
      </w:r>
      <w:r w:rsidR="00475744" w:rsidRPr="00475744">
        <w:rPr>
          <w:rFonts w:ascii="Times New Roman" w:eastAsia="Times New Roman" w:hAnsi="Times New Roman"/>
          <w:bCs/>
          <w:i/>
          <w:sz w:val="24"/>
          <w:szCs w:val="24"/>
        </w:rPr>
        <w:t>Bilan des émissions/absorptions de gaz à effet de serre dans le secteur du changement d’affectation des terres et de la foresterie (Giga grammes de CO2)</w:t>
      </w:r>
      <w:r w:rsidR="00475744" w:rsidRPr="00475744">
        <w:rPr>
          <w:rFonts w:ascii="Times New Roman" w:eastAsia="Times New Roman" w:hAnsi="Times New Roman"/>
          <w:bCs/>
          <w:sz w:val="24"/>
          <w:szCs w:val="24"/>
        </w:rPr>
        <w:t>", est en soi tout aussi vague parce que le sens dans lequel le programme doit faire évoluer ledit bilan n’est pas précisé.</w:t>
      </w:r>
    </w:p>
    <w:p w14:paraId="604B51AB" w14:textId="77777777" w:rsidR="00475744" w:rsidRPr="00475744" w:rsidRDefault="00475744" w:rsidP="005B22B2">
      <w:pPr>
        <w:spacing w:after="0" w:line="240" w:lineRule="auto"/>
        <w:jc w:val="both"/>
        <w:rPr>
          <w:rFonts w:ascii="Times New Roman" w:eastAsia="Times New Roman" w:hAnsi="Times New Roman"/>
          <w:bCs/>
          <w:sz w:val="24"/>
          <w:szCs w:val="24"/>
        </w:rPr>
      </w:pPr>
    </w:p>
    <w:p w14:paraId="604B51AC" w14:textId="77777777" w:rsidR="00475744" w:rsidRPr="00475744" w:rsidRDefault="00C21F24"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7</w:t>
      </w:r>
      <w:r w:rsidR="00574B4D">
        <w:rPr>
          <w:rFonts w:ascii="Times New Roman" w:eastAsia="Times New Roman" w:hAnsi="Times New Roman"/>
          <w:bCs/>
          <w:sz w:val="24"/>
          <w:szCs w:val="24"/>
        </w:rPr>
        <w:t>6</w:t>
      </w:r>
      <w:r>
        <w:rPr>
          <w:rFonts w:ascii="Times New Roman" w:eastAsia="Times New Roman" w:hAnsi="Times New Roman"/>
          <w:bCs/>
          <w:sz w:val="24"/>
          <w:szCs w:val="24"/>
        </w:rPr>
        <w:t>.</w:t>
      </w:r>
      <w:r w:rsidR="00475744" w:rsidRPr="00475744">
        <w:rPr>
          <w:rFonts w:ascii="Times New Roman" w:eastAsia="Times New Roman" w:hAnsi="Times New Roman"/>
          <w:bCs/>
          <w:sz w:val="24"/>
          <w:szCs w:val="24"/>
        </w:rPr>
        <w:tab/>
        <w:t>Plus généralement, il est observé un tropisme statique de la matrice : propension à exprimer les indicateurs, quantitatifs pourtant dans une proportion plus que satisfaisante, de façon statique (nombre de…, pourcentage de…, etc.), et non dynamique (baisse du nombre de, du pourcentage de, ou augmentation de…,). Les performances du programme étant attendues en termes de dynamique d’une situation de référence à une situation désirée, les indicateurs vraiment SMART devraient aussi être exprimés dans ce sens. Il est vrai qu’en contrastant les références et les cibles, l’on arrive à comprendre que c’est la dynamique malgré tout que la matrice souhaite capturer.</w:t>
      </w:r>
    </w:p>
    <w:p w14:paraId="604B51AD" w14:textId="77777777" w:rsidR="00475744" w:rsidRPr="00475744" w:rsidRDefault="00475744" w:rsidP="005B22B2">
      <w:pPr>
        <w:spacing w:after="0" w:line="240" w:lineRule="auto"/>
        <w:jc w:val="both"/>
        <w:rPr>
          <w:rFonts w:ascii="Times New Roman" w:eastAsia="Times New Roman" w:hAnsi="Times New Roman"/>
          <w:bCs/>
          <w:sz w:val="24"/>
          <w:szCs w:val="24"/>
        </w:rPr>
      </w:pPr>
    </w:p>
    <w:p w14:paraId="604B51AE" w14:textId="77777777" w:rsidR="00BA3DC6" w:rsidRPr="00C84BF9" w:rsidRDefault="00BA3DC6" w:rsidP="005B22B2">
      <w:pPr>
        <w:pStyle w:val="Titre2"/>
        <w:numPr>
          <w:ilvl w:val="1"/>
          <w:numId w:val="4"/>
        </w:numPr>
        <w:spacing w:before="0"/>
        <w:rPr>
          <w:color w:val="auto"/>
        </w:rPr>
      </w:pPr>
      <w:bookmarkStart w:id="183" w:name="_Toc499211607"/>
      <w:bookmarkStart w:id="184" w:name="_Toc500967851"/>
      <w:bookmarkStart w:id="185" w:name="_Toc500974531"/>
      <w:bookmarkStart w:id="186" w:name="_Toc502863881"/>
      <w:bookmarkStart w:id="187" w:name="_Toc505758476"/>
      <w:bookmarkStart w:id="188" w:name="_Toc506201568"/>
      <w:bookmarkEnd w:id="181"/>
      <w:bookmarkEnd w:id="182"/>
      <w:r w:rsidRPr="00C84BF9">
        <w:rPr>
          <w:color w:val="auto"/>
        </w:rPr>
        <w:t>Efficacité</w:t>
      </w:r>
      <w:bookmarkEnd w:id="183"/>
      <w:bookmarkEnd w:id="184"/>
      <w:bookmarkEnd w:id="185"/>
      <w:bookmarkEnd w:id="186"/>
      <w:bookmarkEnd w:id="187"/>
      <w:bookmarkEnd w:id="188"/>
    </w:p>
    <w:p w14:paraId="604B51AF" w14:textId="77777777" w:rsidR="00BA3DC6" w:rsidRPr="006B309F" w:rsidRDefault="00BA3DC6" w:rsidP="005B22B2">
      <w:pPr>
        <w:spacing w:after="0" w:line="240" w:lineRule="auto"/>
        <w:jc w:val="both"/>
        <w:rPr>
          <w:rFonts w:ascii="Times New Roman" w:hAnsi="Times New Roman"/>
          <w:sz w:val="24"/>
          <w:szCs w:val="24"/>
        </w:rPr>
      </w:pPr>
    </w:p>
    <w:p w14:paraId="604B51B0" w14:textId="77777777" w:rsidR="00BA3DC6" w:rsidRPr="006B309F" w:rsidRDefault="00675634" w:rsidP="005B22B2">
      <w:pPr>
        <w:pStyle w:val="Titre3"/>
        <w:numPr>
          <w:ilvl w:val="2"/>
          <w:numId w:val="4"/>
        </w:numPr>
        <w:shd w:val="clear" w:color="auto" w:fill="BDD6EE" w:themeFill="accent1" w:themeFillTint="66"/>
        <w:spacing w:before="0" w:line="240" w:lineRule="auto"/>
        <w:rPr>
          <w:rFonts w:ascii="Times New Roman" w:hAnsi="Times New Roman"/>
          <w:color w:val="auto"/>
          <w:sz w:val="24"/>
          <w:szCs w:val="24"/>
        </w:rPr>
      </w:pPr>
      <w:bookmarkStart w:id="189" w:name="_Toc499211608"/>
      <w:bookmarkStart w:id="190" w:name="_Toc500967852"/>
      <w:bookmarkStart w:id="191" w:name="_Toc500974532"/>
      <w:bookmarkStart w:id="192" w:name="_Toc502863882"/>
      <w:bookmarkStart w:id="193" w:name="_Toc505758477"/>
      <w:bookmarkStart w:id="194" w:name="_Toc506201569"/>
      <w:r>
        <w:rPr>
          <w:rFonts w:ascii="Times New Roman" w:hAnsi="Times New Roman"/>
          <w:color w:val="auto"/>
          <w:sz w:val="24"/>
          <w:szCs w:val="24"/>
        </w:rPr>
        <w:t xml:space="preserve">Effet 1 : </w:t>
      </w:r>
      <w:r w:rsidRPr="00675634">
        <w:rPr>
          <w:rFonts w:ascii="Times New Roman" w:hAnsi="Times New Roman"/>
          <w:color w:val="auto"/>
          <w:sz w:val="24"/>
          <w:szCs w:val="24"/>
        </w:rPr>
        <w:t>"</w:t>
      </w:r>
      <w:r w:rsidR="008A2CF5" w:rsidRPr="008A2CF5">
        <w:t xml:space="preserve"> </w:t>
      </w:r>
      <w:r w:rsidR="008A2CF5" w:rsidRPr="008A2CF5">
        <w:rPr>
          <w:rFonts w:ascii="Times New Roman" w:hAnsi="Times New Roman"/>
          <w:color w:val="auto"/>
          <w:sz w:val="24"/>
          <w:szCs w:val="24"/>
        </w:rPr>
        <w:t>La paix et la stabilisation sont assurées à travers un dialogue politique inclusif, une réforme des institutions concernées et la promotion d’une coexistence pacifique et le respect des droits humains</w:t>
      </w:r>
      <w:r w:rsidRPr="00675634">
        <w:rPr>
          <w:rFonts w:ascii="Times New Roman" w:hAnsi="Times New Roman"/>
          <w:color w:val="auto"/>
          <w:sz w:val="24"/>
          <w:szCs w:val="24"/>
        </w:rPr>
        <w:t>."</w:t>
      </w:r>
      <w:bookmarkEnd w:id="189"/>
      <w:bookmarkEnd w:id="190"/>
      <w:bookmarkEnd w:id="191"/>
      <w:bookmarkEnd w:id="192"/>
      <w:bookmarkEnd w:id="193"/>
      <w:bookmarkEnd w:id="194"/>
    </w:p>
    <w:p w14:paraId="604B51B1" w14:textId="77777777" w:rsidR="004E0665" w:rsidRDefault="004E0665" w:rsidP="005B22B2">
      <w:pPr>
        <w:spacing w:after="0" w:line="240" w:lineRule="auto"/>
        <w:rPr>
          <w:rFonts w:ascii="Times New Roman" w:eastAsia="Times New Roman" w:hAnsi="Times New Roman"/>
          <w:b/>
          <w:bCs/>
          <w:sz w:val="24"/>
          <w:szCs w:val="24"/>
        </w:rPr>
      </w:pPr>
    </w:p>
    <w:p w14:paraId="604B51B2" w14:textId="77777777" w:rsidR="007708F5" w:rsidRPr="007708F5" w:rsidRDefault="00C21F24"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7</w:t>
      </w:r>
      <w:r w:rsidR="00574B4D">
        <w:rPr>
          <w:rFonts w:ascii="Times New Roman" w:eastAsia="Times New Roman" w:hAnsi="Times New Roman"/>
          <w:bCs/>
          <w:sz w:val="24"/>
          <w:szCs w:val="24"/>
        </w:rPr>
        <w:t>7</w:t>
      </w:r>
      <w:r>
        <w:rPr>
          <w:rFonts w:ascii="Times New Roman" w:eastAsia="Times New Roman" w:hAnsi="Times New Roman"/>
          <w:bCs/>
          <w:sz w:val="24"/>
          <w:szCs w:val="24"/>
        </w:rPr>
        <w:t>.</w:t>
      </w:r>
      <w:r w:rsidR="007708F5">
        <w:rPr>
          <w:rFonts w:ascii="Times New Roman" w:eastAsia="Times New Roman" w:hAnsi="Times New Roman"/>
          <w:bCs/>
          <w:sz w:val="24"/>
          <w:szCs w:val="24"/>
        </w:rPr>
        <w:tab/>
        <w:t xml:space="preserve">La revue de l’efficacité du programme s’articule sur deux lignes nettement distinctes, aussi </w:t>
      </w:r>
      <w:r w:rsidR="002B021F">
        <w:rPr>
          <w:rFonts w:ascii="Times New Roman" w:eastAsia="Times New Roman" w:hAnsi="Times New Roman"/>
          <w:bCs/>
          <w:sz w:val="24"/>
          <w:szCs w:val="24"/>
        </w:rPr>
        <w:t>différentes</w:t>
      </w:r>
      <w:r w:rsidR="007708F5">
        <w:rPr>
          <w:rFonts w:ascii="Times New Roman" w:eastAsia="Times New Roman" w:hAnsi="Times New Roman"/>
          <w:bCs/>
          <w:sz w:val="24"/>
          <w:szCs w:val="24"/>
        </w:rPr>
        <w:t xml:space="preserve"> d’ailleurs que les deux niveaux de la programmation elle-même, puisque l’action du programme cible directe</w:t>
      </w:r>
      <w:r w:rsidR="006B03EB">
        <w:rPr>
          <w:rFonts w:ascii="Times New Roman" w:eastAsia="Times New Roman" w:hAnsi="Times New Roman"/>
          <w:bCs/>
          <w:sz w:val="24"/>
          <w:szCs w:val="24"/>
        </w:rPr>
        <w:t>ment des</w:t>
      </w:r>
      <w:r w:rsidR="007708F5">
        <w:rPr>
          <w:rFonts w:ascii="Times New Roman" w:eastAsia="Times New Roman" w:hAnsi="Times New Roman"/>
          <w:bCs/>
          <w:sz w:val="24"/>
          <w:szCs w:val="24"/>
        </w:rPr>
        <w:t xml:space="preserve"> produits d’abord, des effets qui en résultent ensuite. Au niveau des effets, cette </w:t>
      </w:r>
      <w:r w:rsidR="007708F5" w:rsidRPr="003A1D53">
        <w:rPr>
          <w:rFonts w:ascii="Times New Roman" w:eastAsia="Times New Roman" w:hAnsi="Times New Roman"/>
          <w:bCs/>
          <w:sz w:val="24"/>
          <w:szCs w:val="24"/>
        </w:rPr>
        <w:t xml:space="preserve">revue fait donc ressortir les progrès généraux du pays en rapport </w:t>
      </w:r>
      <w:r w:rsidR="006B03EB" w:rsidRPr="003A1D53">
        <w:rPr>
          <w:rFonts w:ascii="Times New Roman" w:eastAsia="Times New Roman" w:hAnsi="Times New Roman"/>
          <w:bCs/>
          <w:sz w:val="24"/>
          <w:szCs w:val="24"/>
        </w:rPr>
        <w:t>avec les indicateurs d’effet</w:t>
      </w:r>
      <w:r w:rsidR="007708F5" w:rsidRPr="003A1D53">
        <w:rPr>
          <w:rFonts w:ascii="Times New Roman" w:eastAsia="Times New Roman" w:hAnsi="Times New Roman"/>
          <w:bCs/>
          <w:sz w:val="24"/>
          <w:szCs w:val="24"/>
        </w:rPr>
        <w:t xml:space="preserve"> que le programme avait retenu d’influencer. Puis, avec les produits, les contributions spécifiques du Système sont </w:t>
      </w:r>
      <w:r w:rsidR="006B03EB" w:rsidRPr="003A1D53">
        <w:rPr>
          <w:rFonts w:ascii="Times New Roman" w:eastAsia="Times New Roman" w:hAnsi="Times New Roman"/>
          <w:bCs/>
          <w:sz w:val="24"/>
          <w:szCs w:val="24"/>
        </w:rPr>
        <w:t>analysées</w:t>
      </w:r>
      <w:r w:rsidR="007708F5" w:rsidRPr="003A1D53">
        <w:rPr>
          <w:rFonts w:ascii="Times New Roman" w:eastAsia="Times New Roman" w:hAnsi="Times New Roman"/>
          <w:bCs/>
          <w:sz w:val="24"/>
          <w:szCs w:val="24"/>
        </w:rPr>
        <w:t>.</w:t>
      </w:r>
      <w:r w:rsidR="006B03EB" w:rsidRPr="003A1D53">
        <w:rPr>
          <w:rFonts w:ascii="Times New Roman" w:eastAsia="Times New Roman" w:hAnsi="Times New Roman"/>
          <w:bCs/>
          <w:sz w:val="24"/>
          <w:szCs w:val="24"/>
        </w:rPr>
        <w:t xml:space="preserve"> Les </w:t>
      </w:r>
      <w:r w:rsidR="007708F5" w:rsidRPr="003A1D53">
        <w:rPr>
          <w:rFonts w:ascii="Times New Roman" w:eastAsia="Times New Roman" w:hAnsi="Times New Roman"/>
          <w:bCs/>
          <w:sz w:val="24"/>
          <w:szCs w:val="24"/>
        </w:rPr>
        <w:t xml:space="preserve"> </w:t>
      </w:r>
      <w:r w:rsidR="006B03EB" w:rsidRPr="003A1D53">
        <w:rPr>
          <w:rFonts w:ascii="Times New Roman" w:eastAsia="Times New Roman" w:hAnsi="Times New Roman"/>
          <w:bCs/>
          <w:sz w:val="24"/>
          <w:szCs w:val="24"/>
        </w:rPr>
        <w:t>tableaux 13 à 22, dans le cahier des annexes, donnent le détail des performances aux deux niveaux.</w:t>
      </w:r>
      <w:r w:rsidR="006B03EB">
        <w:rPr>
          <w:rFonts w:ascii="Times New Roman" w:eastAsia="Times New Roman" w:hAnsi="Times New Roman"/>
          <w:bCs/>
          <w:sz w:val="24"/>
          <w:szCs w:val="24"/>
        </w:rPr>
        <w:t xml:space="preserve"> </w:t>
      </w:r>
    </w:p>
    <w:p w14:paraId="604B51B3" w14:textId="77777777" w:rsidR="007708F5" w:rsidRPr="006B309F" w:rsidRDefault="007708F5" w:rsidP="005B22B2">
      <w:pPr>
        <w:spacing w:after="0" w:line="240" w:lineRule="auto"/>
        <w:rPr>
          <w:rFonts w:ascii="Times New Roman" w:eastAsia="Times New Roman" w:hAnsi="Times New Roman"/>
          <w:b/>
          <w:bCs/>
          <w:sz w:val="24"/>
          <w:szCs w:val="24"/>
        </w:rPr>
      </w:pPr>
    </w:p>
    <w:p w14:paraId="604B51B4" w14:textId="77777777" w:rsidR="00900592" w:rsidRPr="006B309F" w:rsidRDefault="002B16ED" w:rsidP="005B22B2">
      <w:pPr>
        <w:pStyle w:val="Titre4"/>
        <w:numPr>
          <w:ilvl w:val="3"/>
          <w:numId w:val="4"/>
        </w:numPr>
        <w:spacing w:before="0" w:line="240" w:lineRule="auto"/>
        <w:rPr>
          <w:rFonts w:ascii="Times New Roman" w:hAnsi="Times New Roman"/>
          <w:i w:val="0"/>
          <w:color w:val="auto"/>
          <w:sz w:val="24"/>
          <w:szCs w:val="24"/>
        </w:rPr>
      </w:pPr>
      <w:r>
        <w:rPr>
          <w:rFonts w:ascii="Times New Roman" w:hAnsi="Times New Roman"/>
          <w:i w:val="0"/>
          <w:color w:val="auto"/>
          <w:sz w:val="24"/>
          <w:szCs w:val="24"/>
        </w:rPr>
        <w:t>Résultats obt</w:t>
      </w:r>
      <w:r w:rsidR="00AD7869">
        <w:rPr>
          <w:rFonts w:ascii="Times New Roman" w:hAnsi="Times New Roman"/>
          <w:i w:val="0"/>
          <w:color w:val="auto"/>
          <w:sz w:val="24"/>
          <w:szCs w:val="24"/>
        </w:rPr>
        <w:t xml:space="preserve">enus par le pays </w:t>
      </w:r>
      <w:r w:rsidR="00043FA7">
        <w:rPr>
          <w:rFonts w:ascii="Times New Roman" w:hAnsi="Times New Roman"/>
          <w:i w:val="0"/>
          <w:color w:val="auto"/>
          <w:sz w:val="24"/>
          <w:szCs w:val="24"/>
        </w:rPr>
        <w:t xml:space="preserve">dans le domaine de </w:t>
      </w:r>
      <w:r w:rsidR="00AD7869">
        <w:rPr>
          <w:rFonts w:ascii="Times New Roman" w:hAnsi="Times New Roman"/>
          <w:i w:val="0"/>
          <w:color w:val="auto"/>
          <w:sz w:val="24"/>
          <w:szCs w:val="24"/>
        </w:rPr>
        <w:t>l’Effet 1</w:t>
      </w:r>
    </w:p>
    <w:p w14:paraId="604B51B5" w14:textId="77777777" w:rsidR="00367936" w:rsidRDefault="00367936" w:rsidP="005B22B2">
      <w:pPr>
        <w:spacing w:after="0" w:line="240" w:lineRule="auto"/>
        <w:ind w:left="720"/>
        <w:jc w:val="both"/>
        <w:rPr>
          <w:rFonts w:ascii="Times New Roman" w:hAnsi="Times New Roman"/>
          <w:bCs/>
          <w:iCs/>
          <w:sz w:val="24"/>
          <w:szCs w:val="24"/>
        </w:rPr>
      </w:pPr>
    </w:p>
    <w:p w14:paraId="604B51B6" w14:textId="77777777" w:rsidR="004E17A8" w:rsidRPr="003A1D53" w:rsidRDefault="00C21F24" w:rsidP="005B22B2">
      <w:pPr>
        <w:spacing w:after="0" w:line="240" w:lineRule="auto"/>
        <w:jc w:val="both"/>
        <w:rPr>
          <w:rFonts w:ascii="Times New Roman" w:hAnsi="Times New Roman"/>
          <w:bCs/>
          <w:iCs/>
          <w:sz w:val="24"/>
          <w:szCs w:val="24"/>
        </w:rPr>
      </w:pPr>
      <w:r>
        <w:rPr>
          <w:rFonts w:ascii="Times New Roman" w:hAnsi="Times New Roman"/>
          <w:bCs/>
          <w:iCs/>
          <w:sz w:val="24"/>
          <w:szCs w:val="24"/>
        </w:rPr>
        <w:lastRenderedPageBreak/>
        <w:t>7</w:t>
      </w:r>
      <w:r w:rsidR="00574B4D">
        <w:rPr>
          <w:rFonts w:ascii="Times New Roman" w:hAnsi="Times New Roman"/>
          <w:bCs/>
          <w:iCs/>
          <w:sz w:val="24"/>
          <w:szCs w:val="24"/>
        </w:rPr>
        <w:t>8</w:t>
      </w:r>
      <w:r>
        <w:rPr>
          <w:rFonts w:ascii="Times New Roman" w:hAnsi="Times New Roman"/>
          <w:bCs/>
          <w:iCs/>
          <w:sz w:val="24"/>
          <w:szCs w:val="24"/>
        </w:rPr>
        <w:t>.</w:t>
      </w:r>
      <w:r w:rsidR="007708F5">
        <w:rPr>
          <w:rFonts w:ascii="Times New Roman" w:hAnsi="Times New Roman"/>
          <w:bCs/>
          <w:iCs/>
          <w:sz w:val="24"/>
          <w:szCs w:val="24"/>
        </w:rPr>
        <w:tab/>
        <w:t>Les progrès du Mali en rapport avec l’Effet 1, "</w:t>
      </w:r>
      <w:r w:rsidR="007708F5" w:rsidRPr="007708F5">
        <w:rPr>
          <w:rFonts w:ascii="Times New Roman" w:hAnsi="Times New Roman"/>
          <w:bCs/>
          <w:i/>
          <w:iCs/>
          <w:sz w:val="24"/>
          <w:szCs w:val="24"/>
        </w:rPr>
        <w:t>La paix et la stabilisation sont assurées à travers un dialogue politique inclusif, une réforme des institutions concernées et la promotion d’une coexistence pacifique et le respect des droits humains</w:t>
      </w:r>
      <w:r w:rsidR="007708F5" w:rsidRPr="003A1D53">
        <w:rPr>
          <w:rFonts w:ascii="Times New Roman" w:hAnsi="Times New Roman"/>
          <w:bCs/>
          <w:iCs/>
          <w:sz w:val="24"/>
          <w:szCs w:val="24"/>
        </w:rPr>
        <w:t>.</w:t>
      </w:r>
      <w:r w:rsidR="004E17A8" w:rsidRPr="003A1D53">
        <w:rPr>
          <w:rFonts w:ascii="Times New Roman" w:hAnsi="Times New Roman"/>
          <w:bCs/>
          <w:iCs/>
          <w:sz w:val="24"/>
          <w:szCs w:val="24"/>
        </w:rPr>
        <w:t>", devai</w:t>
      </w:r>
      <w:r w:rsidR="002B021F" w:rsidRPr="003A1D53">
        <w:rPr>
          <w:rFonts w:ascii="Times New Roman" w:hAnsi="Times New Roman"/>
          <w:bCs/>
          <w:iCs/>
          <w:sz w:val="24"/>
          <w:szCs w:val="24"/>
        </w:rPr>
        <w:t>en</w:t>
      </w:r>
      <w:r w:rsidR="004E17A8" w:rsidRPr="003A1D53">
        <w:rPr>
          <w:rFonts w:ascii="Times New Roman" w:hAnsi="Times New Roman"/>
          <w:bCs/>
          <w:iCs/>
          <w:sz w:val="24"/>
          <w:szCs w:val="24"/>
        </w:rPr>
        <w:t>t être reflétées par quatre</w:t>
      </w:r>
      <w:r w:rsidR="007708F5" w:rsidRPr="003A1D53">
        <w:rPr>
          <w:rFonts w:ascii="Times New Roman" w:hAnsi="Times New Roman"/>
          <w:bCs/>
          <w:iCs/>
          <w:sz w:val="24"/>
          <w:szCs w:val="24"/>
        </w:rPr>
        <w:t xml:space="preserve"> indicateurs, relatifs au nombre d’incidents de sécurité, de victimes d’incidents de </w:t>
      </w:r>
      <w:r w:rsidR="003104C3" w:rsidRPr="003A1D53">
        <w:rPr>
          <w:rFonts w:ascii="Times New Roman" w:hAnsi="Times New Roman"/>
          <w:bCs/>
          <w:iCs/>
          <w:sz w:val="24"/>
          <w:szCs w:val="24"/>
        </w:rPr>
        <w:t>sécurité</w:t>
      </w:r>
      <w:r w:rsidR="007708F5" w:rsidRPr="003A1D53">
        <w:rPr>
          <w:rFonts w:ascii="Times New Roman" w:hAnsi="Times New Roman"/>
          <w:bCs/>
          <w:iCs/>
          <w:sz w:val="24"/>
          <w:szCs w:val="24"/>
        </w:rPr>
        <w:t>,</w:t>
      </w:r>
      <w:r w:rsidR="003104C3" w:rsidRPr="003A1D53">
        <w:rPr>
          <w:rFonts w:ascii="Times New Roman" w:hAnsi="Times New Roman"/>
          <w:bCs/>
          <w:iCs/>
          <w:sz w:val="24"/>
          <w:szCs w:val="24"/>
        </w:rPr>
        <w:t xml:space="preserve"> de réfugiés/déplacés internes, et de violations de droits humains et humanitaires en lien avec la situation sécuritaire.</w:t>
      </w:r>
    </w:p>
    <w:p w14:paraId="604B51B7" w14:textId="77777777" w:rsidR="004E17A8" w:rsidRPr="003A1D53" w:rsidRDefault="004E17A8" w:rsidP="005B22B2">
      <w:pPr>
        <w:spacing w:after="0" w:line="240" w:lineRule="auto"/>
        <w:jc w:val="both"/>
        <w:rPr>
          <w:rFonts w:ascii="Times New Roman" w:hAnsi="Times New Roman"/>
          <w:bCs/>
          <w:iCs/>
          <w:sz w:val="24"/>
          <w:szCs w:val="24"/>
        </w:rPr>
      </w:pPr>
    </w:p>
    <w:p w14:paraId="604B51B8" w14:textId="77777777" w:rsidR="007708F5" w:rsidRDefault="00C21F24" w:rsidP="005B22B2">
      <w:pPr>
        <w:spacing w:after="0" w:line="240" w:lineRule="auto"/>
        <w:jc w:val="both"/>
        <w:rPr>
          <w:rFonts w:ascii="Times New Roman" w:hAnsi="Times New Roman"/>
          <w:bCs/>
          <w:iCs/>
          <w:sz w:val="24"/>
          <w:szCs w:val="24"/>
        </w:rPr>
      </w:pPr>
      <w:r w:rsidRPr="003A1D53">
        <w:rPr>
          <w:rFonts w:ascii="Times New Roman" w:hAnsi="Times New Roman"/>
          <w:bCs/>
          <w:iCs/>
          <w:sz w:val="24"/>
          <w:szCs w:val="24"/>
        </w:rPr>
        <w:t>7</w:t>
      </w:r>
      <w:r w:rsidR="00574B4D" w:rsidRPr="003A1D53">
        <w:rPr>
          <w:rFonts w:ascii="Times New Roman" w:hAnsi="Times New Roman"/>
          <w:bCs/>
          <w:iCs/>
          <w:sz w:val="24"/>
          <w:szCs w:val="24"/>
        </w:rPr>
        <w:t>9</w:t>
      </w:r>
      <w:r w:rsidRPr="003A1D53">
        <w:rPr>
          <w:rFonts w:ascii="Times New Roman" w:hAnsi="Times New Roman"/>
          <w:bCs/>
          <w:iCs/>
          <w:sz w:val="24"/>
          <w:szCs w:val="24"/>
        </w:rPr>
        <w:t>.</w:t>
      </w:r>
      <w:r w:rsidR="004E17A8" w:rsidRPr="003A1D53">
        <w:rPr>
          <w:rFonts w:ascii="Times New Roman" w:hAnsi="Times New Roman"/>
          <w:bCs/>
          <w:iCs/>
          <w:sz w:val="24"/>
          <w:szCs w:val="24"/>
        </w:rPr>
        <w:tab/>
      </w:r>
      <w:r w:rsidR="003104C3" w:rsidRPr="003A1D53">
        <w:rPr>
          <w:rFonts w:ascii="Times New Roman" w:hAnsi="Times New Roman"/>
          <w:bCs/>
          <w:iCs/>
          <w:sz w:val="24"/>
          <w:szCs w:val="24"/>
        </w:rPr>
        <w:t>Le pays n’a amélioré son profil que sur l’un de ces indicateurs : le nombre de réfugiés et de déplacés internes a</w:t>
      </w:r>
      <w:r w:rsidR="002B021F" w:rsidRPr="003A1D53">
        <w:rPr>
          <w:rFonts w:ascii="Times New Roman" w:hAnsi="Times New Roman"/>
          <w:bCs/>
          <w:iCs/>
          <w:sz w:val="24"/>
          <w:szCs w:val="24"/>
        </w:rPr>
        <w:t>,</w:t>
      </w:r>
      <w:r w:rsidR="003104C3" w:rsidRPr="003A1D53">
        <w:rPr>
          <w:rFonts w:ascii="Times New Roman" w:hAnsi="Times New Roman"/>
          <w:bCs/>
          <w:iCs/>
          <w:sz w:val="24"/>
          <w:szCs w:val="24"/>
        </w:rPr>
        <w:t xml:space="preserve"> en effet</w:t>
      </w:r>
      <w:r w:rsidR="002B021F" w:rsidRPr="003A1D53">
        <w:rPr>
          <w:rFonts w:ascii="Times New Roman" w:hAnsi="Times New Roman"/>
          <w:bCs/>
          <w:iCs/>
          <w:sz w:val="24"/>
          <w:szCs w:val="24"/>
        </w:rPr>
        <w:t>,</w:t>
      </w:r>
      <w:r w:rsidR="003104C3" w:rsidRPr="003A1D53">
        <w:rPr>
          <w:rFonts w:ascii="Times New Roman" w:hAnsi="Times New Roman"/>
          <w:bCs/>
          <w:iCs/>
          <w:sz w:val="24"/>
          <w:szCs w:val="24"/>
        </w:rPr>
        <w:t xml:space="preserve"> baissé jusqu’en 2016</w:t>
      </w:r>
      <w:r w:rsidR="002B021F" w:rsidRPr="003A1D53">
        <w:rPr>
          <w:rFonts w:ascii="Times New Roman" w:hAnsi="Times New Roman"/>
          <w:bCs/>
          <w:iCs/>
          <w:sz w:val="24"/>
          <w:szCs w:val="24"/>
        </w:rPr>
        <w:t>,</w:t>
      </w:r>
      <w:r w:rsidR="003104C3" w:rsidRPr="003A1D53">
        <w:rPr>
          <w:rFonts w:ascii="Times New Roman" w:hAnsi="Times New Roman"/>
          <w:bCs/>
          <w:iCs/>
          <w:sz w:val="24"/>
          <w:szCs w:val="24"/>
        </w:rPr>
        <w:t xml:space="preserve"> de près de 3% </w:t>
      </w:r>
      <w:r w:rsidR="002B021F" w:rsidRPr="003A1D53">
        <w:rPr>
          <w:rFonts w:ascii="Times New Roman" w:hAnsi="Times New Roman"/>
          <w:bCs/>
          <w:iCs/>
          <w:sz w:val="24"/>
          <w:szCs w:val="24"/>
        </w:rPr>
        <w:t xml:space="preserve">pour les premiers, </w:t>
      </w:r>
      <w:r w:rsidR="003104C3" w:rsidRPr="003A1D53">
        <w:rPr>
          <w:rFonts w:ascii="Times New Roman" w:hAnsi="Times New Roman"/>
          <w:bCs/>
          <w:iCs/>
          <w:sz w:val="24"/>
          <w:szCs w:val="24"/>
        </w:rPr>
        <w:t>et de 71%</w:t>
      </w:r>
      <w:r w:rsidR="002B021F" w:rsidRPr="003A1D53">
        <w:rPr>
          <w:rFonts w:ascii="Times New Roman" w:hAnsi="Times New Roman"/>
          <w:bCs/>
          <w:iCs/>
          <w:sz w:val="24"/>
          <w:szCs w:val="24"/>
        </w:rPr>
        <w:t xml:space="preserve"> pour les seconds</w:t>
      </w:r>
      <w:r w:rsidR="003104C3" w:rsidRPr="003A1D53">
        <w:rPr>
          <w:rFonts w:ascii="Times New Roman" w:hAnsi="Times New Roman"/>
          <w:bCs/>
          <w:iCs/>
          <w:sz w:val="24"/>
          <w:szCs w:val="24"/>
        </w:rPr>
        <w:t>. La situation sécuritaire exprimée par les autres indicateurs, en revanche</w:t>
      </w:r>
      <w:r w:rsidR="002B021F" w:rsidRPr="003A1D53">
        <w:rPr>
          <w:rFonts w:ascii="Times New Roman" w:hAnsi="Times New Roman"/>
          <w:bCs/>
          <w:iCs/>
          <w:sz w:val="24"/>
          <w:szCs w:val="24"/>
        </w:rPr>
        <w:t>,</w:t>
      </w:r>
      <w:r w:rsidR="003104C3" w:rsidRPr="003A1D53">
        <w:rPr>
          <w:rFonts w:ascii="Times New Roman" w:hAnsi="Times New Roman"/>
          <w:bCs/>
          <w:iCs/>
          <w:sz w:val="24"/>
          <w:szCs w:val="24"/>
        </w:rPr>
        <w:t xml:space="preserve"> s’est plutôt fortement détériorée. L’insécurité a même tendu à se déplacer du Nord vers le Centre pays. Elle </w:t>
      </w:r>
      <w:r w:rsidR="002B021F" w:rsidRPr="003A1D53">
        <w:rPr>
          <w:rFonts w:ascii="Times New Roman" w:hAnsi="Times New Roman"/>
          <w:bCs/>
          <w:iCs/>
          <w:sz w:val="24"/>
          <w:szCs w:val="24"/>
        </w:rPr>
        <w:t xml:space="preserve">est essentiellement </w:t>
      </w:r>
      <w:r w:rsidR="003104C3" w:rsidRPr="003A1D53">
        <w:rPr>
          <w:rFonts w:ascii="Times New Roman" w:hAnsi="Times New Roman"/>
          <w:bCs/>
          <w:iCs/>
          <w:sz w:val="24"/>
          <w:szCs w:val="24"/>
        </w:rPr>
        <w:t>portée par la multiplication des actions de nature terroriste</w:t>
      </w:r>
      <w:r w:rsidR="002B021F" w:rsidRPr="003A1D53">
        <w:rPr>
          <w:rFonts w:ascii="Times New Roman" w:hAnsi="Times New Roman"/>
          <w:bCs/>
          <w:iCs/>
          <w:sz w:val="24"/>
          <w:szCs w:val="24"/>
        </w:rPr>
        <w:t xml:space="preserve"> qui, bien que sporadiques mais imprévisibles, montrent la grande nuisance d’entretenir un climat de psychose fortement handicapant pour la mise en œuvre des actions du programme sur le terrain</w:t>
      </w:r>
      <w:r w:rsidR="003104C3" w:rsidRPr="003A1D53">
        <w:rPr>
          <w:rFonts w:ascii="Times New Roman" w:hAnsi="Times New Roman"/>
          <w:bCs/>
          <w:iCs/>
          <w:sz w:val="24"/>
          <w:szCs w:val="24"/>
        </w:rPr>
        <w:t>. Le détail de la situation à ces dif</w:t>
      </w:r>
      <w:r w:rsidR="002B021F" w:rsidRPr="003A1D53">
        <w:rPr>
          <w:rFonts w:ascii="Times New Roman" w:hAnsi="Times New Roman"/>
          <w:bCs/>
          <w:iCs/>
          <w:sz w:val="24"/>
          <w:szCs w:val="24"/>
        </w:rPr>
        <w:t>férents égards est donné en annexe</w:t>
      </w:r>
      <w:r w:rsidR="003104C3" w:rsidRPr="003A1D53">
        <w:rPr>
          <w:rFonts w:ascii="Times New Roman" w:hAnsi="Times New Roman"/>
          <w:bCs/>
          <w:iCs/>
          <w:sz w:val="24"/>
          <w:szCs w:val="24"/>
        </w:rPr>
        <w:t>.</w:t>
      </w:r>
    </w:p>
    <w:p w14:paraId="604B51B9" w14:textId="77777777" w:rsidR="00AD7869" w:rsidRDefault="00AD7869" w:rsidP="005B22B2">
      <w:pPr>
        <w:spacing w:after="0" w:line="240" w:lineRule="auto"/>
        <w:jc w:val="both"/>
        <w:rPr>
          <w:rFonts w:ascii="Times New Roman" w:hAnsi="Times New Roman"/>
          <w:bCs/>
          <w:iCs/>
          <w:color w:val="FF0000"/>
          <w:sz w:val="24"/>
          <w:szCs w:val="24"/>
        </w:rPr>
      </w:pPr>
    </w:p>
    <w:p w14:paraId="604B51BA" w14:textId="77777777" w:rsidR="00171576" w:rsidRPr="006B309F" w:rsidRDefault="00171576" w:rsidP="005B22B2">
      <w:pPr>
        <w:pStyle w:val="Titre4"/>
        <w:numPr>
          <w:ilvl w:val="3"/>
          <w:numId w:val="4"/>
        </w:numPr>
        <w:spacing w:before="0" w:line="240" w:lineRule="auto"/>
        <w:rPr>
          <w:rFonts w:ascii="Times New Roman" w:hAnsi="Times New Roman"/>
          <w:i w:val="0"/>
          <w:color w:val="auto"/>
          <w:sz w:val="24"/>
          <w:szCs w:val="24"/>
        </w:rPr>
      </w:pPr>
      <w:r w:rsidRPr="006B309F">
        <w:rPr>
          <w:rFonts w:ascii="Times New Roman" w:hAnsi="Times New Roman"/>
          <w:i w:val="0"/>
          <w:color w:val="auto"/>
          <w:sz w:val="24"/>
          <w:szCs w:val="24"/>
        </w:rPr>
        <w:t xml:space="preserve">Contributions </w:t>
      </w:r>
      <w:r w:rsidR="002B16ED">
        <w:rPr>
          <w:rFonts w:ascii="Times New Roman" w:hAnsi="Times New Roman"/>
          <w:i w:val="0"/>
          <w:color w:val="auto"/>
          <w:sz w:val="24"/>
          <w:szCs w:val="24"/>
        </w:rPr>
        <w:t xml:space="preserve">du </w:t>
      </w:r>
      <w:r w:rsidR="00BD274E">
        <w:rPr>
          <w:rFonts w:ascii="Times New Roman" w:hAnsi="Times New Roman"/>
          <w:i w:val="0"/>
          <w:color w:val="auto"/>
          <w:sz w:val="24"/>
          <w:szCs w:val="24"/>
        </w:rPr>
        <w:t>Système/</w:t>
      </w:r>
      <w:r w:rsidR="002B16ED">
        <w:rPr>
          <w:rFonts w:ascii="Times New Roman" w:hAnsi="Times New Roman"/>
          <w:i w:val="0"/>
          <w:color w:val="auto"/>
          <w:sz w:val="24"/>
          <w:szCs w:val="24"/>
        </w:rPr>
        <w:t xml:space="preserve">Programme aux Résultats </w:t>
      </w:r>
      <w:r w:rsidR="000031A7">
        <w:rPr>
          <w:rFonts w:ascii="Times New Roman" w:hAnsi="Times New Roman"/>
          <w:i w:val="0"/>
          <w:color w:val="auto"/>
          <w:sz w:val="24"/>
          <w:szCs w:val="24"/>
        </w:rPr>
        <w:t>du</w:t>
      </w:r>
      <w:r w:rsidR="002B16ED">
        <w:rPr>
          <w:rFonts w:ascii="Times New Roman" w:hAnsi="Times New Roman"/>
          <w:i w:val="0"/>
          <w:color w:val="auto"/>
          <w:sz w:val="24"/>
          <w:szCs w:val="24"/>
        </w:rPr>
        <w:t xml:space="preserve"> </w:t>
      </w:r>
      <w:r w:rsidR="007F5672">
        <w:rPr>
          <w:rFonts w:ascii="Times New Roman" w:hAnsi="Times New Roman"/>
          <w:i w:val="0"/>
          <w:color w:val="auto"/>
          <w:sz w:val="24"/>
          <w:szCs w:val="24"/>
        </w:rPr>
        <w:t xml:space="preserve">pays </w:t>
      </w:r>
      <w:r w:rsidR="000031A7">
        <w:rPr>
          <w:rFonts w:ascii="Times New Roman" w:hAnsi="Times New Roman"/>
          <w:i w:val="0"/>
          <w:color w:val="auto"/>
          <w:sz w:val="24"/>
          <w:szCs w:val="24"/>
        </w:rPr>
        <w:t>dans le domaine</w:t>
      </w:r>
    </w:p>
    <w:p w14:paraId="604B51BB" w14:textId="77777777" w:rsidR="004A4DFB" w:rsidRDefault="004A4DFB" w:rsidP="005B22B2">
      <w:pPr>
        <w:spacing w:after="0" w:line="240" w:lineRule="auto"/>
        <w:rPr>
          <w:rFonts w:ascii="Times New Roman" w:hAnsi="Times New Roman"/>
          <w:sz w:val="24"/>
          <w:szCs w:val="24"/>
        </w:rPr>
      </w:pPr>
    </w:p>
    <w:p w14:paraId="604B51BC" w14:textId="77777777" w:rsidR="00C77566" w:rsidRPr="003874DF" w:rsidRDefault="00574B4D" w:rsidP="005B22B2">
      <w:pPr>
        <w:spacing w:after="0" w:line="240" w:lineRule="auto"/>
        <w:jc w:val="both"/>
        <w:rPr>
          <w:rFonts w:ascii="Times New Roman" w:hAnsi="Times New Roman"/>
          <w:sz w:val="24"/>
          <w:szCs w:val="24"/>
        </w:rPr>
      </w:pPr>
      <w:r>
        <w:rPr>
          <w:rFonts w:ascii="Times New Roman" w:hAnsi="Times New Roman"/>
          <w:sz w:val="24"/>
          <w:szCs w:val="24"/>
        </w:rPr>
        <w:t>80</w:t>
      </w:r>
      <w:r w:rsidR="00C21F24">
        <w:rPr>
          <w:rFonts w:ascii="Times New Roman" w:hAnsi="Times New Roman"/>
          <w:sz w:val="24"/>
          <w:szCs w:val="24"/>
        </w:rPr>
        <w:t>.</w:t>
      </w:r>
      <w:r w:rsidR="00C77566">
        <w:rPr>
          <w:rFonts w:ascii="Times New Roman" w:hAnsi="Times New Roman"/>
          <w:sz w:val="24"/>
          <w:szCs w:val="24"/>
        </w:rPr>
        <w:tab/>
        <w:t xml:space="preserve">Les contributions du programme aux efforts du pays en rapport avec le premier Effet sont organisées autour de quatre produits : </w:t>
      </w:r>
      <w:r w:rsidR="00C77566" w:rsidRPr="00C77566">
        <w:rPr>
          <w:rFonts w:ascii="Times New Roman" w:hAnsi="Times New Roman"/>
          <w:sz w:val="24"/>
          <w:szCs w:val="24"/>
        </w:rPr>
        <w:t>Produit 1.1.  Dialogue politique / médiation: Les mécanismes de dialogue politique et de médiation inclusifs sont améliorés à travers le renforcement des capacités techniques des institutions gouvernementales et des autres acteurs nationaux y compris les groupes armés</w:t>
      </w:r>
      <w:r w:rsidR="00C77566">
        <w:rPr>
          <w:rFonts w:ascii="Times New Roman" w:hAnsi="Times New Roman"/>
          <w:sz w:val="24"/>
          <w:szCs w:val="24"/>
        </w:rPr>
        <w:t xml:space="preserve"> ; </w:t>
      </w:r>
      <w:r w:rsidR="00C77566" w:rsidRPr="00C77566">
        <w:rPr>
          <w:rFonts w:ascii="Times New Roman" w:hAnsi="Times New Roman"/>
          <w:sz w:val="24"/>
          <w:szCs w:val="24"/>
        </w:rPr>
        <w:t>Produit 1.2. Secteur de la sécurité : Le secteur de la sécurité est renforcé par la mise en œuvre de la politique nationale de la réforme du secteur de la sécurité, y compris la lutte contre les crimes transnationaux</w:t>
      </w:r>
      <w:r w:rsidR="00C77566">
        <w:rPr>
          <w:rFonts w:ascii="Times New Roman" w:hAnsi="Times New Roman"/>
          <w:sz w:val="24"/>
          <w:szCs w:val="24"/>
        </w:rPr>
        <w:t xml:space="preserve"> ; </w:t>
      </w:r>
      <w:r w:rsidR="00C77566" w:rsidRPr="00C77566">
        <w:rPr>
          <w:rFonts w:ascii="Times New Roman" w:hAnsi="Times New Roman"/>
          <w:sz w:val="24"/>
          <w:szCs w:val="24"/>
        </w:rPr>
        <w:t xml:space="preserve">Produit 1.3. DDR/Réinsertion : Les capacités techniques, logistiques et institutionnelles de la Commission nationale de DDR et des acteurs concernés sont renforcées pour la mise en œuvre d’une démobilisation et </w:t>
      </w:r>
      <w:r w:rsidR="00C77566" w:rsidRPr="003874DF">
        <w:rPr>
          <w:rFonts w:ascii="Times New Roman" w:hAnsi="Times New Roman"/>
          <w:sz w:val="24"/>
          <w:szCs w:val="24"/>
        </w:rPr>
        <w:t>d’une réinsertion inclusive (ex-combattants, milices et groupes d’auto-défense, communautés et groupes vulnérables, notamment les enfants) ; Produit 1.4 : réduction des risques explosifs : Les risques explosifs sont réduits à travers une capacité nationale et communautaire renforcée.</w:t>
      </w:r>
    </w:p>
    <w:p w14:paraId="604B51BD" w14:textId="77777777" w:rsidR="008D1F8E" w:rsidRPr="003874DF" w:rsidRDefault="008D1F8E" w:rsidP="005B22B2">
      <w:pPr>
        <w:pStyle w:val="Titre1"/>
        <w:spacing w:before="0" w:line="240" w:lineRule="auto"/>
        <w:rPr>
          <w:rFonts w:ascii="Times New Roman" w:hAnsi="Times New Roman"/>
          <w:color w:val="auto"/>
          <w:sz w:val="24"/>
          <w:szCs w:val="24"/>
        </w:rPr>
      </w:pPr>
    </w:p>
    <w:p w14:paraId="604B51BE" w14:textId="77777777" w:rsidR="00876952" w:rsidRDefault="00C21F24" w:rsidP="005B22B2">
      <w:pPr>
        <w:spacing w:after="0" w:line="240" w:lineRule="auto"/>
        <w:jc w:val="both"/>
        <w:rPr>
          <w:rFonts w:ascii="Times New Roman" w:hAnsi="Times New Roman"/>
          <w:sz w:val="24"/>
          <w:szCs w:val="24"/>
        </w:rPr>
      </w:pPr>
      <w:r>
        <w:rPr>
          <w:rFonts w:ascii="Times New Roman" w:hAnsi="Times New Roman"/>
          <w:sz w:val="24"/>
          <w:szCs w:val="24"/>
        </w:rPr>
        <w:t>8</w:t>
      </w:r>
      <w:r w:rsidR="00574B4D">
        <w:rPr>
          <w:rFonts w:ascii="Times New Roman" w:hAnsi="Times New Roman"/>
          <w:sz w:val="24"/>
          <w:szCs w:val="24"/>
        </w:rPr>
        <w:t>1</w:t>
      </w:r>
      <w:r>
        <w:rPr>
          <w:rFonts w:ascii="Times New Roman" w:hAnsi="Times New Roman"/>
          <w:sz w:val="24"/>
          <w:szCs w:val="24"/>
        </w:rPr>
        <w:t>.</w:t>
      </w:r>
      <w:r w:rsidR="00876952" w:rsidRPr="003874DF">
        <w:rPr>
          <w:rFonts w:ascii="Times New Roman" w:hAnsi="Times New Roman"/>
          <w:sz w:val="24"/>
          <w:szCs w:val="24"/>
        </w:rPr>
        <w:tab/>
        <w:t xml:space="preserve">L’appui aux cadres de dialogue politique et à la médiation a été accompli au-delà des cibles assignées, avant même la fin du cycle, en termes naturellement de nombre de structures touchées, les réalisations restant toutefois moyennes en ce qui concerne les réunions de suivi de l’Accord de paix (35% de la cible atteinte à fin 2016). Dans le domaine de la réforme de la </w:t>
      </w:r>
      <w:r w:rsidR="00247F0C" w:rsidRPr="003874DF">
        <w:rPr>
          <w:rFonts w:ascii="Times New Roman" w:hAnsi="Times New Roman"/>
          <w:sz w:val="24"/>
          <w:szCs w:val="24"/>
        </w:rPr>
        <w:t>sécurité</w:t>
      </w:r>
      <w:r w:rsidR="00876952" w:rsidRPr="003874DF">
        <w:rPr>
          <w:rFonts w:ascii="Times New Roman" w:hAnsi="Times New Roman"/>
          <w:sz w:val="24"/>
          <w:szCs w:val="24"/>
        </w:rPr>
        <w:t xml:space="preserve">, les acquis importants, souvent déjà au-delà des cibles de fin de programme concernent </w:t>
      </w:r>
      <w:r w:rsidR="003874DF">
        <w:rPr>
          <w:rFonts w:ascii="Times New Roman" w:hAnsi="Times New Roman"/>
          <w:sz w:val="24"/>
          <w:szCs w:val="24"/>
        </w:rPr>
        <w:t xml:space="preserve">surtout : le renforcement des capacités opérationnelles et techniques des </w:t>
      </w:r>
      <w:r w:rsidR="003874DF" w:rsidRPr="003874DF">
        <w:rPr>
          <w:rFonts w:ascii="Times New Roman" w:hAnsi="Times New Roman"/>
          <w:sz w:val="24"/>
          <w:szCs w:val="24"/>
        </w:rPr>
        <w:t>postes frontières aériens, terrestres et maritimes (port sec de Bamako)</w:t>
      </w:r>
      <w:r w:rsidR="003874DF">
        <w:rPr>
          <w:rFonts w:ascii="Times New Roman" w:hAnsi="Times New Roman"/>
          <w:sz w:val="24"/>
          <w:szCs w:val="24"/>
        </w:rPr>
        <w:t>, la création de s</w:t>
      </w:r>
      <w:r w:rsidR="003874DF" w:rsidRPr="003874DF">
        <w:rPr>
          <w:rFonts w:ascii="Times New Roman" w:hAnsi="Times New Roman"/>
          <w:sz w:val="24"/>
          <w:szCs w:val="24"/>
        </w:rPr>
        <w:t>tructures spécialisées de police judiciaire</w:t>
      </w:r>
      <w:r w:rsidR="003874DF">
        <w:rPr>
          <w:rFonts w:ascii="Times New Roman" w:hAnsi="Times New Roman"/>
          <w:sz w:val="24"/>
          <w:szCs w:val="24"/>
        </w:rPr>
        <w:t xml:space="preserve"> et la formation de leurs personnels</w:t>
      </w:r>
      <w:r w:rsidR="003874DF" w:rsidRPr="003874DF">
        <w:rPr>
          <w:rFonts w:ascii="Times New Roman" w:hAnsi="Times New Roman"/>
          <w:sz w:val="24"/>
          <w:szCs w:val="24"/>
        </w:rPr>
        <w:t xml:space="preserve"> pour faire face aux problèmes de la crimi</w:t>
      </w:r>
      <w:r w:rsidR="003874DF">
        <w:rPr>
          <w:rFonts w:ascii="Times New Roman" w:hAnsi="Times New Roman"/>
          <w:sz w:val="24"/>
          <w:szCs w:val="24"/>
        </w:rPr>
        <w:t xml:space="preserve">nalité organisée transnationale, ainsi que les </w:t>
      </w:r>
      <w:r w:rsidR="003874DF" w:rsidRPr="003874DF">
        <w:rPr>
          <w:rFonts w:ascii="Times New Roman" w:hAnsi="Times New Roman"/>
          <w:sz w:val="24"/>
          <w:szCs w:val="24"/>
        </w:rPr>
        <w:t xml:space="preserve">inspections </w:t>
      </w:r>
      <w:r w:rsidR="003874DF">
        <w:rPr>
          <w:rFonts w:ascii="Times New Roman" w:hAnsi="Times New Roman"/>
          <w:sz w:val="24"/>
          <w:szCs w:val="24"/>
        </w:rPr>
        <w:t xml:space="preserve">des </w:t>
      </w:r>
      <w:r w:rsidR="003874DF" w:rsidRPr="003874DF">
        <w:rPr>
          <w:rFonts w:ascii="Times New Roman" w:hAnsi="Times New Roman"/>
          <w:sz w:val="24"/>
          <w:szCs w:val="24"/>
        </w:rPr>
        <w:t>forces de Défense et de Sécurité par les i</w:t>
      </w:r>
      <w:r w:rsidR="003874DF">
        <w:rPr>
          <w:rFonts w:ascii="Times New Roman" w:hAnsi="Times New Roman"/>
          <w:sz w:val="24"/>
          <w:szCs w:val="24"/>
        </w:rPr>
        <w:t>nstitutions de contrôle.</w:t>
      </w:r>
    </w:p>
    <w:p w14:paraId="604B51BF" w14:textId="77777777" w:rsidR="003874DF" w:rsidRDefault="003874DF" w:rsidP="005B22B2">
      <w:pPr>
        <w:spacing w:after="0" w:line="240" w:lineRule="auto"/>
        <w:jc w:val="both"/>
        <w:rPr>
          <w:rFonts w:ascii="Times New Roman" w:hAnsi="Times New Roman"/>
          <w:sz w:val="24"/>
          <w:szCs w:val="24"/>
        </w:rPr>
      </w:pPr>
    </w:p>
    <w:p w14:paraId="604B51C0" w14:textId="77777777" w:rsidR="003874DF" w:rsidRDefault="00574B4D" w:rsidP="005B22B2">
      <w:pPr>
        <w:spacing w:after="0" w:line="240" w:lineRule="auto"/>
        <w:jc w:val="both"/>
        <w:rPr>
          <w:rFonts w:ascii="Times New Roman" w:hAnsi="Times New Roman"/>
          <w:sz w:val="24"/>
          <w:szCs w:val="24"/>
        </w:rPr>
      </w:pPr>
      <w:r>
        <w:rPr>
          <w:rFonts w:ascii="Times New Roman" w:hAnsi="Times New Roman"/>
          <w:sz w:val="24"/>
          <w:szCs w:val="24"/>
        </w:rPr>
        <w:t>82</w:t>
      </w:r>
      <w:r w:rsidR="00C21F24">
        <w:rPr>
          <w:rFonts w:ascii="Times New Roman" w:hAnsi="Times New Roman"/>
          <w:sz w:val="24"/>
          <w:szCs w:val="24"/>
        </w:rPr>
        <w:t>.</w:t>
      </w:r>
      <w:r w:rsidR="003874DF">
        <w:rPr>
          <w:rFonts w:ascii="Times New Roman" w:hAnsi="Times New Roman"/>
          <w:sz w:val="24"/>
          <w:szCs w:val="24"/>
        </w:rPr>
        <w:tab/>
        <w:t>Les réalisations</w:t>
      </w:r>
      <w:r w:rsidR="002B021F">
        <w:rPr>
          <w:rFonts w:ascii="Times New Roman" w:hAnsi="Times New Roman"/>
          <w:sz w:val="24"/>
          <w:szCs w:val="24"/>
        </w:rPr>
        <w:t>,</w:t>
      </w:r>
      <w:r w:rsidR="003874DF">
        <w:rPr>
          <w:rFonts w:ascii="Times New Roman" w:hAnsi="Times New Roman"/>
          <w:sz w:val="24"/>
          <w:szCs w:val="24"/>
        </w:rPr>
        <w:t xml:space="preserve"> sont en revanche</w:t>
      </w:r>
      <w:r w:rsidR="002B021F">
        <w:rPr>
          <w:rFonts w:ascii="Times New Roman" w:hAnsi="Times New Roman"/>
          <w:sz w:val="24"/>
          <w:szCs w:val="24"/>
        </w:rPr>
        <w:t>,</w:t>
      </w:r>
      <w:r w:rsidR="003874DF">
        <w:rPr>
          <w:rFonts w:ascii="Times New Roman" w:hAnsi="Times New Roman"/>
          <w:sz w:val="24"/>
          <w:szCs w:val="24"/>
        </w:rPr>
        <w:t xml:space="preserve"> insuffisantes ou mitigées en matière de : mise en œuvre du Plan RSS </w:t>
      </w:r>
      <w:r w:rsidR="003874DF" w:rsidRPr="003874DF">
        <w:rPr>
          <w:rFonts w:ascii="Times New Roman" w:hAnsi="Times New Roman"/>
          <w:sz w:val="24"/>
          <w:szCs w:val="24"/>
        </w:rPr>
        <w:t>2015-2019</w:t>
      </w:r>
      <w:r w:rsidR="003874DF">
        <w:rPr>
          <w:rFonts w:ascii="Times New Roman" w:hAnsi="Times New Roman"/>
          <w:sz w:val="24"/>
          <w:szCs w:val="24"/>
        </w:rPr>
        <w:t xml:space="preserve">, de traitement par </w:t>
      </w:r>
      <w:r w:rsidR="003874DF" w:rsidRPr="003874DF">
        <w:rPr>
          <w:rFonts w:ascii="Times New Roman" w:hAnsi="Times New Roman"/>
          <w:sz w:val="24"/>
          <w:szCs w:val="24"/>
        </w:rPr>
        <w:t xml:space="preserve">le système de justice formel </w:t>
      </w:r>
      <w:r w:rsidR="003874DF">
        <w:rPr>
          <w:rFonts w:ascii="Times New Roman" w:hAnsi="Times New Roman"/>
          <w:sz w:val="24"/>
          <w:szCs w:val="24"/>
        </w:rPr>
        <w:t xml:space="preserve">des </w:t>
      </w:r>
      <w:r w:rsidR="003874DF" w:rsidRPr="003874DF">
        <w:rPr>
          <w:rFonts w:ascii="Times New Roman" w:hAnsi="Times New Roman"/>
          <w:sz w:val="24"/>
          <w:szCs w:val="24"/>
        </w:rPr>
        <w:t>plaintes contre les forces</w:t>
      </w:r>
      <w:r w:rsidR="003874DF">
        <w:rPr>
          <w:rFonts w:ascii="Times New Roman" w:hAnsi="Times New Roman"/>
          <w:sz w:val="24"/>
          <w:szCs w:val="24"/>
        </w:rPr>
        <w:t xml:space="preserve"> armées et de sécurité, d’évaluation et de vérification de la conformité de</w:t>
      </w:r>
      <w:r w:rsidR="003874DF" w:rsidRPr="003874DF">
        <w:rPr>
          <w:rFonts w:ascii="Times New Roman" w:hAnsi="Times New Roman"/>
          <w:sz w:val="24"/>
          <w:szCs w:val="24"/>
        </w:rPr>
        <w:t>s lois</w:t>
      </w:r>
      <w:r w:rsidR="003874DF">
        <w:rPr>
          <w:rFonts w:ascii="Times New Roman" w:hAnsi="Times New Roman"/>
          <w:sz w:val="24"/>
          <w:szCs w:val="24"/>
        </w:rPr>
        <w:t xml:space="preserve"> nationales avec </w:t>
      </w:r>
      <w:r w:rsidR="003874DF" w:rsidRPr="003874DF">
        <w:rPr>
          <w:rFonts w:ascii="Times New Roman" w:hAnsi="Times New Roman"/>
          <w:sz w:val="24"/>
          <w:szCs w:val="24"/>
        </w:rPr>
        <w:t xml:space="preserve">les conventions internationales en matière de lutte contre la criminalité transnationale organisée et </w:t>
      </w:r>
      <w:r w:rsidR="003874DF">
        <w:rPr>
          <w:rFonts w:ascii="Times New Roman" w:hAnsi="Times New Roman"/>
          <w:sz w:val="24"/>
          <w:szCs w:val="24"/>
        </w:rPr>
        <w:t xml:space="preserve">les </w:t>
      </w:r>
      <w:r w:rsidR="003874DF" w:rsidRPr="003874DF">
        <w:rPr>
          <w:rFonts w:ascii="Times New Roman" w:hAnsi="Times New Roman"/>
          <w:sz w:val="24"/>
          <w:szCs w:val="24"/>
        </w:rPr>
        <w:t xml:space="preserve">protocoles additifs, le trafic de drogue, </w:t>
      </w:r>
      <w:r w:rsidR="003874DF">
        <w:rPr>
          <w:rFonts w:ascii="Times New Roman" w:hAnsi="Times New Roman"/>
          <w:sz w:val="24"/>
          <w:szCs w:val="24"/>
        </w:rPr>
        <w:t>le terrorisme et la corruption.</w:t>
      </w:r>
    </w:p>
    <w:p w14:paraId="604B51C1" w14:textId="77777777" w:rsidR="002A47CF" w:rsidRDefault="002A47CF" w:rsidP="005B22B2">
      <w:pPr>
        <w:spacing w:after="0" w:line="240" w:lineRule="auto"/>
        <w:jc w:val="both"/>
        <w:rPr>
          <w:rFonts w:ascii="Times New Roman" w:hAnsi="Times New Roman"/>
          <w:sz w:val="24"/>
          <w:szCs w:val="24"/>
        </w:rPr>
      </w:pPr>
    </w:p>
    <w:p w14:paraId="604B51C2" w14:textId="77777777" w:rsidR="0014632B" w:rsidRDefault="00C21F24" w:rsidP="005B22B2">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574B4D">
        <w:rPr>
          <w:rFonts w:ascii="Times New Roman" w:hAnsi="Times New Roman"/>
          <w:sz w:val="24"/>
          <w:szCs w:val="24"/>
        </w:rPr>
        <w:t>3</w:t>
      </w:r>
      <w:r>
        <w:rPr>
          <w:rFonts w:ascii="Times New Roman" w:hAnsi="Times New Roman"/>
          <w:sz w:val="24"/>
          <w:szCs w:val="24"/>
        </w:rPr>
        <w:t>.</w:t>
      </w:r>
      <w:r w:rsidR="002A47CF">
        <w:rPr>
          <w:rFonts w:ascii="Times New Roman" w:hAnsi="Times New Roman"/>
          <w:sz w:val="24"/>
          <w:szCs w:val="24"/>
        </w:rPr>
        <w:tab/>
        <w:t xml:space="preserve">En matière de DDR, le cantonnement et la réinsertion des ex-combattants sont encore très faibles, ainsi que le retour en famille des enfants qui en étaient séparés du fait du conflit. </w:t>
      </w:r>
      <w:r w:rsidR="002A47CF" w:rsidRPr="0014632B">
        <w:rPr>
          <w:rFonts w:ascii="Times New Roman" w:hAnsi="Times New Roman"/>
          <w:sz w:val="24"/>
          <w:szCs w:val="24"/>
        </w:rPr>
        <w:t>Il y a eu des progrès, en revanche</w:t>
      </w:r>
      <w:r w:rsidR="005B2523">
        <w:rPr>
          <w:rFonts w:ascii="Times New Roman" w:hAnsi="Times New Roman"/>
          <w:sz w:val="24"/>
          <w:szCs w:val="24"/>
        </w:rPr>
        <w:t>,</w:t>
      </w:r>
      <w:r w:rsidR="002A47CF" w:rsidRPr="0014632B">
        <w:rPr>
          <w:rFonts w:ascii="Times New Roman" w:hAnsi="Times New Roman"/>
          <w:sz w:val="24"/>
          <w:szCs w:val="24"/>
        </w:rPr>
        <w:t xml:space="preserve"> s’agissant de la création de sites de cantonnement (8 sites créés, contre 1 en situation de référence) et de la prise en charge des femmes (215 contre 0 en situation de référence), même si l’absence d’objectifs chiffrés dans ces deux domaines ne permet pas d’apprécier la significativité de ces efforts.</w:t>
      </w:r>
      <w:r w:rsidR="00875694">
        <w:rPr>
          <w:rFonts w:ascii="Times New Roman" w:hAnsi="Times New Roman"/>
          <w:sz w:val="24"/>
          <w:szCs w:val="24"/>
        </w:rPr>
        <w:t xml:space="preserve"> </w:t>
      </w:r>
      <w:r w:rsidR="0014632B">
        <w:rPr>
          <w:rFonts w:ascii="Times New Roman" w:hAnsi="Times New Roman"/>
          <w:sz w:val="24"/>
          <w:szCs w:val="24"/>
        </w:rPr>
        <w:t>En ce qui concerne l</w:t>
      </w:r>
      <w:r w:rsidR="000D10C0" w:rsidRPr="0014632B">
        <w:rPr>
          <w:rFonts w:ascii="Times New Roman" w:hAnsi="Times New Roman"/>
          <w:sz w:val="24"/>
          <w:szCs w:val="24"/>
        </w:rPr>
        <w:t xml:space="preserve">a </w:t>
      </w:r>
      <w:r w:rsidR="0014632B" w:rsidRPr="0014632B">
        <w:rPr>
          <w:rFonts w:ascii="Times New Roman" w:hAnsi="Times New Roman"/>
          <w:sz w:val="24"/>
          <w:szCs w:val="24"/>
        </w:rPr>
        <w:t>réduction</w:t>
      </w:r>
      <w:r w:rsidR="000D10C0" w:rsidRPr="0014632B">
        <w:rPr>
          <w:rFonts w:ascii="Times New Roman" w:hAnsi="Times New Roman"/>
          <w:sz w:val="24"/>
          <w:szCs w:val="24"/>
        </w:rPr>
        <w:t xml:space="preserve"> des risques explosifs</w:t>
      </w:r>
      <w:r w:rsidR="0014632B">
        <w:rPr>
          <w:rFonts w:ascii="Times New Roman" w:hAnsi="Times New Roman"/>
          <w:sz w:val="24"/>
          <w:szCs w:val="24"/>
        </w:rPr>
        <w:t xml:space="preserve">, la formation et l’équipement des forces de défense et de sécurité </w:t>
      </w:r>
      <w:r w:rsidR="00875694">
        <w:rPr>
          <w:rFonts w:ascii="Times New Roman" w:hAnsi="Times New Roman"/>
          <w:sz w:val="24"/>
          <w:szCs w:val="24"/>
        </w:rPr>
        <w:t>ont</w:t>
      </w:r>
      <w:r w:rsidR="0014632B">
        <w:rPr>
          <w:rFonts w:ascii="Times New Roman" w:hAnsi="Times New Roman"/>
          <w:sz w:val="24"/>
          <w:szCs w:val="24"/>
        </w:rPr>
        <w:t xml:space="preserve"> significativement progressé, avec 6 équipes </w:t>
      </w:r>
      <w:r w:rsidR="005B2523">
        <w:rPr>
          <w:rFonts w:ascii="Times New Roman" w:hAnsi="Times New Roman"/>
          <w:sz w:val="24"/>
          <w:szCs w:val="24"/>
        </w:rPr>
        <w:t xml:space="preserve">des </w:t>
      </w:r>
      <w:r w:rsidR="0014632B">
        <w:rPr>
          <w:rFonts w:ascii="Times New Roman" w:hAnsi="Times New Roman"/>
          <w:sz w:val="24"/>
          <w:szCs w:val="24"/>
        </w:rPr>
        <w:t xml:space="preserve">FDSM déjà formées </w:t>
      </w:r>
      <w:r w:rsidR="005B2523">
        <w:rPr>
          <w:rFonts w:ascii="Times New Roman" w:hAnsi="Times New Roman"/>
          <w:sz w:val="24"/>
          <w:szCs w:val="24"/>
        </w:rPr>
        <w:t xml:space="preserve">et </w:t>
      </w:r>
      <w:r w:rsidR="0014632B">
        <w:rPr>
          <w:rFonts w:ascii="Times New Roman" w:hAnsi="Times New Roman"/>
          <w:sz w:val="24"/>
          <w:szCs w:val="24"/>
        </w:rPr>
        <w:t>équipées à fin 2016, pour un objectif attendu de 12 en fin de cycle, soit un rythme de progression qui permet à priori d’atte</w:t>
      </w:r>
      <w:r w:rsidR="005B2523">
        <w:rPr>
          <w:rFonts w:ascii="Times New Roman" w:hAnsi="Times New Roman"/>
          <w:sz w:val="24"/>
          <w:szCs w:val="24"/>
        </w:rPr>
        <w:t>indre la cible.</w:t>
      </w:r>
      <w:r w:rsidR="0014632B" w:rsidRPr="0014632B">
        <w:rPr>
          <w:rFonts w:ascii="Times New Roman" w:hAnsi="Times New Roman"/>
          <w:sz w:val="24"/>
          <w:szCs w:val="24"/>
        </w:rPr>
        <w:t xml:space="preserve"> </w:t>
      </w:r>
      <w:r w:rsidR="00875694">
        <w:rPr>
          <w:rFonts w:ascii="Times New Roman" w:hAnsi="Times New Roman"/>
          <w:sz w:val="24"/>
          <w:szCs w:val="24"/>
        </w:rPr>
        <w:t>Le n</w:t>
      </w:r>
      <w:r w:rsidR="00875694" w:rsidRPr="0014632B">
        <w:rPr>
          <w:rFonts w:ascii="Times New Roman" w:hAnsi="Times New Roman"/>
          <w:sz w:val="24"/>
          <w:szCs w:val="24"/>
        </w:rPr>
        <w:t>ombre de personnes ayant reçu une éducation au risque de mines</w:t>
      </w:r>
      <w:r w:rsidR="00875694">
        <w:rPr>
          <w:rFonts w:ascii="Times New Roman" w:hAnsi="Times New Roman"/>
          <w:sz w:val="24"/>
          <w:szCs w:val="24"/>
        </w:rPr>
        <w:t xml:space="preserve"> a</w:t>
      </w:r>
      <w:r w:rsidR="005B2523">
        <w:rPr>
          <w:rFonts w:ascii="Times New Roman" w:hAnsi="Times New Roman"/>
          <w:sz w:val="24"/>
          <w:szCs w:val="24"/>
        </w:rPr>
        <w:t>,</w:t>
      </w:r>
      <w:r w:rsidR="00875694">
        <w:rPr>
          <w:rFonts w:ascii="Times New Roman" w:hAnsi="Times New Roman"/>
          <w:sz w:val="24"/>
          <w:szCs w:val="24"/>
        </w:rPr>
        <w:t xml:space="preserve"> pour sa part, </w:t>
      </w:r>
      <w:r w:rsidR="005B2523">
        <w:rPr>
          <w:rFonts w:ascii="Times New Roman" w:hAnsi="Times New Roman"/>
          <w:sz w:val="24"/>
          <w:szCs w:val="24"/>
        </w:rPr>
        <w:t xml:space="preserve">déjà </w:t>
      </w:r>
      <w:r w:rsidR="00875694">
        <w:rPr>
          <w:rFonts w:ascii="Times New Roman" w:hAnsi="Times New Roman"/>
          <w:sz w:val="24"/>
          <w:szCs w:val="24"/>
        </w:rPr>
        <w:t>dépass</w:t>
      </w:r>
      <w:r w:rsidR="005B2523">
        <w:rPr>
          <w:rFonts w:ascii="Times New Roman" w:hAnsi="Times New Roman"/>
          <w:sz w:val="24"/>
          <w:szCs w:val="24"/>
        </w:rPr>
        <w:t>é</w:t>
      </w:r>
      <w:r w:rsidR="00875694">
        <w:rPr>
          <w:rFonts w:ascii="Times New Roman" w:hAnsi="Times New Roman"/>
          <w:sz w:val="24"/>
          <w:szCs w:val="24"/>
        </w:rPr>
        <w:t>, à fin 2016</w:t>
      </w:r>
      <w:r w:rsidR="005B2523">
        <w:rPr>
          <w:rFonts w:ascii="Times New Roman" w:hAnsi="Times New Roman"/>
          <w:sz w:val="24"/>
          <w:szCs w:val="24"/>
        </w:rPr>
        <w:t>,</w:t>
      </w:r>
      <w:r w:rsidR="00875694">
        <w:rPr>
          <w:rFonts w:ascii="Times New Roman" w:hAnsi="Times New Roman"/>
          <w:sz w:val="24"/>
          <w:szCs w:val="24"/>
        </w:rPr>
        <w:t xml:space="preserve"> ce qui est prévu pour 2019. Seules les </w:t>
      </w:r>
      <w:r w:rsidR="0014632B" w:rsidRPr="0014632B">
        <w:rPr>
          <w:rFonts w:ascii="Times New Roman" w:hAnsi="Times New Roman"/>
          <w:sz w:val="24"/>
          <w:szCs w:val="24"/>
        </w:rPr>
        <w:t xml:space="preserve">interventions des équipes </w:t>
      </w:r>
      <w:r w:rsidR="005B2523">
        <w:rPr>
          <w:rFonts w:ascii="Times New Roman" w:hAnsi="Times New Roman"/>
          <w:sz w:val="24"/>
          <w:szCs w:val="24"/>
        </w:rPr>
        <w:t xml:space="preserve">des </w:t>
      </w:r>
      <w:r w:rsidR="0014632B" w:rsidRPr="0014632B">
        <w:rPr>
          <w:rFonts w:ascii="Times New Roman" w:hAnsi="Times New Roman"/>
          <w:sz w:val="24"/>
          <w:szCs w:val="24"/>
        </w:rPr>
        <w:t xml:space="preserve">FDSDM sur </w:t>
      </w:r>
      <w:r w:rsidR="005B2523">
        <w:rPr>
          <w:rFonts w:ascii="Times New Roman" w:hAnsi="Times New Roman"/>
          <w:sz w:val="24"/>
          <w:szCs w:val="24"/>
        </w:rPr>
        <w:t xml:space="preserve">le </w:t>
      </w:r>
      <w:r w:rsidR="0014632B" w:rsidRPr="0014632B">
        <w:rPr>
          <w:rFonts w:ascii="Times New Roman" w:hAnsi="Times New Roman"/>
          <w:sz w:val="24"/>
          <w:szCs w:val="24"/>
        </w:rPr>
        <w:t>terrain</w:t>
      </w:r>
      <w:r w:rsidR="00875694">
        <w:rPr>
          <w:rFonts w:ascii="Times New Roman" w:hAnsi="Times New Roman"/>
          <w:sz w:val="24"/>
          <w:szCs w:val="24"/>
        </w:rPr>
        <w:t xml:space="preserve"> restent limitées</w:t>
      </w:r>
      <w:r w:rsidR="005B2523">
        <w:rPr>
          <w:rFonts w:ascii="Times New Roman" w:hAnsi="Times New Roman"/>
          <w:sz w:val="24"/>
          <w:szCs w:val="24"/>
        </w:rPr>
        <w:t xml:space="preserve"> : </w:t>
      </w:r>
      <w:r w:rsidR="00875694">
        <w:rPr>
          <w:rFonts w:ascii="Times New Roman" w:hAnsi="Times New Roman"/>
          <w:sz w:val="24"/>
          <w:szCs w:val="24"/>
        </w:rPr>
        <w:t>29 en 2016, contre une projection fixée à 2000 en base annuelle.</w:t>
      </w:r>
      <w:r w:rsidR="00303618">
        <w:rPr>
          <w:rFonts w:ascii="Times New Roman" w:hAnsi="Times New Roman"/>
          <w:sz w:val="24"/>
          <w:szCs w:val="24"/>
        </w:rPr>
        <w:t xml:space="preserve"> </w:t>
      </w:r>
    </w:p>
    <w:p w14:paraId="604B51C3" w14:textId="77777777" w:rsidR="005B2523" w:rsidRDefault="005B2523" w:rsidP="005B22B2">
      <w:pPr>
        <w:spacing w:after="0" w:line="240" w:lineRule="auto"/>
        <w:jc w:val="both"/>
        <w:rPr>
          <w:rFonts w:ascii="Times New Roman" w:hAnsi="Times New Roman"/>
          <w:sz w:val="24"/>
          <w:szCs w:val="24"/>
        </w:rPr>
      </w:pPr>
    </w:p>
    <w:p w14:paraId="604B51C4" w14:textId="77777777" w:rsidR="005B2523" w:rsidRPr="003A1D53" w:rsidRDefault="007E34BC" w:rsidP="005B22B2">
      <w:pPr>
        <w:spacing w:after="0" w:line="240" w:lineRule="auto"/>
        <w:jc w:val="both"/>
        <w:rPr>
          <w:rFonts w:ascii="Times New Roman" w:hAnsi="Times New Roman"/>
          <w:bCs/>
          <w:iCs/>
          <w:sz w:val="24"/>
          <w:szCs w:val="24"/>
        </w:rPr>
      </w:pPr>
      <w:r>
        <w:rPr>
          <w:rFonts w:ascii="Times New Roman" w:hAnsi="Times New Roman"/>
          <w:bCs/>
          <w:iCs/>
          <w:sz w:val="24"/>
          <w:szCs w:val="24"/>
        </w:rPr>
        <w:t>8</w:t>
      </w:r>
      <w:r w:rsidR="00574B4D">
        <w:rPr>
          <w:rFonts w:ascii="Times New Roman" w:hAnsi="Times New Roman"/>
          <w:bCs/>
          <w:iCs/>
          <w:sz w:val="24"/>
          <w:szCs w:val="24"/>
        </w:rPr>
        <w:t>4</w:t>
      </w:r>
      <w:r>
        <w:rPr>
          <w:rFonts w:ascii="Times New Roman" w:hAnsi="Times New Roman"/>
          <w:bCs/>
          <w:iCs/>
          <w:sz w:val="24"/>
          <w:szCs w:val="24"/>
        </w:rPr>
        <w:t>.</w:t>
      </w:r>
      <w:r w:rsidR="005B2523">
        <w:rPr>
          <w:rFonts w:ascii="Times New Roman" w:hAnsi="Times New Roman"/>
          <w:bCs/>
          <w:iCs/>
          <w:sz w:val="24"/>
          <w:szCs w:val="24"/>
        </w:rPr>
        <w:tab/>
      </w:r>
      <w:r w:rsidR="00A53D60" w:rsidRPr="003A1D53">
        <w:rPr>
          <w:rFonts w:ascii="Times New Roman" w:hAnsi="Times New Roman"/>
          <w:bCs/>
          <w:iCs/>
          <w:sz w:val="24"/>
          <w:szCs w:val="24"/>
        </w:rPr>
        <w:t>C</w:t>
      </w:r>
      <w:r w:rsidR="005B2523" w:rsidRPr="003A1D53">
        <w:rPr>
          <w:rFonts w:ascii="Times New Roman" w:hAnsi="Times New Roman"/>
          <w:bCs/>
          <w:iCs/>
          <w:sz w:val="24"/>
          <w:szCs w:val="24"/>
        </w:rPr>
        <w:t>es différents produits générés par le programme étaient destinés à contribuer à un Effet 1 ainsi constitué : "</w:t>
      </w:r>
      <w:r w:rsidR="005B2523" w:rsidRPr="003A1D53">
        <w:rPr>
          <w:rFonts w:ascii="Times New Roman" w:hAnsi="Times New Roman"/>
          <w:bCs/>
          <w:i/>
          <w:iCs/>
          <w:sz w:val="24"/>
          <w:szCs w:val="24"/>
        </w:rPr>
        <w:t>La paix et la stabilisation sont assurées à travers un dialogue politique inclusif, une réforme des institutions concernées et la promotion d’une coexistence pacifique et le respect des droits humains</w:t>
      </w:r>
      <w:r w:rsidR="005B2523" w:rsidRPr="003A1D53">
        <w:rPr>
          <w:rFonts w:ascii="Times New Roman" w:hAnsi="Times New Roman"/>
          <w:bCs/>
          <w:iCs/>
          <w:sz w:val="24"/>
          <w:szCs w:val="24"/>
        </w:rPr>
        <w:t>". Le programme a délivré de manière satisfaisante dans les domaines du dialogue politique et de la médiation sociale,</w:t>
      </w:r>
      <w:r w:rsidR="00646CB7" w:rsidRPr="003A1D53">
        <w:rPr>
          <w:rFonts w:ascii="Times New Roman" w:hAnsi="Times New Roman"/>
          <w:bCs/>
          <w:iCs/>
          <w:sz w:val="24"/>
          <w:szCs w:val="24"/>
        </w:rPr>
        <w:t xml:space="preserve"> de la coexistence pacifique, du respect des droits humains</w:t>
      </w:r>
      <w:r w:rsidR="005B2523" w:rsidRPr="003A1D53">
        <w:rPr>
          <w:rFonts w:ascii="Times New Roman" w:hAnsi="Times New Roman"/>
          <w:bCs/>
          <w:iCs/>
          <w:sz w:val="24"/>
          <w:szCs w:val="24"/>
        </w:rPr>
        <w:t xml:space="preserve"> et de la réforme de la sécurité, ce qui a constitué une contribution nette à la </w:t>
      </w:r>
      <w:r w:rsidR="00646CB7" w:rsidRPr="003A1D53">
        <w:rPr>
          <w:rFonts w:ascii="Times New Roman" w:hAnsi="Times New Roman"/>
          <w:bCs/>
          <w:iCs/>
          <w:sz w:val="24"/>
          <w:szCs w:val="24"/>
        </w:rPr>
        <w:t>paix et à la stabilisation visée</w:t>
      </w:r>
      <w:r w:rsidR="00703C67" w:rsidRPr="003A1D53">
        <w:rPr>
          <w:rFonts w:ascii="Times New Roman" w:hAnsi="Times New Roman"/>
          <w:bCs/>
          <w:iCs/>
          <w:sz w:val="24"/>
          <w:szCs w:val="24"/>
        </w:rPr>
        <w:t>s</w:t>
      </w:r>
      <w:r w:rsidR="00646CB7" w:rsidRPr="003A1D53">
        <w:rPr>
          <w:rFonts w:ascii="Times New Roman" w:hAnsi="Times New Roman"/>
          <w:bCs/>
          <w:iCs/>
          <w:sz w:val="24"/>
          <w:szCs w:val="24"/>
        </w:rPr>
        <w:t xml:space="preserve"> dans l’effet. En revanche, les inerties connues dans la mise en œuvre de DDR, ont tendu à tirer vers le bas l’efficacité du programme en matière de paix et de stabilité.</w:t>
      </w:r>
    </w:p>
    <w:p w14:paraId="604B51C5" w14:textId="77777777" w:rsidR="00A53D60" w:rsidRPr="003A1D53" w:rsidRDefault="00A53D60" w:rsidP="005B22B2">
      <w:pPr>
        <w:spacing w:after="0" w:line="240" w:lineRule="auto"/>
        <w:jc w:val="both"/>
        <w:rPr>
          <w:rFonts w:ascii="Times New Roman" w:hAnsi="Times New Roman"/>
          <w:bCs/>
          <w:iCs/>
          <w:sz w:val="24"/>
          <w:szCs w:val="24"/>
        </w:rPr>
      </w:pPr>
    </w:p>
    <w:p w14:paraId="604B51C6" w14:textId="77777777" w:rsidR="00A53D60" w:rsidRDefault="007E34BC" w:rsidP="00A53D60">
      <w:pPr>
        <w:spacing w:after="0" w:line="240" w:lineRule="auto"/>
        <w:jc w:val="both"/>
        <w:rPr>
          <w:rFonts w:ascii="Times New Roman" w:hAnsi="Times New Roman"/>
          <w:sz w:val="24"/>
          <w:szCs w:val="24"/>
        </w:rPr>
      </w:pPr>
      <w:r w:rsidRPr="003A1D53">
        <w:rPr>
          <w:rFonts w:ascii="Times New Roman" w:hAnsi="Times New Roman"/>
          <w:sz w:val="24"/>
          <w:szCs w:val="24"/>
        </w:rPr>
        <w:t>8</w:t>
      </w:r>
      <w:r w:rsidR="00574B4D" w:rsidRPr="003A1D53">
        <w:rPr>
          <w:rFonts w:ascii="Times New Roman" w:hAnsi="Times New Roman"/>
          <w:sz w:val="24"/>
          <w:szCs w:val="24"/>
        </w:rPr>
        <w:t>5</w:t>
      </w:r>
      <w:r w:rsidRPr="003A1D53">
        <w:rPr>
          <w:rFonts w:ascii="Times New Roman" w:hAnsi="Times New Roman"/>
          <w:sz w:val="24"/>
          <w:szCs w:val="24"/>
        </w:rPr>
        <w:t>.</w:t>
      </w:r>
      <w:r w:rsidR="00A53D60" w:rsidRPr="003A1D53">
        <w:rPr>
          <w:rFonts w:ascii="Times New Roman" w:hAnsi="Times New Roman"/>
          <w:sz w:val="24"/>
          <w:szCs w:val="24"/>
        </w:rPr>
        <w:tab/>
        <w:t>En direction des Objectifs de Développement Durable, les contributions du programme sous l’Effet 1 résonnent sur l’objectif 16, "Promouvoir l’avènement de sociétés pacifiques et ouvertes aux fins du développement durable, assurer à tous l’accès à la justice et mettre en place, à tous les niveaux, des institutions efficaces, responsables et ouvertes", étant entendu que cet objectif est un cadre global de facilitation de la réalisation des autres.</w:t>
      </w:r>
    </w:p>
    <w:p w14:paraId="604B51C7" w14:textId="77777777" w:rsidR="00A53D60" w:rsidRDefault="00A53D60" w:rsidP="005B22B2">
      <w:pPr>
        <w:spacing w:after="0" w:line="240" w:lineRule="auto"/>
        <w:jc w:val="both"/>
        <w:rPr>
          <w:rFonts w:ascii="Times New Roman" w:hAnsi="Times New Roman"/>
          <w:bCs/>
          <w:iCs/>
          <w:sz w:val="24"/>
          <w:szCs w:val="24"/>
        </w:rPr>
      </w:pPr>
    </w:p>
    <w:p w14:paraId="604B51C8" w14:textId="77777777" w:rsidR="00646CB7" w:rsidRPr="005B2523" w:rsidRDefault="00646CB7" w:rsidP="005B22B2">
      <w:pPr>
        <w:spacing w:after="0" w:line="240" w:lineRule="auto"/>
        <w:jc w:val="both"/>
        <w:rPr>
          <w:rFonts w:ascii="Times New Roman" w:hAnsi="Times New Roman"/>
          <w:sz w:val="24"/>
          <w:szCs w:val="24"/>
        </w:rPr>
      </w:pPr>
    </w:p>
    <w:p w14:paraId="604B51C9" w14:textId="77777777" w:rsidR="007E3885" w:rsidRPr="006B309F" w:rsidRDefault="00646CB7" w:rsidP="005B22B2">
      <w:pPr>
        <w:pStyle w:val="Titre4"/>
        <w:numPr>
          <w:ilvl w:val="3"/>
          <w:numId w:val="4"/>
        </w:numPr>
        <w:spacing w:before="0" w:line="240" w:lineRule="auto"/>
        <w:rPr>
          <w:rFonts w:ascii="Times New Roman" w:hAnsi="Times New Roman"/>
          <w:i w:val="0"/>
          <w:color w:val="auto"/>
          <w:sz w:val="24"/>
          <w:szCs w:val="24"/>
        </w:rPr>
      </w:pPr>
      <w:r>
        <w:rPr>
          <w:rFonts w:ascii="Times New Roman" w:hAnsi="Times New Roman"/>
          <w:i w:val="0"/>
          <w:color w:val="auto"/>
          <w:sz w:val="24"/>
          <w:szCs w:val="24"/>
        </w:rPr>
        <w:t>Facteurs explicatifs : forces et faiblesses de la mise en œuvre de</w:t>
      </w:r>
      <w:r w:rsidR="007E3885">
        <w:rPr>
          <w:rFonts w:ascii="Times New Roman" w:hAnsi="Times New Roman"/>
          <w:i w:val="0"/>
          <w:color w:val="auto"/>
          <w:sz w:val="24"/>
          <w:szCs w:val="24"/>
        </w:rPr>
        <w:t xml:space="preserve"> contribution</w:t>
      </w:r>
      <w:r>
        <w:rPr>
          <w:rFonts w:ascii="Times New Roman" w:hAnsi="Times New Roman"/>
          <w:i w:val="0"/>
          <w:color w:val="auto"/>
          <w:sz w:val="24"/>
          <w:szCs w:val="24"/>
        </w:rPr>
        <w:t>s</w:t>
      </w:r>
      <w:r w:rsidR="007E3885">
        <w:rPr>
          <w:rFonts w:ascii="Times New Roman" w:hAnsi="Times New Roman"/>
          <w:i w:val="0"/>
          <w:color w:val="auto"/>
          <w:sz w:val="24"/>
          <w:szCs w:val="24"/>
        </w:rPr>
        <w:t xml:space="preserve"> sous l’Effet 1</w:t>
      </w:r>
    </w:p>
    <w:p w14:paraId="604B51CA" w14:textId="77777777" w:rsidR="007E3885" w:rsidRDefault="007E3885" w:rsidP="005B22B2">
      <w:pPr>
        <w:spacing w:after="0" w:line="240" w:lineRule="auto"/>
        <w:rPr>
          <w:rFonts w:ascii="Times New Roman" w:hAnsi="Times New Roman"/>
          <w:sz w:val="24"/>
          <w:szCs w:val="24"/>
        </w:rPr>
      </w:pPr>
    </w:p>
    <w:p w14:paraId="604B51CB" w14:textId="77777777" w:rsidR="00B312AF" w:rsidRPr="003A1D53" w:rsidRDefault="007E34BC" w:rsidP="00B312AF">
      <w:pPr>
        <w:spacing w:after="0" w:line="240" w:lineRule="auto"/>
        <w:contextualSpacing/>
        <w:jc w:val="both"/>
        <w:rPr>
          <w:rFonts w:ascii="Times New Roman" w:eastAsia="Times New Roman" w:hAnsi="Times New Roman"/>
          <w:sz w:val="24"/>
          <w:szCs w:val="24"/>
          <w:lang w:eastAsia="fr-FR" w:bidi="en-US"/>
        </w:rPr>
      </w:pPr>
      <w:r>
        <w:rPr>
          <w:rFonts w:ascii="Times New Roman" w:eastAsia="Times New Roman" w:hAnsi="Times New Roman"/>
          <w:sz w:val="24"/>
          <w:szCs w:val="24"/>
          <w:lang w:eastAsia="fr-FR" w:bidi="en-US"/>
        </w:rPr>
        <w:t>8</w:t>
      </w:r>
      <w:r w:rsidR="00574B4D">
        <w:rPr>
          <w:rFonts w:ascii="Times New Roman" w:eastAsia="Times New Roman" w:hAnsi="Times New Roman"/>
          <w:sz w:val="24"/>
          <w:szCs w:val="24"/>
          <w:lang w:eastAsia="fr-FR" w:bidi="en-US"/>
        </w:rPr>
        <w:t>6</w:t>
      </w:r>
      <w:r>
        <w:rPr>
          <w:rFonts w:ascii="Times New Roman" w:eastAsia="Times New Roman" w:hAnsi="Times New Roman"/>
          <w:sz w:val="24"/>
          <w:szCs w:val="24"/>
          <w:lang w:eastAsia="fr-FR" w:bidi="en-US"/>
        </w:rPr>
        <w:t>.</w:t>
      </w:r>
      <w:r w:rsidR="00646CB7">
        <w:rPr>
          <w:rFonts w:ascii="Times New Roman" w:eastAsia="Times New Roman" w:hAnsi="Times New Roman"/>
          <w:sz w:val="24"/>
          <w:szCs w:val="24"/>
          <w:lang w:eastAsia="fr-FR" w:bidi="en-US"/>
        </w:rPr>
        <w:tab/>
      </w:r>
      <w:r w:rsidR="00B312AF" w:rsidRPr="003A1D53">
        <w:rPr>
          <w:rFonts w:ascii="Times New Roman" w:eastAsia="Times New Roman" w:hAnsi="Times New Roman"/>
          <w:sz w:val="24"/>
          <w:szCs w:val="24"/>
          <w:lang w:eastAsia="fr-FR" w:bidi="en-US"/>
        </w:rPr>
        <w:t>Au titre des déterminants propices, le programme a été favorisé dans le domaine par la signature de l’A</w:t>
      </w:r>
      <w:r w:rsidR="00646CB7" w:rsidRPr="003A1D53">
        <w:rPr>
          <w:rFonts w:ascii="Times New Roman" w:eastAsia="Times New Roman" w:hAnsi="Times New Roman"/>
          <w:sz w:val="24"/>
          <w:szCs w:val="24"/>
          <w:lang w:eastAsia="fr-FR" w:bidi="en-US"/>
        </w:rPr>
        <w:t>ccord de paix et de réconciliation nationale qui encourage les parties à s’inscrire dans un dialogue inclusif pour le retour définitif de l’Etat dans les zones de conflits</w:t>
      </w:r>
      <w:r w:rsidR="00B312AF" w:rsidRPr="003A1D53">
        <w:rPr>
          <w:rFonts w:ascii="Times New Roman" w:eastAsia="Times New Roman" w:hAnsi="Times New Roman"/>
          <w:sz w:val="24"/>
          <w:szCs w:val="24"/>
          <w:lang w:eastAsia="fr-FR" w:bidi="en-US"/>
        </w:rPr>
        <w:t xml:space="preserve">. Dans le cadre des dispositions de cet accord, </w:t>
      </w:r>
      <w:r w:rsidR="00646CB7" w:rsidRPr="003A1D53">
        <w:rPr>
          <w:rFonts w:ascii="Times New Roman" w:eastAsia="Times New Roman" w:hAnsi="Times New Roman"/>
          <w:sz w:val="24"/>
          <w:szCs w:val="24"/>
          <w:lang w:eastAsia="fr-FR" w:bidi="en-US"/>
        </w:rPr>
        <w:t>la mise en place des autorités intérimaires dans les régions de Gao, Tomboucou, Kidal, Menaka et Taoudeni</w:t>
      </w:r>
      <w:r w:rsidR="00B312AF" w:rsidRPr="003A1D53">
        <w:rPr>
          <w:rFonts w:ascii="Times New Roman" w:eastAsia="Times New Roman" w:hAnsi="Times New Roman"/>
          <w:sz w:val="24"/>
          <w:szCs w:val="24"/>
          <w:lang w:eastAsia="fr-FR" w:bidi="en-US"/>
        </w:rPr>
        <w:t xml:space="preserve"> a aussi amélioré l’environnement de mise en œuvre des produits ciblés. L</w:t>
      </w:r>
      <w:r w:rsidR="00646CB7" w:rsidRPr="003A1D53">
        <w:rPr>
          <w:rFonts w:ascii="Times New Roman" w:eastAsia="Times New Roman" w:hAnsi="Times New Roman"/>
          <w:sz w:val="24"/>
          <w:szCs w:val="24"/>
          <w:lang w:val="fr-CA" w:eastAsia="fr-FR" w:bidi="en-US"/>
        </w:rPr>
        <w:t>a communication sur le phénomène de radicalisation en partenariat avec le Haut Conseil Islamique du Mali</w:t>
      </w:r>
      <w:r w:rsidR="00B312AF" w:rsidRPr="003A1D53">
        <w:rPr>
          <w:rFonts w:ascii="Times New Roman" w:eastAsia="Times New Roman" w:hAnsi="Times New Roman"/>
          <w:sz w:val="24"/>
          <w:szCs w:val="24"/>
          <w:lang w:val="fr-CA" w:eastAsia="fr-FR" w:bidi="en-US"/>
        </w:rPr>
        <w:t xml:space="preserve">, </w:t>
      </w:r>
      <w:r w:rsidR="00646CB7" w:rsidRPr="003A1D53">
        <w:rPr>
          <w:rFonts w:ascii="Times New Roman" w:eastAsia="Times New Roman" w:hAnsi="Times New Roman"/>
          <w:sz w:val="24"/>
          <w:szCs w:val="24"/>
          <w:lang w:val="fr-CA" w:eastAsia="fr-FR" w:bidi="en-US"/>
        </w:rPr>
        <w:t xml:space="preserve">a </w:t>
      </w:r>
      <w:r w:rsidR="00B312AF" w:rsidRPr="003A1D53">
        <w:rPr>
          <w:rFonts w:ascii="Times New Roman" w:eastAsia="Times New Roman" w:hAnsi="Times New Roman"/>
          <w:sz w:val="24"/>
          <w:szCs w:val="24"/>
          <w:lang w:val="fr-CA" w:eastAsia="fr-FR" w:bidi="en-US"/>
        </w:rPr>
        <w:t xml:space="preserve">également contribué </w:t>
      </w:r>
      <w:r w:rsidR="00646CB7" w:rsidRPr="003A1D53">
        <w:rPr>
          <w:rFonts w:ascii="Times New Roman" w:eastAsia="Times New Roman" w:hAnsi="Times New Roman"/>
          <w:sz w:val="24"/>
          <w:szCs w:val="24"/>
          <w:lang w:val="fr-CA" w:eastAsia="fr-FR" w:bidi="en-US"/>
        </w:rPr>
        <w:t>à diminuer les tensions au sein des groupes communautaires</w:t>
      </w:r>
      <w:r w:rsidR="00B312AF" w:rsidRPr="003A1D53">
        <w:rPr>
          <w:rFonts w:ascii="Times New Roman" w:eastAsia="Times New Roman" w:hAnsi="Times New Roman"/>
          <w:sz w:val="24"/>
          <w:szCs w:val="24"/>
          <w:lang w:val="fr-CA" w:eastAsia="fr-FR" w:bidi="en-US"/>
        </w:rPr>
        <w:t>. Enfin l</w:t>
      </w:r>
      <w:r w:rsidR="00646CB7" w:rsidRPr="003A1D53">
        <w:rPr>
          <w:rFonts w:ascii="Times New Roman" w:eastAsia="Times New Roman" w:hAnsi="Times New Roman"/>
          <w:sz w:val="24"/>
          <w:szCs w:val="24"/>
          <w:lang w:eastAsia="fr-FR" w:bidi="en-US"/>
        </w:rPr>
        <w:t xml:space="preserve">a </w:t>
      </w:r>
      <w:r w:rsidR="00B312AF" w:rsidRPr="003A1D53">
        <w:rPr>
          <w:rFonts w:ascii="Times New Roman" w:eastAsia="Times New Roman" w:hAnsi="Times New Roman"/>
          <w:sz w:val="24"/>
          <w:szCs w:val="24"/>
          <w:lang w:eastAsia="fr-FR" w:bidi="en-US"/>
        </w:rPr>
        <w:t xml:space="preserve">tenue de la </w:t>
      </w:r>
      <w:r w:rsidR="00646CB7" w:rsidRPr="003A1D53">
        <w:rPr>
          <w:rFonts w:ascii="Times New Roman" w:eastAsia="Times New Roman" w:hAnsi="Times New Roman"/>
          <w:sz w:val="24"/>
          <w:szCs w:val="24"/>
          <w:lang w:eastAsia="fr-FR" w:bidi="en-US"/>
        </w:rPr>
        <w:t>conférence d’entente nationale a permis à l’ensemble des différentes composantes de la vie socio - politique et culturelle de se parler</w:t>
      </w:r>
      <w:r w:rsidR="00B312AF" w:rsidRPr="003A1D53">
        <w:rPr>
          <w:rFonts w:ascii="Times New Roman" w:eastAsia="Times New Roman" w:hAnsi="Times New Roman"/>
          <w:sz w:val="24"/>
          <w:szCs w:val="24"/>
          <w:lang w:eastAsia="fr-FR" w:bidi="en-US"/>
        </w:rPr>
        <w:t>, et de parler de</w:t>
      </w:r>
      <w:r w:rsidR="00646CB7" w:rsidRPr="003A1D53">
        <w:rPr>
          <w:rFonts w:ascii="Times New Roman" w:eastAsia="Times New Roman" w:hAnsi="Times New Roman"/>
          <w:sz w:val="24"/>
          <w:szCs w:val="24"/>
          <w:lang w:eastAsia="fr-FR" w:bidi="en-US"/>
        </w:rPr>
        <w:t xml:space="preserve"> paix une paix durable</w:t>
      </w:r>
      <w:r w:rsidR="00B312AF" w:rsidRPr="003A1D53">
        <w:rPr>
          <w:rFonts w:ascii="Times New Roman" w:eastAsia="Times New Roman" w:hAnsi="Times New Roman"/>
          <w:sz w:val="24"/>
          <w:szCs w:val="24"/>
          <w:lang w:eastAsia="fr-FR" w:bidi="en-US"/>
        </w:rPr>
        <w:t>.</w:t>
      </w:r>
      <w:r w:rsidR="00F7759F" w:rsidRPr="003A1D53">
        <w:rPr>
          <w:rFonts w:ascii="Times New Roman" w:eastAsia="Times New Roman" w:hAnsi="Times New Roman"/>
          <w:sz w:val="24"/>
          <w:szCs w:val="24"/>
          <w:lang w:eastAsia="fr-FR" w:bidi="en-US"/>
        </w:rPr>
        <w:t xml:space="preserve"> </w:t>
      </w:r>
      <w:r w:rsidR="00B312AF" w:rsidRPr="003A1D53">
        <w:rPr>
          <w:rFonts w:ascii="Times New Roman" w:eastAsia="Times New Roman" w:hAnsi="Times New Roman"/>
          <w:sz w:val="24"/>
          <w:szCs w:val="24"/>
          <w:lang w:eastAsia="fr-FR" w:bidi="en-US"/>
        </w:rPr>
        <w:t xml:space="preserve">Au niveau interne, le programme s’est appuyé sur un effort de mobilisation de ressources qui a permis de mettre en place une capacité budgétaire de </w:t>
      </w:r>
      <w:r w:rsidR="00F7759F" w:rsidRPr="003A1D53">
        <w:rPr>
          <w:rFonts w:ascii="Times New Roman" w:eastAsia="Times New Roman" w:hAnsi="Times New Roman"/>
          <w:sz w:val="24"/>
          <w:szCs w:val="24"/>
          <w:lang w:eastAsia="fr-FR" w:bidi="en-US"/>
        </w:rPr>
        <w:t>près de 56 millions de dollar. Le déploiement de ces ressources a bénéficié des synergies entre la Mission et les Agences, Fonds et Programmes engagés dans l’Effet 1.</w:t>
      </w:r>
    </w:p>
    <w:p w14:paraId="604B51CC" w14:textId="77777777" w:rsidR="00646CB7" w:rsidRPr="003A1D53" w:rsidRDefault="00646CB7" w:rsidP="00646CB7">
      <w:pPr>
        <w:spacing w:after="0" w:line="240" w:lineRule="auto"/>
        <w:contextualSpacing/>
        <w:jc w:val="both"/>
        <w:rPr>
          <w:rFonts w:ascii="Times New Roman" w:eastAsia="Times New Roman" w:hAnsi="Times New Roman"/>
          <w:sz w:val="24"/>
          <w:szCs w:val="24"/>
          <w:lang w:eastAsia="fr-FR" w:bidi="en-US"/>
        </w:rPr>
      </w:pPr>
    </w:p>
    <w:p w14:paraId="604B51CD" w14:textId="77777777" w:rsidR="000D5050" w:rsidRDefault="007E34BC" w:rsidP="00F7759F">
      <w:pPr>
        <w:spacing w:after="0" w:line="240" w:lineRule="auto"/>
        <w:contextualSpacing/>
        <w:jc w:val="both"/>
        <w:rPr>
          <w:rFonts w:ascii="Times New Roman" w:eastAsia="Times New Roman" w:hAnsi="Times New Roman"/>
          <w:sz w:val="24"/>
          <w:szCs w:val="24"/>
          <w:lang w:eastAsia="fr-FR" w:bidi="en-US"/>
        </w:rPr>
      </w:pPr>
      <w:r w:rsidRPr="003A1D53">
        <w:rPr>
          <w:rFonts w:ascii="Times New Roman" w:eastAsia="Times New Roman" w:hAnsi="Times New Roman"/>
          <w:sz w:val="24"/>
          <w:szCs w:val="24"/>
          <w:lang w:eastAsia="fr-FR" w:bidi="en-US"/>
        </w:rPr>
        <w:t>8</w:t>
      </w:r>
      <w:r w:rsidR="00574B4D" w:rsidRPr="003A1D53">
        <w:rPr>
          <w:rFonts w:ascii="Times New Roman" w:eastAsia="Times New Roman" w:hAnsi="Times New Roman"/>
          <w:sz w:val="24"/>
          <w:szCs w:val="24"/>
          <w:lang w:eastAsia="fr-FR" w:bidi="en-US"/>
        </w:rPr>
        <w:t>7</w:t>
      </w:r>
      <w:r w:rsidRPr="003A1D53">
        <w:rPr>
          <w:rFonts w:ascii="Times New Roman" w:eastAsia="Times New Roman" w:hAnsi="Times New Roman"/>
          <w:sz w:val="24"/>
          <w:szCs w:val="24"/>
          <w:lang w:eastAsia="fr-FR" w:bidi="en-US"/>
        </w:rPr>
        <w:t>.</w:t>
      </w:r>
      <w:r w:rsidR="00F7759F" w:rsidRPr="003A1D53">
        <w:rPr>
          <w:rFonts w:ascii="Times New Roman" w:eastAsia="Times New Roman" w:hAnsi="Times New Roman"/>
          <w:sz w:val="24"/>
          <w:szCs w:val="24"/>
          <w:lang w:eastAsia="fr-FR" w:bidi="en-US"/>
        </w:rPr>
        <w:tab/>
        <w:t xml:space="preserve">Au titre des </w:t>
      </w:r>
      <w:r w:rsidR="00B07B62" w:rsidRPr="003A1D53">
        <w:rPr>
          <w:rFonts w:ascii="Times New Roman" w:eastAsia="Times New Roman" w:hAnsi="Times New Roman"/>
          <w:sz w:val="24"/>
          <w:szCs w:val="24"/>
          <w:lang w:eastAsia="fr-FR" w:bidi="en-US"/>
        </w:rPr>
        <w:t>entraves</w:t>
      </w:r>
      <w:r w:rsidR="00F7759F" w:rsidRPr="003A1D53">
        <w:rPr>
          <w:rFonts w:ascii="Times New Roman" w:eastAsia="Times New Roman" w:hAnsi="Times New Roman"/>
          <w:sz w:val="24"/>
          <w:szCs w:val="24"/>
          <w:lang w:eastAsia="fr-FR" w:bidi="en-US"/>
        </w:rPr>
        <w:t xml:space="preserve">, </w:t>
      </w:r>
      <w:r w:rsidR="00646CB7" w:rsidRPr="003A1D53">
        <w:rPr>
          <w:rFonts w:ascii="Times New Roman" w:eastAsia="Times New Roman" w:hAnsi="Times New Roman"/>
          <w:sz w:val="24"/>
          <w:szCs w:val="24"/>
          <w:lang w:eastAsia="fr-FR" w:bidi="en-US"/>
        </w:rPr>
        <w:t xml:space="preserve">le contexte sécuritaire dans les régions du nord, </w:t>
      </w:r>
      <w:r w:rsidR="00F7759F" w:rsidRPr="003A1D53">
        <w:rPr>
          <w:rFonts w:ascii="Times New Roman" w:eastAsia="Times New Roman" w:hAnsi="Times New Roman"/>
          <w:sz w:val="24"/>
          <w:szCs w:val="24"/>
          <w:lang w:eastAsia="fr-FR" w:bidi="en-US"/>
        </w:rPr>
        <w:t xml:space="preserve">celle </w:t>
      </w:r>
      <w:r w:rsidR="00646CB7" w:rsidRPr="003A1D53">
        <w:rPr>
          <w:rFonts w:ascii="Times New Roman" w:eastAsia="Times New Roman" w:hAnsi="Times New Roman"/>
          <w:sz w:val="24"/>
          <w:szCs w:val="24"/>
          <w:lang w:eastAsia="fr-FR" w:bidi="en-US"/>
        </w:rPr>
        <w:t>de Mopti</w:t>
      </w:r>
      <w:r w:rsidR="00F7759F" w:rsidRPr="003A1D53">
        <w:rPr>
          <w:rFonts w:ascii="Times New Roman" w:eastAsia="Times New Roman" w:hAnsi="Times New Roman"/>
          <w:sz w:val="24"/>
          <w:szCs w:val="24"/>
          <w:lang w:eastAsia="fr-FR" w:bidi="en-US"/>
        </w:rPr>
        <w:t>, voire des</w:t>
      </w:r>
      <w:r w:rsidR="00646CB7" w:rsidRPr="003A1D53">
        <w:rPr>
          <w:rFonts w:ascii="Times New Roman" w:eastAsia="Times New Roman" w:hAnsi="Times New Roman"/>
          <w:sz w:val="24"/>
          <w:szCs w:val="24"/>
          <w:lang w:eastAsia="fr-FR" w:bidi="en-US"/>
        </w:rPr>
        <w:t xml:space="preserve"> parti</w:t>
      </w:r>
      <w:r w:rsidR="003467CE" w:rsidRPr="003A1D53">
        <w:rPr>
          <w:rFonts w:ascii="Times New Roman" w:eastAsia="Times New Roman" w:hAnsi="Times New Roman"/>
          <w:sz w:val="24"/>
          <w:szCs w:val="24"/>
          <w:lang w:eastAsia="fr-FR" w:bidi="en-US"/>
        </w:rPr>
        <w:t>es de la région de Ségou (</w:t>
      </w:r>
      <w:r w:rsidR="00646CB7" w:rsidRPr="003A1D53">
        <w:rPr>
          <w:rFonts w:ascii="Times New Roman" w:eastAsia="Times New Roman" w:hAnsi="Times New Roman"/>
          <w:sz w:val="24"/>
          <w:szCs w:val="24"/>
          <w:lang w:eastAsia="fr-FR" w:bidi="en-US"/>
        </w:rPr>
        <w:t>Niono, Markala et Macina)</w:t>
      </w:r>
      <w:r w:rsidR="00F7759F" w:rsidRPr="003A1D53">
        <w:rPr>
          <w:rFonts w:ascii="Times New Roman" w:eastAsia="Times New Roman" w:hAnsi="Times New Roman"/>
          <w:sz w:val="24"/>
          <w:szCs w:val="24"/>
          <w:lang w:eastAsia="fr-FR" w:bidi="en-US"/>
        </w:rPr>
        <w:t xml:space="preserve">, a rendu très </w:t>
      </w:r>
      <w:r w:rsidR="00646CB7" w:rsidRPr="003A1D53">
        <w:rPr>
          <w:rFonts w:ascii="Times New Roman" w:eastAsia="Times New Roman" w:hAnsi="Times New Roman"/>
          <w:sz w:val="24"/>
          <w:szCs w:val="24"/>
          <w:lang w:eastAsia="fr-FR" w:bidi="en-US"/>
        </w:rPr>
        <w:t xml:space="preserve">difficile la </w:t>
      </w:r>
      <w:r w:rsidR="00646CB7" w:rsidRPr="003A1D53">
        <w:rPr>
          <w:rFonts w:ascii="Times New Roman" w:eastAsia="Times New Roman" w:hAnsi="Times New Roman"/>
          <w:sz w:val="24"/>
          <w:szCs w:val="24"/>
          <w:lang w:eastAsia="fr-FR" w:bidi="en-US"/>
        </w:rPr>
        <w:lastRenderedPageBreak/>
        <w:t xml:space="preserve">mise en œuvre des </w:t>
      </w:r>
      <w:r w:rsidR="00F7759F" w:rsidRPr="003A1D53">
        <w:rPr>
          <w:rFonts w:ascii="Times New Roman" w:eastAsia="Times New Roman" w:hAnsi="Times New Roman"/>
          <w:sz w:val="24"/>
          <w:szCs w:val="24"/>
          <w:lang w:eastAsia="fr-FR" w:bidi="en-US"/>
        </w:rPr>
        <w:t>activités du programme</w:t>
      </w:r>
      <w:r w:rsidR="00646CB7" w:rsidRPr="003A1D53">
        <w:rPr>
          <w:rFonts w:ascii="Times New Roman" w:eastAsia="Times New Roman" w:hAnsi="Times New Roman"/>
          <w:sz w:val="24"/>
          <w:szCs w:val="24"/>
          <w:lang w:eastAsia="fr-FR" w:bidi="en-US"/>
        </w:rPr>
        <w:t xml:space="preserve">. </w:t>
      </w:r>
      <w:r w:rsidR="00B07B62" w:rsidRPr="003A1D53">
        <w:rPr>
          <w:rFonts w:ascii="Times New Roman" w:eastAsia="Times New Roman" w:hAnsi="Times New Roman"/>
          <w:sz w:val="24"/>
          <w:szCs w:val="24"/>
          <w:lang w:eastAsia="fr-FR" w:bidi="en-US"/>
        </w:rPr>
        <w:t>C’est ainsi que la mise en œuvre du programme DDR est devenue encore plus difficile depuis l'attaque du camp MOC à Gao, le 18 janvier 201</w:t>
      </w:r>
      <w:r w:rsidR="000D5050" w:rsidRPr="003A1D53">
        <w:rPr>
          <w:rFonts w:ascii="Times New Roman" w:eastAsia="Times New Roman" w:hAnsi="Times New Roman"/>
          <w:sz w:val="24"/>
          <w:szCs w:val="24"/>
          <w:lang w:eastAsia="fr-FR" w:bidi="en-US"/>
        </w:rPr>
        <w:t>7</w:t>
      </w:r>
      <w:r w:rsidR="00B07B62" w:rsidRPr="003A1D53">
        <w:rPr>
          <w:rFonts w:ascii="Times New Roman" w:eastAsia="Times New Roman" w:hAnsi="Times New Roman"/>
          <w:sz w:val="24"/>
          <w:szCs w:val="24"/>
          <w:lang w:eastAsia="fr-FR" w:bidi="en-US"/>
        </w:rPr>
        <w:t xml:space="preserve">. Pour </w:t>
      </w:r>
      <w:r w:rsidR="00646CB7" w:rsidRPr="003A1D53">
        <w:rPr>
          <w:rFonts w:ascii="Times New Roman" w:eastAsia="Times New Roman" w:hAnsi="Times New Roman"/>
          <w:sz w:val="24"/>
          <w:szCs w:val="24"/>
          <w:lang w:eastAsia="fr-FR" w:bidi="en-US"/>
        </w:rPr>
        <w:t>des raisons de sécurité</w:t>
      </w:r>
      <w:r w:rsidR="00B07B62" w:rsidRPr="003A1D53">
        <w:rPr>
          <w:rFonts w:ascii="Times New Roman" w:eastAsia="Times New Roman" w:hAnsi="Times New Roman"/>
          <w:sz w:val="24"/>
          <w:szCs w:val="24"/>
          <w:lang w:eastAsia="fr-FR" w:bidi="en-US"/>
        </w:rPr>
        <w:t xml:space="preserve"> aussi</w:t>
      </w:r>
      <w:r w:rsidR="00646CB7" w:rsidRPr="003A1D53">
        <w:rPr>
          <w:rFonts w:ascii="Times New Roman" w:eastAsia="Times New Roman" w:hAnsi="Times New Roman"/>
          <w:sz w:val="24"/>
          <w:szCs w:val="24"/>
          <w:lang w:eastAsia="fr-FR" w:bidi="en-US"/>
        </w:rPr>
        <w:t>, la plupart des fonctionnaires qui travaillent dans les sous-préfectures du Nord ne sont pas retourn</w:t>
      </w:r>
      <w:r w:rsidR="00F7759F" w:rsidRPr="003A1D53">
        <w:rPr>
          <w:rFonts w:ascii="Times New Roman" w:eastAsia="Times New Roman" w:hAnsi="Times New Roman"/>
          <w:sz w:val="24"/>
          <w:szCs w:val="24"/>
          <w:lang w:eastAsia="fr-FR" w:bidi="en-US"/>
        </w:rPr>
        <w:t>és à leurs lieux d'affectation, n’y effectuent que des passages ponctuels. Or en l’absence d’un minimum de relais institutionnel sur le terrain, que peut y faire un programme de coopération ?</w:t>
      </w:r>
      <w:r w:rsidR="003F4879" w:rsidRPr="003A1D53">
        <w:rPr>
          <w:rFonts w:ascii="Times New Roman" w:eastAsia="Times New Roman" w:hAnsi="Times New Roman"/>
          <w:sz w:val="24"/>
          <w:szCs w:val="24"/>
          <w:lang w:eastAsia="fr-FR" w:bidi="en-US"/>
        </w:rPr>
        <w:t xml:space="preserve"> Cette contrainte résonne </w:t>
      </w:r>
      <w:r w:rsidR="00B07B62" w:rsidRPr="003A1D53">
        <w:rPr>
          <w:rFonts w:ascii="Times New Roman" w:eastAsia="Times New Roman" w:hAnsi="Times New Roman"/>
          <w:sz w:val="24"/>
          <w:szCs w:val="24"/>
          <w:lang w:eastAsia="fr-FR" w:bidi="en-US"/>
        </w:rPr>
        <w:t xml:space="preserve">plus </w:t>
      </w:r>
      <w:r w:rsidR="003F4879" w:rsidRPr="003A1D53">
        <w:rPr>
          <w:rFonts w:ascii="Times New Roman" w:eastAsia="Times New Roman" w:hAnsi="Times New Roman"/>
          <w:sz w:val="24"/>
          <w:szCs w:val="24"/>
          <w:lang w:eastAsia="fr-FR" w:bidi="en-US"/>
        </w:rPr>
        <w:t xml:space="preserve">globalement </w:t>
      </w:r>
      <w:r w:rsidR="00B07B62" w:rsidRPr="003A1D53">
        <w:rPr>
          <w:rFonts w:ascii="Times New Roman" w:eastAsia="Times New Roman" w:hAnsi="Times New Roman"/>
          <w:sz w:val="24"/>
          <w:szCs w:val="24"/>
          <w:lang w:eastAsia="fr-FR" w:bidi="en-US"/>
        </w:rPr>
        <w:t>dans un contexte d’</w:t>
      </w:r>
      <w:r w:rsidR="003F4879" w:rsidRPr="003A1D53">
        <w:rPr>
          <w:rFonts w:ascii="Times New Roman" w:eastAsia="Times New Roman" w:hAnsi="Times New Roman"/>
          <w:sz w:val="24"/>
          <w:szCs w:val="24"/>
          <w:lang w:eastAsia="fr-FR" w:bidi="en-US"/>
        </w:rPr>
        <w:t>affaiblissement des capacités de mise en œuvre des acteurs au niveau national, régional et local</w:t>
      </w:r>
      <w:r w:rsidR="00B07B62" w:rsidRPr="003A1D53">
        <w:rPr>
          <w:rFonts w:ascii="Times New Roman" w:eastAsia="Times New Roman" w:hAnsi="Times New Roman"/>
          <w:sz w:val="24"/>
          <w:szCs w:val="24"/>
          <w:lang w:eastAsia="fr-FR" w:bidi="en-US"/>
        </w:rPr>
        <w:t>, qui se complique d’insuffisances de coordination entre les mêmes acteurs  (ressenti au sein du Système et de la communication des partenaires/entretiens).</w:t>
      </w:r>
      <w:r w:rsidR="003F4879" w:rsidRPr="003A1D53">
        <w:rPr>
          <w:rFonts w:ascii="Times New Roman" w:eastAsia="Times New Roman" w:hAnsi="Times New Roman"/>
          <w:sz w:val="24"/>
          <w:szCs w:val="24"/>
          <w:lang w:eastAsia="fr-FR" w:bidi="en-US"/>
        </w:rPr>
        <w:t> </w:t>
      </w:r>
      <w:r w:rsidR="000D5050" w:rsidRPr="003A1D53">
        <w:rPr>
          <w:rFonts w:ascii="Times New Roman" w:eastAsia="Times New Roman" w:hAnsi="Times New Roman"/>
          <w:sz w:val="24"/>
          <w:szCs w:val="24"/>
          <w:lang w:eastAsia="fr-FR" w:bidi="en-US"/>
        </w:rPr>
        <w:t>A l’interne e</w:t>
      </w:r>
      <w:r w:rsidR="00B07B62" w:rsidRPr="003A1D53">
        <w:rPr>
          <w:rFonts w:ascii="Times New Roman" w:eastAsia="Times New Roman" w:hAnsi="Times New Roman"/>
          <w:sz w:val="24"/>
          <w:szCs w:val="24"/>
          <w:lang w:eastAsia="fr-FR" w:bidi="en-US"/>
        </w:rPr>
        <w:t xml:space="preserve">nfin, si l’Effet a disposé du stock de ressources rappelé supra, il </w:t>
      </w:r>
      <w:r w:rsidR="000D5050" w:rsidRPr="003A1D53">
        <w:rPr>
          <w:rFonts w:ascii="Times New Roman" w:eastAsia="Times New Roman" w:hAnsi="Times New Roman"/>
          <w:sz w:val="24"/>
          <w:szCs w:val="24"/>
          <w:lang w:eastAsia="fr-FR" w:bidi="en-US"/>
        </w:rPr>
        <w:t xml:space="preserve">constitue avec l’Effet 2, l’axe qui a été le plus sous-capitalisé, avec un ratio de mobilisation de </w:t>
      </w:r>
      <w:r w:rsidR="00B07B62" w:rsidRPr="003A1D53">
        <w:rPr>
          <w:rFonts w:ascii="Times New Roman" w:eastAsia="Times New Roman" w:hAnsi="Times New Roman"/>
          <w:sz w:val="24"/>
          <w:szCs w:val="24"/>
          <w:lang w:eastAsia="fr-FR" w:bidi="en-US"/>
        </w:rPr>
        <w:t>res</w:t>
      </w:r>
      <w:r w:rsidR="000D5050" w:rsidRPr="003A1D53">
        <w:rPr>
          <w:rFonts w:ascii="Times New Roman" w:eastAsia="Times New Roman" w:hAnsi="Times New Roman"/>
          <w:sz w:val="24"/>
          <w:szCs w:val="24"/>
          <w:lang w:eastAsia="fr-FR" w:bidi="en-US"/>
        </w:rPr>
        <w:t>sources de 30% à mi-parcours du cycle.</w:t>
      </w:r>
    </w:p>
    <w:p w14:paraId="604B51CE" w14:textId="77777777" w:rsidR="007E3885" w:rsidRPr="002B16ED" w:rsidRDefault="007E3885" w:rsidP="005B22B2">
      <w:pPr>
        <w:spacing w:after="0" w:line="240" w:lineRule="auto"/>
        <w:rPr>
          <w:rFonts w:ascii="Times New Roman" w:hAnsi="Times New Roman"/>
          <w:sz w:val="24"/>
          <w:szCs w:val="24"/>
        </w:rPr>
      </w:pPr>
    </w:p>
    <w:p w14:paraId="604B51CF" w14:textId="77777777" w:rsidR="00BA3DC6" w:rsidRPr="000031A7" w:rsidRDefault="000031A7" w:rsidP="005B22B2">
      <w:pPr>
        <w:pStyle w:val="Titre3"/>
        <w:numPr>
          <w:ilvl w:val="2"/>
          <w:numId w:val="4"/>
        </w:numPr>
        <w:shd w:val="clear" w:color="auto" w:fill="DEEAF6" w:themeFill="accent1" w:themeFillTint="33"/>
        <w:spacing w:before="0" w:line="240" w:lineRule="auto"/>
        <w:jc w:val="both"/>
        <w:rPr>
          <w:rFonts w:ascii="Times New Roman" w:hAnsi="Times New Roman"/>
          <w:color w:val="auto"/>
          <w:sz w:val="24"/>
          <w:szCs w:val="24"/>
        </w:rPr>
      </w:pPr>
      <w:bookmarkStart w:id="195" w:name="_Toc499211611"/>
      <w:bookmarkStart w:id="196" w:name="_Toc500974536"/>
      <w:bookmarkStart w:id="197" w:name="_Toc502863887"/>
      <w:bookmarkStart w:id="198" w:name="_Toc505758478"/>
      <w:bookmarkStart w:id="199" w:name="_Toc506201570"/>
      <w:r w:rsidRPr="000031A7">
        <w:rPr>
          <w:rFonts w:ascii="Times New Roman" w:hAnsi="Times New Roman"/>
          <w:color w:val="auto"/>
          <w:sz w:val="24"/>
          <w:szCs w:val="24"/>
        </w:rPr>
        <w:t>Effet 2 : "</w:t>
      </w:r>
      <w:r w:rsidR="008A2CF5" w:rsidRPr="008A2CF5">
        <w:rPr>
          <w:rFonts w:ascii="Times New Roman" w:hAnsi="Times New Roman"/>
          <w:color w:val="auto"/>
          <w:sz w:val="24"/>
          <w:szCs w:val="24"/>
        </w:rPr>
        <w:t>D’ici 2019, la cohésion sociale est facilitée par la justice transitionnelle, le dialogue communautaire inclusif, la culture et l’éducation pour la paix</w:t>
      </w:r>
      <w:r w:rsidR="00AD7869">
        <w:rPr>
          <w:rFonts w:ascii="Times New Roman" w:hAnsi="Times New Roman"/>
          <w:color w:val="auto"/>
          <w:sz w:val="24"/>
          <w:szCs w:val="24"/>
        </w:rPr>
        <w:t>.</w:t>
      </w:r>
      <w:r w:rsidRPr="000031A7">
        <w:rPr>
          <w:rFonts w:ascii="Times New Roman" w:hAnsi="Times New Roman"/>
          <w:color w:val="auto"/>
          <w:sz w:val="24"/>
          <w:szCs w:val="24"/>
        </w:rPr>
        <w:t>"</w:t>
      </w:r>
      <w:bookmarkEnd w:id="195"/>
      <w:bookmarkEnd w:id="196"/>
      <w:bookmarkEnd w:id="197"/>
      <w:bookmarkEnd w:id="198"/>
      <w:bookmarkEnd w:id="199"/>
    </w:p>
    <w:p w14:paraId="604B51D0" w14:textId="77777777" w:rsidR="000031A7" w:rsidRPr="006B309F" w:rsidRDefault="000031A7" w:rsidP="005B22B2">
      <w:pPr>
        <w:spacing w:after="0" w:line="240" w:lineRule="auto"/>
        <w:jc w:val="both"/>
        <w:rPr>
          <w:rFonts w:ascii="Times New Roman" w:eastAsia="Times New Roman" w:hAnsi="Times New Roman"/>
          <w:bCs/>
          <w:sz w:val="24"/>
          <w:szCs w:val="24"/>
        </w:rPr>
      </w:pPr>
    </w:p>
    <w:p w14:paraId="604B51D1" w14:textId="77777777" w:rsidR="00FC1E36" w:rsidRPr="006B309F" w:rsidRDefault="000031A7" w:rsidP="005B22B2">
      <w:pPr>
        <w:pStyle w:val="Titre4"/>
        <w:numPr>
          <w:ilvl w:val="3"/>
          <w:numId w:val="4"/>
        </w:numPr>
        <w:spacing w:before="0" w:line="240" w:lineRule="auto"/>
        <w:rPr>
          <w:rFonts w:ascii="Times New Roman" w:hAnsi="Times New Roman"/>
          <w:i w:val="0"/>
          <w:color w:val="auto"/>
          <w:sz w:val="24"/>
          <w:szCs w:val="24"/>
        </w:rPr>
      </w:pPr>
      <w:r>
        <w:rPr>
          <w:rFonts w:ascii="Times New Roman" w:hAnsi="Times New Roman"/>
          <w:i w:val="0"/>
          <w:color w:val="auto"/>
          <w:sz w:val="24"/>
          <w:szCs w:val="24"/>
        </w:rPr>
        <w:t>Résultats obtenus par le pays dans le domaine</w:t>
      </w:r>
      <w:r w:rsidR="00043FA7">
        <w:rPr>
          <w:rFonts w:ascii="Times New Roman" w:hAnsi="Times New Roman"/>
          <w:i w:val="0"/>
          <w:color w:val="auto"/>
          <w:sz w:val="24"/>
          <w:szCs w:val="24"/>
        </w:rPr>
        <w:t xml:space="preserve"> de l’Effet 2</w:t>
      </w:r>
    </w:p>
    <w:p w14:paraId="604B51D2" w14:textId="77777777" w:rsidR="0057261A" w:rsidRDefault="0057261A" w:rsidP="005B22B2">
      <w:pPr>
        <w:spacing w:after="0" w:line="240" w:lineRule="auto"/>
        <w:jc w:val="both"/>
        <w:rPr>
          <w:rFonts w:ascii="Times New Roman" w:eastAsia="Times New Roman" w:hAnsi="Times New Roman"/>
          <w:bCs/>
          <w:sz w:val="24"/>
          <w:szCs w:val="24"/>
        </w:rPr>
      </w:pPr>
    </w:p>
    <w:p w14:paraId="604B51D3" w14:textId="77777777" w:rsidR="00043FA7" w:rsidRDefault="0048539E"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8</w:t>
      </w:r>
      <w:r w:rsidR="00574B4D">
        <w:rPr>
          <w:rFonts w:ascii="Times New Roman" w:eastAsia="Times New Roman" w:hAnsi="Times New Roman"/>
          <w:bCs/>
          <w:sz w:val="24"/>
          <w:szCs w:val="24"/>
        </w:rPr>
        <w:t>8</w:t>
      </w:r>
      <w:r>
        <w:rPr>
          <w:rFonts w:ascii="Times New Roman" w:eastAsia="Times New Roman" w:hAnsi="Times New Roman"/>
          <w:bCs/>
          <w:sz w:val="24"/>
          <w:szCs w:val="24"/>
        </w:rPr>
        <w:t>.</w:t>
      </w:r>
      <w:r w:rsidR="004E17A8">
        <w:rPr>
          <w:rFonts w:ascii="Times New Roman" w:eastAsia="Times New Roman" w:hAnsi="Times New Roman"/>
          <w:bCs/>
          <w:sz w:val="24"/>
          <w:szCs w:val="24"/>
        </w:rPr>
        <w:tab/>
        <w:t>Les résultats du Mali en rapport avec l’Effet 2, "</w:t>
      </w:r>
      <w:r w:rsidR="004E17A8" w:rsidRPr="000D5050">
        <w:rPr>
          <w:rFonts w:ascii="Times New Roman" w:eastAsia="Times New Roman" w:hAnsi="Times New Roman"/>
          <w:bCs/>
          <w:i/>
          <w:sz w:val="24"/>
          <w:szCs w:val="24"/>
        </w:rPr>
        <w:t>D’ici 2019, la cohésion sociale est facilitée par la justice transitionnelle, le dialogue communautaire inclusif, la culture et l’éducation pour la paix</w:t>
      </w:r>
      <w:r w:rsidR="004E17A8">
        <w:rPr>
          <w:rFonts w:ascii="Times New Roman" w:eastAsia="Times New Roman" w:hAnsi="Times New Roman"/>
          <w:bCs/>
          <w:sz w:val="24"/>
          <w:szCs w:val="24"/>
        </w:rPr>
        <w:t xml:space="preserve">.", devaient s’exprimer à travers trois </w:t>
      </w:r>
      <w:r w:rsidR="00CC3FF4">
        <w:rPr>
          <w:rFonts w:ascii="Times New Roman" w:eastAsia="Times New Roman" w:hAnsi="Times New Roman"/>
          <w:bCs/>
          <w:sz w:val="24"/>
          <w:szCs w:val="24"/>
        </w:rPr>
        <w:t>indicateurs : le pourcentage d</w:t>
      </w:r>
      <w:r w:rsidR="00CC3FF4" w:rsidRPr="00CC3FF4">
        <w:rPr>
          <w:rFonts w:ascii="Times New Roman" w:eastAsia="Times New Roman" w:hAnsi="Times New Roman"/>
          <w:bCs/>
          <w:sz w:val="24"/>
          <w:szCs w:val="24"/>
        </w:rPr>
        <w:t>e conflits qui ont utilisé les mécanismes locaux de dialogue et de résolution de conflits</w:t>
      </w:r>
      <w:r w:rsidR="00CC3FF4">
        <w:rPr>
          <w:rFonts w:ascii="Times New Roman" w:eastAsia="Times New Roman" w:hAnsi="Times New Roman"/>
          <w:bCs/>
          <w:sz w:val="24"/>
          <w:szCs w:val="24"/>
        </w:rPr>
        <w:t xml:space="preserve"> ; le pourcentage de </w:t>
      </w:r>
      <w:r w:rsidR="00CC3FF4" w:rsidRPr="00CC3FF4">
        <w:rPr>
          <w:rFonts w:ascii="Times New Roman" w:eastAsia="Times New Roman" w:hAnsi="Times New Roman"/>
          <w:bCs/>
          <w:sz w:val="24"/>
          <w:szCs w:val="24"/>
        </w:rPr>
        <w:t>bénéficiaires qui croient que leurs communautés sont mieux outillées à gérer le conflit</w:t>
      </w:r>
      <w:r w:rsidR="00CC3FF4">
        <w:rPr>
          <w:rFonts w:ascii="Times New Roman" w:eastAsia="Times New Roman" w:hAnsi="Times New Roman"/>
          <w:bCs/>
          <w:sz w:val="24"/>
          <w:szCs w:val="24"/>
        </w:rPr>
        <w:t> ; et le pourcentage de</w:t>
      </w:r>
      <w:r w:rsidR="00CC3FF4" w:rsidRPr="00CC3FF4">
        <w:rPr>
          <w:rFonts w:ascii="Times New Roman" w:eastAsia="Times New Roman" w:hAnsi="Times New Roman"/>
          <w:bCs/>
          <w:sz w:val="24"/>
          <w:szCs w:val="24"/>
        </w:rPr>
        <w:t xml:space="preserve"> personnes retournées dans les communautés cibles qui sont resté</w:t>
      </w:r>
      <w:r w:rsidR="00CC3FF4">
        <w:rPr>
          <w:rFonts w:ascii="Times New Roman" w:eastAsia="Times New Roman" w:hAnsi="Times New Roman"/>
          <w:bCs/>
          <w:sz w:val="24"/>
          <w:szCs w:val="24"/>
        </w:rPr>
        <w:t>e</w:t>
      </w:r>
      <w:r w:rsidR="00CC3FF4" w:rsidRPr="00CC3FF4">
        <w:rPr>
          <w:rFonts w:ascii="Times New Roman" w:eastAsia="Times New Roman" w:hAnsi="Times New Roman"/>
          <w:bCs/>
          <w:sz w:val="24"/>
          <w:szCs w:val="24"/>
        </w:rPr>
        <w:t>s dans ces communautés</w:t>
      </w:r>
      <w:r w:rsidR="00CC3FF4">
        <w:rPr>
          <w:rFonts w:ascii="Times New Roman" w:eastAsia="Times New Roman" w:hAnsi="Times New Roman"/>
          <w:bCs/>
          <w:sz w:val="24"/>
          <w:szCs w:val="24"/>
        </w:rPr>
        <w:t>.</w:t>
      </w:r>
    </w:p>
    <w:p w14:paraId="604B51D4" w14:textId="77777777" w:rsidR="00CC3FF4" w:rsidRDefault="00CC3FF4" w:rsidP="005B22B2">
      <w:pPr>
        <w:spacing w:after="0" w:line="240" w:lineRule="auto"/>
        <w:jc w:val="both"/>
        <w:rPr>
          <w:rFonts w:ascii="Times New Roman" w:eastAsia="Times New Roman" w:hAnsi="Times New Roman"/>
          <w:bCs/>
          <w:sz w:val="24"/>
          <w:szCs w:val="24"/>
        </w:rPr>
      </w:pPr>
    </w:p>
    <w:p w14:paraId="604B51D5" w14:textId="77777777" w:rsidR="00CC3FF4" w:rsidRDefault="0048539E"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8</w:t>
      </w:r>
      <w:r w:rsidR="00574B4D">
        <w:rPr>
          <w:rFonts w:ascii="Times New Roman" w:eastAsia="Times New Roman" w:hAnsi="Times New Roman"/>
          <w:bCs/>
          <w:sz w:val="24"/>
          <w:szCs w:val="24"/>
        </w:rPr>
        <w:t>9</w:t>
      </w:r>
      <w:r>
        <w:rPr>
          <w:rFonts w:ascii="Times New Roman" w:eastAsia="Times New Roman" w:hAnsi="Times New Roman"/>
          <w:bCs/>
          <w:sz w:val="24"/>
          <w:szCs w:val="24"/>
        </w:rPr>
        <w:t>.</w:t>
      </w:r>
      <w:r w:rsidR="00CC3FF4">
        <w:rPr>
          <w:rFonts w:ascii="Times New Roman" w:eastAsia="Times New Roman" w:hAnsi="Times New Roman"/>
          <w:bCs/>
          <w:sz w:val="24"/>
          <w:szCs w:val="24"/>
        </w:rPr>
        <w:tab/>
        <w:t xml:space="preserve">Sur les deux premiers indicateurs, bien que </w:t>
      </w:r>
      <w:r w:rsidR="000D5050">
        <w:rPr>
          <w:rFonts w:ascii="Times New Roman" w:eastAsia="Times New Roman" w:hAnsi="Times New Roman"/>
          <w:bCs/>
          <w:sz w:val="24"/>
          <w:szCs w:val="24"/>
        </w:rPr>
        <w:t xml:space="preserve">la </w:t>
      </w:r>
      <w:r w:rsidR="00CC3FF4">
        <w:rPr>
          <w:rFonts w:ascii="Times New Roman" w:eastAsia="Times New Roman" w:hAnsi="Times New Roman"/>
          <w:bCs/>
          <w:sz w:val="24"/>
          <w:szCs w:val="24"/>
        </w:rPr>
        <w:t xml:space="preserve">situation de référence et </w:t>
      </w:r>
      <w:r w:rsidR="00996DB9">
        <w:rPr>
          <w:rFonts w:ascii="Times New Roman" w:eastAsia="Times New Roman" w:hAnsi="Times New Roman"/>
          <w:bCs/>
          <w:sz w:val="24"/>
          <w:szCs w:val="24"/>
        </w:rPr>
        <w:t xml:space="preserve">la </w:t>
      </w:r>
      <w:r w:rsidR="00CC3FF4">
        <w:rPr>
          <w:rFonts w:ascii="Times New Roman" w:eastAsia="Times New Roman" w:hAnsi="Times New Roman"/>
          <w:bCs/>
          <w:sz w:val="24"/>
          <w:szCs w:val="24"/>
        </w:rPr>
        <w:t>cible n’aient pas été déterminées dans la matrice du programme pour permettre d</w:t>
      </w:r>
      <w:r w:rsidR="00996DB9">
        <w:rPr>
          <w:rFonts w:ascii="Times New Roman" w:eastAsia="Times New Roman" w:hAnsi="Times New Roman"/>
          <w:bCs/>
          <w:sz w:val="24"/>
          <w:szCs w:val="24"/>
        </w:rPr>
        <w:t xml:space="preserve">’interpréter le </w:t>
      </w:r>
      <w:r w:rsidR="00CC3FF4">
        <w:rPr>
          <w:rFonts w:ascii="Times New Roman" w:eastAsia="Times New Roman" w:hAnsi="Times New Roman"/>
          <w:bCs/>
          <w:sz w:val="24"/>
          <w:szCs w:val="24"/>
        </w:rPr>
        <w:t>niveau d’effort réalisé à ce double égard, le programme reporte quand même des valeurs en dessous de 50%, ce qui dénote un état de confiance moyen des communautés dans l’évolution sécuritaire du pays. Mais le troisième indicateur montre un profil encore plus préoccupant, puisqu’il révèle que seulement 12% des personnes anciennement déplacées qui ont été retournées dans leurs communautés, sont parvenues à s’y maintenir.</w:t>
      </w:r>
    </w:p>
    <w:p w14:paraId="604B51D6" w14:textId="77777777" w:rsidR="005E0CC4" w:rsidRDefault="005E0CC4" w:rsidP="005B22B2">
      <w:pPr>
        <w:spacing w:after="0" w:line="240" w:lineRule="auto"/>
        <w:jc w:val="both"/>
        <w:rPr>
          <w:rFonts w:ascii="Times New Roman" w:eastAsia="Times New Roman" w:hAnsi="Times New Roman"/>
          <w:bCs/>
          <w:sz w:val="24"/>
          <w:szCs w:val="24"/>
        </w:rPr>
      </w:pPr>
    </w:p>
    <w:p w14:paraId="604B51D7" w14:textId="77777777" w:rsidR="00171576" w:rsidRPr="006B309F" w:rsidRDefault="000031A7" w:rsidP="005B22B2">
      <w:pPr>
        <w:pStyle w:val="Titre4"/>
        <w:numPr>
          <w:ilvl w:val="3"/>
          <w:numId w:val="4"/>
        </w:numPr>
        <w:spacing w:before="0" w:line="240" w:lineRule="auto"/>
        <w:rPr>
          <w:rFonts w:ascii="Times New Roman" w:hAnsi="Times New Roman"/>
          <w:i w:val="0"/>
          <w:color w:val="auto"/>
          <w:sz w:val="24"/>
          <w:szCs w:val="24"/>
        </w:rPr>
      </w:pPr>
      <w:r>
        <w:rPr>
          <w:rFonts w:ascii="Times New Roman" w:hAnsi="Times New Roman"/>
          <w:i w:val="0"/>
          <w:color w:val="auto"/>
          <w:sz w:val="24"/>
          <w:szCs w:val="24"/>
        </w:rPr>
        <w:t xml:space="preserve">Contributions du </w:t>
      </w:r>
      <w:r w:rsidR="00BD274E" w:rsidRPr="00BD274E">
        <w:rPr>
          <w:rFonts w:ascii="Times New Roman" w:hAnsi="Times New Roman"/>
          <w:i w:val="0"/>
          <w:color w:val="auto"/>
          <w:sz w:val="24"/>
          <w:szCs w:val="24"/>
        </w:rPr>
        <w:t>Système/Programme</w:t>
      </w:r>
      <w:r>
        <w:rPr>
          <w:rFonts w:ascii="Times New Roman" w:hAnsi="Times New Roman"/>
          <w:i w:val="0"/>
          <w:color w:val="auto"/>
          <w:sz w:val="24"/>
          <w:szCs w:val="24"/>
        </w:rPr>
        <w:t xml:space="preserve"> a</w:t>
      </w:r>
      <w:r w:rsidR="00171576" w:rsidRPr="006B309F">
        <w:rPr>
          <w:rFonts w:ascii="Times New Roman" w:hAnsi="Times New Roman"/>
          <w:i w:val="0"/>
          <w:color w:val="auto"/>
          <w:sz w:val="24"/>
          <w:szCs w:val="24"/>
        </w:rPr>
        <w:t xml:space="preserve">ux </w:t>
      </w:r>
      <w:r>
        <w:rPr>
          <w:rFonts w:ascii="Times New Roman" w:hAnsi="Times New Roman"/>
          <w:i w:val="0"/>
          <w:color w:val="auto"/>
          <w:sz w:val="24"/>
          <w:szCs w:val="24"/>
        </w:rPr>
        <w:t>résultats du pays dans le domaine</w:t>
      </w:r>
    </w:p>
    <w:p w14:paraId="604B51D8" w14:textId="77777777" w:rsidR="00540119" w:rsidRDefault="00540119" w:rsidP="005B22B2">
      <w:pPr>
        <w:spacing w:after="0" w:line="240" w:lineRule="auto"/>
        <w:rPr>
          <w:rFonts w:ascii="Times New Roman" w:hAnsi="Times New Roman"/>
          <w:sz w:val="24"/>
          <w:szCs w:val="24"/>
        </w:rPr>
      </w:pPr>
    </w:p>
    <w:p w14:paraId="604B51D9" w14:textId="77777777" w:rsidR="00540119" w:rsidRPr="00804D9B" w:rsidRDefault="00574B4D" w:rsidP="005B22B2">
      <w:pPr>
        <w:spacing w:after="0" w:line="240" w:lineRule="auto"/>
        <w:jc w:val="both"/>
        <w:rPr>
          <w:rFonts w:ascii="Times New Roman" w:hAnsi="Times New Roman"/>
          <w:sz w:val="24"/>
          <w:szCs w:val="24"/>
        </w:rPr>
      </w:pPr>
      <w:r>
        <w:rPr>
          <w:rFonts w:ascii="Times New Roman" w:hAnsi="Times New Roman"/>
          <w:sz w:val="24"/>
          <w:szCs w:val="24"/>
        </w:rPr>
        <w:t>90</w:t>
      </w:r>
      <w:r w:rsidR="0048539E" w:rsidRPr="00804D9B">
        <w:rPr>
          <w:rFonts w:ascii="Times New Roman" w:hAnsi="Times New Roman"/>
          <w:sz w:val="24"/>
          <w:szCs w:val="24"/>
        </w:rPr>
        <w:t>.</w:t>
      </w:r>
      <w:r w:rsidR="00540119" w:rsidRPr="00804D9B">
        <w:rPr>
          <w:rFonts w:ascii="Times New Roman" w:hAnsi="Times New Roman"/>
          <w:sz w:val="24"/>
          <w:szCs w:val="24"/>
        </w:rPr>
        <w:tab/>
        <w:t xml:space="preserve">Les contributions du programme dans le cadre de l’Effet 2 sont structurées à travers quatre produits : </w:t>
      </w:r>
      <w:r w:rsidR="00996DB9" w:rsidRPr="00804D9B">
        <w:rPr>
          <w:rFonts w:ascii="Times New Roman" w:hAnsi="Times New Roman"/>
          <w:sz w:val="24"/>
          <w:szCs w:val="24"/>
        </w:rPr>
        <w:t>Justice transitionnelle : l</w:t>
      </w:r>
      <w:r w:rsidR="00540119" w:rsidRPr="00804D9B">
        <w:rPr>
          <w:rFonts w:ascii="Times New Roman" w:hAnsi="Times New Roman"/>
          <w:sz w:val="24"/>
          <w:szCs w:val="24"/>
        </w:rPr>
        <w:t>es capacités techniques des institutions en charge du processus de réconciliation et de justice transitionnelle</w:t>
      </w:r>
      <w:r w:rsidR="00996DB9" w:rsidRPr="00804D9B">
        <w:rPr>
          <w:rFonts w:ascii="Times New Roman" w:hAnsi="Times New Roman"/>
          <w:sz w:val="24"/>
          <w:szCs w:val="24"/>
        </w:rPr>
        <w:t>,</w:t>
      </w:r>
      <w:r w:rsidR="00540119" w:rsidRPr="00804D9B">
        <w:rPr>
          <w:rFonts w:ascii="Times New Roman" w:hAnsi="Times New Roman"/>
          <w:sz w:val="24"/>
          <w:szCs w:val="24"/>
        </w:rPr>
        <w:t xml:space="preserve"> et de la société civile sont renforcées pour promouvoir la réconciliation, le droit à la vérité, à la justice et à la réparation des victimes, y compris les femmes ; Dialogu</w:t>
      </w:r>
      <w:r w:rsidR="00996DB9" w:rsidRPr="00804D9B">
        <w:rPr>
          <w:rFonts w:ascii="Times New Roman" w:hAnsi="Times New Roman"/>
          <w:sz w:val="24"/>
          <w:szCs w:val="24"/>
        </w:rPr>
        <w:t>e inter-/intra-communautaire : l</w:t>
      </w:r>
      <w:r w:rsidR="00540119" w:rsidRPr="00804D9B">
        <w:rPr>
          <w:rFonts w:ascii="Times New Roman" w:hAnsi="Times New Roman"/>
          <w:sz w:val="24"/>
          <w:szCs w:val="24"/>
        </w:rPr>
        <w:t xml:space="preserve">es communautés disposent des capacités techniques nécessaires à la prévention et à la gestion des conflits communautaires, au renforcement de la cohésion sociale, et </w:t>
      </w:r>
      <w:r w:rsidR="00996DB9" w:rsidRPr="00804D9B">
        <w:rPr>
          <w:rFonts w:ascii="Times New Roman" w:hAnsi="Times New Roman"/>
          <w:sz w:val="24"/>
          <w:szCs w:val="24"/>
        </w:rPr>
        <w:t xml:space="preserve">à la </w:t>
      </w:r>
      <w:r w:rsidR="00540119" w:rsidRPr="00804D9B">
        <w:rPr>
          <w:rFonts w:ascii="Times New Roman" w:hAnsi="Times New Roman"/>
          <w:sz w:val="24"/>
          <w:szCs w:val="24"/>
        </w:rPr>
        <w:t>cré</w:t>
      </w:r>
      <w:r w:rsidR="00996DB9" w:rsidRPr="00804D9B">
        <w:rPr>
          <w:rFonts w:ascii="Times New Roman" w:hAnsi="Times New Roman"/>
          <w:sz w:val="24"/>
          <w:szCs w:val="24"/>
        </w:rPr>
        <w:t>ation de</w:t>
      </w:r>
      <w:r w:rsidR="00540119" w:rsidRPr="00804D9B">
        <w:rPr>
          <w:rFonts w:ascii="Times New Roman" w:hAnsi="Times New Roman"/>
          <w:sz w:val="24"/>
          <w:szCs w:val="24"/>
        </w:rPr>
        <w:t xml:space="preserve"> conditions de retour des réfugiés et déplacés ; Education à la culture de la paix : </w:t>
      </w:r>
      <w:r w:rsidR="00996DB9" w:rsidRPr="00804D9B">
        <w:rPr>
          <w:rFonts w:ascii="Times New Roman" w:hAnsi="Times New Roman"/>
          <w:sz w:val="24"/>
          <w:szCs w:val="24"/>
        </w:rPr>
        <w:t>l</w:t>
      </w:r>
      <w:r w:rsidR="00540119" w:rsidRPr="00804D9B">
        <w:rPr>
          <w:rFonts w:ascii="Times New Roman" w:hAnsi="Times New Roman"/>
          <w:sz w:val="24"/>
          <w:szCs w:val="24"/>
        </w:rPr>
        <w:t xml:space="preserve">es capacités techniques et matérielles des institutions (ministère de l’Education, Enseignement supérieur, syndicats d’élèves et d’enseignants) sont renforcées pour la promotion de l’éducation à la culture de la paix et </w:t>
      </w:r>
      <w:r w:rsidR="00996DB9" w:rsidRPr="00804D9B">
        <w:rPr>
          <w:rFonts w:ascii="Times New Roman" w:hAnsi="Times New Roman"/>
          <w:sz w:val="24"/>
          <w:szCs w:val="24"/>
        </w:rPr>
        <w:t xml:space="preserve">aux </w:t>
      </w:r>
      <w:r w:rsidR="00540119" w:rsidRPr="00804D9B">
        <w:rPr>
          <w:rFonts w:ascii="Times New Roman" w:hAnsi="Times New Roman"/>
          <w:sz w:val="24"/>
          <w:szCs w:val="24"/>
        </w:rPr>
        <w:t xml:space="preserve">droits de l’homme ; </w:t>
      </w:r>
      <w:r w:rsidR="00996DB9" w:rsidRPr="00804D9B">
        <w:rPr>
          <w:rFonts w:ascii="Times New Roman" w:hAnsi="Times New Roman"/>
          <w:sz w:val="24"/>
          <w:szCs w:val="24"/>
        </w:rPr>
        <w:t>Patrimoine culturel : l</w:t>
      </w:r>
      <w:r w:rsidR="00540119" w:rsidRPr="00804D9B">
        <w:rPr>
          <w:rFonts w:ascii="Times New Roman" w:hAnsi="Times New Roman"/>
          <w:sz w:val="24"/>
          <w:szCs w:val="24"/>
        </w:rPr>
        <w:t>e patrimoine culturel matériel et immatériel endommagé est réhabilité et des outils pour la promotion de la diversité et des expressions culturelles sont élaborés.</w:t>
      </w:r>
    </w:p>
    <w:p w14:paraId="604B51DA" w14:textId="77777777" w:rsidR="00AC7054" w:rsidRPr="00804D9B" w:rsidRDefault="00AC7054" w:rsidP="005B22B2">
      <w:pPr>
        <w:spacing w:after="0" w:line="240" w:lineRule="auto"/>
        <w:jc w:val="both"/>
        <w:rPr>
          <w:rFonts w:ascii="Times New Roman" w:hAnsi="Times New Roman"/>
          <w:sz w:val="24"/>
          <w:szCs w:val="24"/>
        </w:rPr>
      </w:pPr>
    </w:p>
    <w:p w14:paraId="604B51DB" w14:textId="77777777" w:rsidR="00540119" w:rsidRDefault="00574B4D" w:rsidP="005B22B2">
      <w:pPr>
        <w:spacing w:after="0" w:line="240" w:lineRule="auto"/>
        <w:jc w:val="both"/>
        <w:rPr>
          <w:rFonts w:ascii="Times New Roman" w:hAnsi="Times New Roman"/>
          <w:sz w:val="24"/>
          <w:szCs w:val="24"/>
        </w:rPr>
      </w:pPr>
      <w:r>
        <w:rPr>
          <w:rFonts w:ascii="Times New Roman" w:hAnsi="Times New Roman"/>
          <w:sz w:val="24"/>
          <w:szCs w:val="24"/>
        </w:rPr>
        <w:lastRenderedPageBreak/>
        <w:t>91</w:t>
      </w:r>
      <w:r w:rsidR="0048539E" w:rsidRPr="00804D9B">
        <w:rPr>
          <w:rFonts w:ascii="Times New Roman" w:hAnsi="Times New Roman"/>
          <w:sz w:val="24"/>
          <w:szCs w:val="24"/>
        </w:rPr>
        <w:t>.</w:t>
      </w:r>
      <w:r w:rsidR="00540119" w:rsidRPr="00804D9B">
        <w:rPr>
          <w:rFonts w:ascii="Times New Roman" w:hAnsi="Times New Roman"/>
          <w:sz w:val="24"/>
          <w:szCs w:val="24"/>
        </w:rPr>
        <w:tab/>
        <w:t>En matière de Justice transitionnelle, les indicateurs de vitalité de la Commission Vérité Justice et Réconciliation (CVJR) ne décollent pas, signe que cette structure ne parvient pas entrer en opérationnalité en ce qui con</w:t>
      </w:r>
      <w:r w:rsidR="00A6002A" w:rsidRPr="00804D9B">
        <w:rPr>
          <w:rFonts w:ascii="Times New Roman" w:hAnsi="Times New Roman"/>
          <w:sz w:val="24"/>
          <w:szCs w:val="24"/>
        </w:rPr>
        <w:t>cerne le traitement de cas concrets</w:t>
      </w:r>
      <w:r w:rsidR="007D006D" w:rsidRPr="00804D9B">
        <w:rPr>
          <w:rFonts w:ascii="Times New Roman" w:hAnsi="Times New Roman"/>
          <w:sz w:val="24"/>
          <w:szCs w:val="24"/>
        </w:rPr>
        <w:t xml:space="preserve"> et la formulation de recommandations post-enquête</w:t>
      </w:r>
      <w:r w:rsidR="00A6002A" w:rsidRPr="00804D9B">
        <w:rPr>
          <w:rFonts w:ascii="Times New Roman" w:hAnsi="Times New Roman"/>
          <w:sz w:val="24"/>
          <w:szCs w:val="24"/>
        </w:rPr>
        <w:t>. Car sur le plan réglementaire</w:t>
      </w:r>
      <w:r w:rsidR="00996DB9" w:rsidRPr="00804D9B">
        <w:rPr>
          <w:rFonts w:ascii="Times New Roman" w:hAnsi="Times New Roman"/>
          <w:sz w:val="24"/>
          <w:szCs w:val="24"/>
        </w:rPr>
        <w:t>,</w:t>
      </w:r>
      <w:r w:rsidR="00A6002A" w:rsidRPr="00804D9B">
        <w:rPr>
          <w:rFonts w:ascii="Times New Roman" w:hAnsi="Times New Roman"/>
          <w:sz w:val="24"/>
          <w:szCs w:val="24"/>
        </w:rPr>
        <w:t xml:space="preserve"> en </w:t>
      </w:r>
      <w:r w:rsidR="00996DB9" w:rsidRPr="00804D9B">
        <w:rPr>
          <w:rFonts w:ascii="Times New Roman" w:hAnsi="Times New Roman"/>
          <w:sz w:val="24"/>
          <w:szCs w:val="24"/>
        </w:rPr>
        <w:t>revanche, la CVJR a déjà adopté</w:t>
      </w:r>
      <w:r w:rsidR="00A6002A" w:rsidRPr="00804D9B">
        <w:rPr>
          <w:rFonts w:ascii="Times New Roman" w:hAnsi="Times New Roman"/>
          <w:sz w:val="24"/>
          <w:szCs w:val="24"/>
        </w:rPr>
        <w:t xml:space="preserve"> plus de textes qu’il n’en était prévu en fin de programmation (8 déjà à fin 2016, contre</w:t>
      </w:r>
      <w:r w:rsidR="00A6002A">
        <w:rPr>
          <w:rFonts w:ascii="Times New Roman" w:hAnsi="Times New Roman"/>
          <w:sz w:val="24"/>
          <w:szCs w:val="24"/>
        </w:rPr>
        <w:t xml:space="preserve"> un objectif de 4). L’inclusion des femmes dans les organisations de la société œuvrant en faveur de la justice transitionnelle enregistre également des progrès importants, avec une réalisation qui dépasse déjà la cible.</w:t>
      </w:r>
    </w:p>
    <w:p w14:paraId="604B51DC" w14:textId="77777777" w:rsidR="00540119" w:rsidRDefault="00540119" w:rsidP="005B22B2">
      <w:pPr>
        <w:spacing w:after="0" w:line="240" w:lineRule="auto"/>
        <w:jc w:val="both"/>
        <w:rPr>
          <w:rFonts w:ascii="Times New Roman" w:hAnsi="Times New Roman"/>
          <w:sz w:val="24"/>
          <w:szCs w:val="24"/>
        </w:rPr>
      </w:pPr>
    </w:p>
    <w:p w14:paraId="604B51DD" w14:textId="77777777" w:rsidR="00030FA3" w:rsidRPr="00030FA3" w:rsidRDefault="00574B4D" w:rsidP="005B22B2">
      <w:pPr>
        <w:spacing w:after="0" w:line="240" w:lineRule="auto"/>
        <w:jc w:val="both"/>
        <w:rPr>
          <w:rFonts w:ascii="Times New Roman" w:hAnsi="Times New Roman"/>
          <w:sz w:val="24"/>
          <w:szCs w:val="24"/>
        </w:rPr>
      </w:pPr>
      <w:r>
        <w:rPr>
          <w:rFonts w:ascii="Times New Roman" w:hAnsi="Times New Roman"/>
          <w:sz w:val="24"/>
          <w:szCs w:val="24"/>
        </w:rPr>
        <w:t>92</w:t>
      </w:r>
      <w:r w:rsidR="0048539E" w:rsidRPr="00804D9B">
        <w:rPr>
          <w:rFonts w:ascii="Times New Roman" w:hAnsi="Times New Roman"/>
          <w:sz w:val="24"/>
          <w:szCs w:val="24"/>
        </w:rPr>
        <w:t>.</w:t>
      </w:r>
      <w:r w:rsidR="00540119" w:rsidRPr="00804D9B">
        <w:rPr>
          <w:rFonts w:ascii="Times New Roman" w:hAnsi="Times New Roman"/>
          <w:sz w:val="24"/>
          <w:szCs w:val="24"/>
        </w:rPr>
        <w:tab/>
        <w:t>En ce qui concerne le Dialogue inter/intra communautaire</w:t>
      </w:r>
      <w:r w:rsidR="007D006D" w:rsidRPr="00804D9B">
        <w:rPr>
          <w:rFonts w:ascii="Times New Roman" w:hAnsi="Times New Roman"/>
          <w:sz w:val="24"/>
          <w:szCs w:val="24"/>
        </w:rPr>
        <w:t>, tous les objectifs de fin de</w:t>
      </w:r>
      <w:r w:rsidR="007D006D">
        <w:rPr>
          <w:rFonts w:ascii="Times New Roman" w:hAnsi="Times New Roman"/>
          <w:sz w:val="24"/>
          <w:szCs w:val="24"/>
        </w:rPr>
        <w:t xml:space="preserve"> cycle sont déjà atteins, mis à part la couverture des </w:t>
      </w:r>
      <w:r w:rsidR="007D006D" w:rsidRPr="007D006D">
        <w:rPr>
          <w:rFonts w:ascii="Times New Roman" w:hAnsi="Times New Roman"/>
          <w:sz w:val="24"/>
          <w:szCs w:val="24"/>
        </w:rPr>
        <w:t xml:space="preserve">Cercles </w:t>
      </w:r>
      <w:r w:rsidR="007D006D">
        <w:rPr>
          <w:rFonts w:ascii="Times New Roman" w:hAnsi="Times New Roman"/>
          <w:sz w:val="24"/>
          <w:szCs w:val="24"/>
        </w:rPr>
        <w:t xml:space="preserve">par des </w:t>
      </w:r>
      <w:r w:rsidR="007D006D" w:rsidRPr="007D006D">
        <w:rPr>
          <w:rFonts w:ascii="Times New Roman" w:hAnsi="Times New Roman"/>
          <w:sz w:val="24"/>
          <w:szCs w:val="24"/>
        </w:rPr>
        <w:t>mécanismes de dialogue intercommunautaire et</w:t>
      </w:r>
      <w:r w:rsidR="007D006D">
        <w:rPr>
          <w:rFonts w:ascii="Times New Roman" w:hAnsi="Times New Roman"/>
          <w:sz w:val="24"/>
          <w:szCs w:val="24"/>
        </w:rPr>
        <w:t xml:space="preserve"> intracommunautaire qui n’a que modérément évolué, à 30% </w:t>
      </w:r>
      <w:r w:rsidR="00996DB9">
        <w:rPr>
          <w:rFonts w:ascii="Times New Roman" w:hAnsi="Times New Roman"/>
          <w:sz w:val="24"/>
          <w:szCs w:val="24"/>
        </w:rPr>
        <w:t xml:space="preserve">seulement </w:t>
      </w:r>
      <w:r w:rsidR="007D006D">
        <w:rPr>
          <w:rFonts w:ascii="Times New Roman" w:hAnsi="Times New Roman"/>
          <w:sz w:val="24"/>
          <w:szCs w:val="24"/>
        </w:rPr>
        <w:t xml:space="preserve">de ces subdivisions territoriales couvertes </w:t>
      </w:r>
      <w:r w:rsidR="00030FA3">
        <w:rPr>
          <w:rFonts w:ascii="Times New Roman" w:hAnsi="Times New Roman"/>
          <w:sz w:val="24"/>
          <w:szCs w:val="24"/>
        </w:rPr>
        <w:t xml:space="preserve">sur un </w:t>
      </w:r>
      <w:r w:rsidR="007D006D">
        <w:rPr>
          <w:rFonts w:ascii="Times New Roman" w:hAnsi="Times New Roman"/>
          <w:sz w:val="24"/>
          <w:szCs w:val="24"/>
        </w:rPr>
        <w:t xml:space="preserve">objectif </w:t>
      </w:r>
      <w:r w:rsidR="00030FA3">
        <w:rPr>
          <w:rFonts w:ascii="Times New Roman" w:hAnsi="Times New Roman"/>
          <w:sz w:val="24"/>
          <w:szCs w:val="24"/>
        </w:rPr>
        <w:t xml:space="preserve">de 13. Les actions dans ce domaine ont plutôt été focalisées sur le déploiement de médiateurs communautaires, d’antennes locales de la CVJR et de réseaux associatifs d’appui, où toutes les cibles ont été dépassées après deux </w:t>
      </w:r>
      <w:r w:rsidR="00030FA3" w:rsidRPr="00804D9B">
        <w:rPr>
          <w:rFonts w:ascii="Times New Roman" w:hAnsi="Times New Roman"/>
          <w:sz w:val="24"/>
          <w:szCs w:val="24"/>
        </w:rPr>
        <w:t>années</w:t>
      </w:r>
      <w:r w:rsidR="00996DB9" w:rsidRPr="00804D9B">
        <w:rPr>
          <w:rFonts w:ascii="Times New Roman" w:hAnsi="Times New Roman"/>
          <w:sz w:val="24"/>
          <w:szCs w:val="24"/>
        </w:rPr>
        <w:t xml:space="preserve"> de mise en œuvre du programme.</w:t>
      </w:r>
      <w:r w:rsidR="007D006D" w:rsidRPr="00804D9B">
        <w:rPr>
          <w:rFonts w:ascii="Times New Roman" w:hAnsi="Times New Roman"/>
          <w:sz w:val="24"/>
          <w:szCs w:val="24"/>
        </w:rPr>
        <w:t xml:space="preserve"> </w:t>
      </w:r>
      <w:r w:rsidR="00030FA3" w:rsidRPr="00804D9B">
        <w:rPr>
          <w:rFonts w:ascii="Times New Roman" w:hAnsi="Times New Roman"/>
          <w:sz w:val="24"/>
          <w:szCs w:val="24"/>
        </w:rPr>
        <w:t>L</w:t>
      </w:r>
      <w:r w:rsidR="00540119" w:rsidRPr="00804D9B">
        <w:rPr>
          <w:rFonts w:ascii="Times New Roman" w:hAnsi="Times New Roman"/>
          <w:sz w:val="24"/>
          <w:szCs w:val="24"/>
        </w:rPr>
        <w:t>’Education à la culture de paix</w:t>
      </w:r>
      <w:r w:rsidR="00030FA3" w:rsidRPr="00804D9B">
        <w:rPr>
          <w:rFonts w:ascii="Times New Roman" w:hAnsi="Times New Roman"/>
          <w:sz w:val="24"/>
          <w:szCs w:val="24"/>
        </w:rPr>
        <w:t xml:space="preserve"> a déjà entièrement</w:t>
      </w:r>
      <w:r w:rsidR="00030FA3">
        <w:rPr>
          <w:rFonts w:ascii="Times New Roman" w:hAnsi="Times New Roman"/>
          <w:sz w:val="24"/>
          <w:szCs w:val="24"/>
        </w:rPr>
        <w:t xml:space="preserve"> atteint l’une de ses trois cibles (</w:t>
      </w:r>
      <w:r w:rsidR="00AC7054">
        <w:rPr>
          <w:rFonts w:ascii="Times New Roman" w:hAnsi="Times New Roman"/>
          <w:sz w:val="24"/>
          <w:szCs w:val="24"/>
        </w:rPr>
        <w:t xml:space="preserve">la mise en place dans les écoles </w:t>
      </w:r>
      <w:r w:rsidR="00AC7054" w:rsidRPr="00030FA3">
        <w:rPr>
          <w:rFonts w:ascii="Times New Roman" w:hAnsi="Times New Roman"/>
          <w:sz w:val="24"/>
          <w:szCs w:val="24"/>
        </w:rPr>
        <w:t>d’un plan et d’un mécanisme de prévention et de gestion de conflits</w:t>
      </w:r>
      <w:r w:rsidR="00030FA3">
        <w:rPr>
          <w:rFonts w:ascii="Times New Roman" w:hAnsi="Times New Roman"/>
          <w:sz w:val="24"/>
          <w:szCs w:val="24"/>
        </w:rPr>
        <w:t xml:space="preserve">), et est en passe d’atteindre les deux autres : </w:t>
      </w:r>
      <w:r w:rsidR="00AC7054" w:rsidRPr="00030FA3">
        <w:rPr>
          <w:rFonts w:ascii="Times New Roman" w:hAnsi="Times New Roman"/>
          <w:sz w:val="24"/>
          <w:szCs w:val="24"/>
        </w:rPr>
        <w:t>Comités de Gestion Scolaire (CGS) formés sur la gestion des conflits, la tolérance et la promotion de la paix</w:t>
      </w:r>
      <w:r w:rsidR="00AC7054">
        <w:rPr>
          <w:rFonts w:ascii="Times New Roman" w:hAnsi="Times New Roman"/>
          <w:sz w:val="24"/>
          <w:szCs w:val="24"/>
        </w:rPr>
        <w:t xml:space="preserve">, et la formation des </w:t>
      </w:r>
      <w:r w:rsidR="00030FA3" w:rsidRPr="00030FA3">
        <w:rPr>
          <w:rFonts w:ascii="Times New Roman" w:hAnsi="Times New Roman"/>
          <w:sz w:val="24"/>
          <w:szCs w:val="24"/>
        </w:rPr>
        <w:t xml:space="preserve">enseignants </w:t>
      </w:r>
      <w:r w:rsidR="00AC7054">
        <w:rPr>
          <w:rFonts w:ascii="Times New Roman" w:hAnsi="Times New Roman"/>
          <w:sz w:val="24"/>
          <w:szCs w:val="24"/>
        </w:rPr>
        <w:t xml:space="preserve">à </w:t>
      </w:r>
      <w:r w:rsidR="00030FA3" w:rsidRPr="00030FA3">
        <w:rPr>
          <w:rFonts w:ascii="Times New Roman" w:hAnsi="Times New Roman"/>
          <w:sz w:val="24"/>
          <w:szCs w:val="24"/>
        </w:rPr>
        <w:t>l’</w:t>
      </w:r>
      <w:r w:rsidR="00996DB9">
        <w:rPr>
          <w:rFonts w:ascii="Times New Roman" w:hAnsi="Times New Roman"/>
          <w:sz w:val="24"/>
          <w:szCs w:val="24"/>
        </w:rPr>
        <w:t>éducation à l</w:t>
      </w:r>
      <w:r w:rsidR="00AC7054">
        <w:rPr>
          <w:rFonts w:ascii="Times New Roman" w:hAnsi="Times New Roman"/>
          <w:sz w:val="24"/>
          <w:szCs w:val="24"/>
        </w:rPr>
        <w:t>a culture de la paix.</w:t>
      </w:r>
    </w:p>
    <w:p w14:paraId="604B51DE" w14:textId="77777777" w:rsidR="00540119" w:rsidRDefault="00030FA3" w:rsidP="005B22B2">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04B51DF" w14:textId="77777777" w:rsidR="00540119" w:rsidRDefault="0048539E" w:rsidP="005B22B2">
      <w:pPr>
        <w:spacing w:after="0" w:line="240" w:lineRule="auto"/>
        <w:jc w:val="both"/>
        <w:rPr>
          <w:rFonts w:ascii="Times New Roman" w:hAnsi="Times New Roman"/>
          <w:sz w:val="24"/>
          <w:szCs w:val="24"/>
        </w:rPr>
      </w:pPr>
      <w:r w:rsidRPr="00804D9B">
        <w:rPr>
          <w:rFonts w:ascii="Times New Roman" w:hAnsi="Times New Roman"/>
          <w:sz w:val="24"/>
          <w:szCs w:val="24"/>
        </w:rPr>
        <w:t>9</w:t>
      </w:r>
      <w:r w:rsidR="00574B4D">
        <w:rPr>
          <w:rFonts w:ascii="Times New Roman" w:hAnsi="Times New Roman"/>
          <w:sz w:val="24"/>
          <w:szCs w:val="24"/>
        </w:rPr>
        <w:t>3</w:t>
      </w:r>
      <w:r w:rsidRPr="00804D9B">
        <w:rPr>
          <w:rFonts w:ascii="Times New Roman" w:hAnsi="Times New Roman"/>
          <w:sz w:val="24"/>
          <w:szCs w:val="24"/>
        </w:rPr>
        <w:t>.</w:t>
      </w:r>
      <w:r w:rsidR="00540119" w:rsidRPr="00804D9B">
        <w:rPr>
          <w:rFonts w:ascii="Times New Roman" w:hAnsi="Times New Roman"/>
          <w:sz w:val="24"/>
          <w:szCs w:val="24"/>
        </w:rPr>
        <w:tab/>
        <w:t xml:space="preserve">Enfin, s’agissant de la Sauvegarde du patrimoine culturel, </w:t>
      </w:r>
      <w:r w:rsidR="00AC7054" w:rsidRPr="00804D9B">
        <w:rPr>
          <w:rFonts w:ascii="Times New Roman" w:hAnsi="Times New Roman"/>
          <w:sz w:val="24"/>
          <w:szCs w:val="24"/>
        </w:rPr>
        <w:t>la réhabilitation des sites du</w:t>
      </w:r>
      <w:r w:rsidR="00AC7054" w:rsidRPr="00AC7054">
        <w:rPr>
          <w:rFonts w:ascii="Times New Roman" w:hAnsi="Times New Roman"/>
          <w:sz w:val="24"/>
          <w:szCs w:val="24"/>
        </w:rPr>
        <w:t xml:space="preserve"> patrimoine, musées, bibliothèques de manuscrits</w:t>
      </w:r>
      <w:r w:rsidR="00AC7054">
        <w:rPr>
          <w:rFonts w:ascii="Times New Roman" w:hAnsi="Times New Roman"/>
          <w:sz w:val="24"/>
          <w:szCs w:val="24"/>
        </w:rPr>
        <w:t xml:space="preserve">, etc., </w:t>
      </w:r>
      <w:r w:rsidR="00AC7054" w:rsidRPr="00AC7054">
        <w:rPr>
          <w:rFonts w:ascii="Times New Roman" w:hAnsi="Times New Roman"/>
          <w:sz w:val="24"/>
          <w:szCs w:val="24"/>
        </w:rPr>
        <w:t>endommagé</w:t>
      </w:r>
      <w:r w:rsidR="00AC7054">
        <w:rPr>
          <w:rFonts w:ascii="Times New Roman" w:hAnsi="Times New Roman"/>
          <w:sz w:val="24"/>
          <w:szCs w:val="24"/>
        </w:rPr>
        <w:t xml:space="preserve">s dans le cadre du conflit, a déjà </w:t>
      </w:r>
      <w:r w:rsidR="00996DB9">
        <w:rPr>
          <w:rFonts w:ascii="Times New Roman" w:hAnsi="Times New Roman"/>
          <w:sz w:val="24"/>
          <w:szCs w:val="24"/>
        </w:rPr>
        <w:t xml:space="preserve">atteint </w:t>
      </w:r>
      <w:r w:rsidR="00AC7054">
        <w:rPr>
          <w:rFonts w:ascii="Times New Roman" w:hAnsi="Times New Roman"/>
          <w:sz w:val="24"/>
          <w:szCs w:val="24"/>
        </w:rPr>
        <w:t>l’objectif de fin de cycle (8 sur 8). Le n</w:t>
      </w:r>
      <w:r w:rsidR="00AC7054" w:rsidRPr="00AC7054">
        <w:rPr>
          <w:rFonts w:ascii="Times New Roman" w:hAnsi="Times New Roman"/>
          <w:sz w:val="24"/>
          <w:szCs w:val="24"/>
        </w:rPr>
        <w:t>ombre d’év</w:t>
      </w:r>
      <w:r w:rsidR="00AC7054">
        <w:rPr>
          <w:rFonts w:ascii="Times New Roman" w:hAnsi="Times New Roman"/>
          <w:sz w:val="24"/>
          <w:szCs w:val="24"/>
        </w:rPr>
        <w:t>é</w:t>
      </w:r>
      <w:r w:rsidR="00AC7054" w:rsidRPr="00AC7054">
        <w:rPr>
          <w:rFonts w:ascii="Times New Roman" w:hAnsi="Times New Roman"/>
          <w:sz w:val="24"/>
          <w:szCs w:val="24"/>
        </w:rPr>
        <w:t>nements culturels organisés suite au renforcement de capacités des acteurs régionaux et nationaux concernés</w:t>
      </w:r>
      <w:r w:rsidR="00AC7054">
        <w:rPr>
          <w:rFonts w:ascii="Times New Roman" w:hAnsi="Times New Roman"/>
          <w:sz w:val="24"/>
          <w:szCs w:val="24"/>
        </w:rPr>
        <w:t>, représente</w:t>
      </w:r>
      <w:r w:rsidR="00996DB9">
        <w:rPr>
          <w:rFonts w:ascii="Times New Roman" w:hAnsi="Times New Roman"/>
          <w:sz w:val="24"/>
          <w:szCs w:val="24"/>
        </w:rPr>
        <w:t>,</w:t>
      </w:r>
      <w:r w:rsidR="00AC7054">
        <w:rPr>
          <w:rFonts w:ascii="Times New Roman" w:hAnsi="Times New Roman"/>
          <w:sz w:val="24"/>
          <w:szCs w:val="24"/>
        </w:rPr>
        <w:t xml:space="preserve"> quant à lui</w:t>
      </w:r>
      <w:r w:rsidR="00996DB9">
        <w:rPr>
          <w:rFonts w:ascii="Times New Roman" w:hAnsi="Times New Roman"/>
          <w:sz w:val="24"/>
          <w:szCs w:val="24"/>
        </w:rPr>
        <w:t>,</w:t>
      </w:r>
      <w:r w:rsidR="00AC7054">
        <w:rPr>
          <w:rFonts w:ascii="Times New Roman" w:hAnsi="Times New Roman"/>
          <w:sz w:val="24"/>
          <w:szCs w:val="24"/>
        </w:rPr>
        <w:t xml:space="preserve"> le double de ce qui était anticipé pour la clôture du programme. Les autres </w:t>
      </w:r>
      <w:r w:rsidR="005B6DE1">
        <w:rPr>
          <w:rFonts w:ascii="Times New Roman" w:hAnsi="Times New Roman"/>
          <w:sz w:val="24"/>
          <w:szCs w:val="24"/>
        </w:rPr>
        <w:t>dimensions</w:t>
      </w:r>
      <w:r w:rsidR="00AC7054">
        <w:rPr>
          <w:rFonts w:ascii="Times New Roman" w:hAnsi="Times New Roman"/>
          <w:sz w:val="24"/>
          <w:szCs w:val="24"/>
        </w:rPr>
        <w:t xml:space="preserve"> de la problématique ne sont pas </w:t>
      </w:r>
      <w:r w:rsidR="005B6DE1">
        <w:rPr>
          <w:rFonts w:ascii="Times New Roman" w:hAnsi="Times New Roman"/>
          <w:sz w:val="24"/>
          <w:szCs w:val="24"/>
        </w:rPr>
        <w:t>renseignées</w:t>
      </w:r>
      <w:r w:rsidR="00AC7054">
        <w:rPr>
          <w:rFonts w:ascii="Times New Roman" w:hAnsi="Times New Roman"/>
          <w:sz w:val="24"/>
          <w:szCs w:val="24"/>
        </w:rPr>
        <w:t xml:space="preserve"> à travers leurs indicateurs de performance.</w:t>
      </w:r>
    </w:p>
    <w:p w14:paraId="604B51E0" w14:textId="77777777" w:rsidR="00996DB9" w:rsidRDefault="00996DB9" w:rsidP="005B22B2">
      <w:pPr>
        <w:spacing w:after="0" w:line="240" w:lineRule="auto"/>
        <w:jc w:val="both"/>
        <w:rPr>
          <w:rFonts w:ascii="Times New Roman" w:hAnsi="Times New Roman"/>
          <w:sz w:val="24"/>
          <w:szCs w:val="24"/>
        </w:rPr>
      </w:pPr>
    </w:p>
    <w:p w14:paraId="604B51E1" w14:textId="77777777" w:rsidR="00996DB9" w:rsidRPr="003A1D53" w:rsidRDefault="007E34BC" w:rsidP="005B22B2">
      <w:pPr>
        <w:spacing w:after="0" w:line="240" w:lineRule="auto"/>
        <w:jc w:val="both"/>
        <w:rPr>
          <w:rFonts w:ascii="Times New Roman" w:hAnsi="Times New Roman"/>
          <w:sz w:val="24"/>
          <w:szCs w:val="24"/>
        </w:rPr>
      </w:pPr>
      <w:r>
        <w:rPr>
          <w:rFonts w:ascii="Times New Roman" w:eastAsia="Times New Roman" w:hAnsi="Times New Roman"/>
          <w:bCs/>
          <w:sz w:val="24"/>
          <w:szCs w:val="24"/>
        </w:rPr>
        <w:t>9</w:t>
      </w:r>
      <w:r w:rsidR="00574B4D">
        <w:rPr>
          <w:rFonts w:ascii="Times New Roman" w:eastAsia="Times New Roman" w:hAnsi="Times New Roman"/>
          <w:bCs/>
          <w:sz w:val="24"/>
          <w:szCs w:val="24"/>
        </w:rPr>
        <w:t>4</w:t>
      </w:r>
      <w:r>
        <w:rPr>
          <w:rFonts w:ascii="Times New Roman" w:eastAsia="Times New Roman" w:hAnsi="Times New Roman"/>
          <w:bCs/>
          <w:sz w:val="24"/>
          <w:szCs w:val="24"/>
        </w:rPr>
        <w:t>.</w:t>
      </w:r>
      <w:r w:rsidR="00E45CEA">
        <w:rPr>
          <w:rFonts w:ascii="Times New Roman" w:eastAsia="Times New Roman" w:hAnsi="Times New Roman"/>
          <w:bCs/>
          <w:sz w:val="24"/>
          <w:szCs w:val="24"/>
        </w:rPr>
        <w:tab/>
      </w:r>
      <w:r w:rsidR="00A53D60" w:rsidRPr="003A1D53">
        <w:rPr>
          <w:rFonts w:ascii="Times New Roman" w:eastAsia="Times New Roman" w:hAnsi="Times New Roman"/>
          <w:bCs/>
          <w:sz w:val="24"/>
          <w:szCs w:val="24"/>
        </w:rPr>
        <w:t>L</w:t>
      </w:r>
      <w:r w:rsidR="00E45CEA" w:rsidRPr="003A1D53">
        <w:rPr>
          <w:rFonts w:ascii="Times New Roman" w:eastAsia="Times New Roman" w:hAnsi="Times New Roman"/>
          <w:bCs/>
          <w:sz w:val="24"/>
          <w:szCs w:val="24"/>
        </w:rPr>
        <w:t>es produits ci-dessous devaient concourir à l’Effet 2 libellé "</w:t>
      </w:r>
      <w:r w:rsidR="004E7599" w:rsidRPr="003A1D53">
        <w:rPr>
          <w:rFonts w:ascii="Times New Roman" w:eastAsia="Times New Roman" w:hAnsi="Times New Roman"/>
          <w:bCs/>
          <w:i/>
          <w:sz w:val="24"/>
          <w:szCs w:val="24"/>
        </w:rPr>
        <w:t>D’ici 2019, la cohésion sociale est facilitée par la justice transitionnelle, le dialogue communautaire inclusif, la culture et l’éducation pour la paix</w:t>
      </w:r>
      <w:r w:rsidR="004E7599" w:rsidRPr="003A1D53">
        <w:rPr>
          <w:rFonts w:ascii="Times New Roman" w:eastAsia="Times New Roman" w:hAnsi="Times New Roman"/>
          <w:bCs/>
          <w:sz w:val="24"/>
          <w:szCs w:val="24"/>
        </w:rPr>
        <w:t>.</w:t>
      </w:r>
      <w:r w:rsidR="00E45CEA" w:rsidRPr="003A1D53">
        <w:rPr>
          <w:rFonts w:ascii="Times New Roman" w:eastAsia="Times New Roman" w:hAnsi="Times New Roman"/>
          <w:bCs/>
          <w:sz w:val="24"/>
          <w:szCs w:val="24"/>
        </w:rPr>
        <w:t xml:space="preserve">" </w:t>
      </w:r>
      <w:r w:rsidR="007175A2" w:rsidRPr="003A1D53">
        <w:rPr>
          <w:rFonts w:ascii="Times New Roman" w:eastAsia="Times New Roman" w:hAnsi="Times New Roman"/>
          <w:bCs/>
          <w:sz w:val="24"/>
          <w:szCs w:val="24"/>
        </w:rPr>
        <w:t>Si les réalisations du programme en matière de justice transitionnelle sont restées faibles, s</w:t>
      </w:r>
      <w:r w:rsidR="00E45CEA" w:rsidRPr="003A1D53">
        <w:rPr>
          <w:rFonts w:ascii="Times New Roman" w:eastAsia="Times New Roman" w:hAnsi="Times New Roman"/>
          <w:bCs/>
          <w:sz w:val="24"/>
          <w:szCs w:val="24"/>
        </w:rPr>
        <w:t>es valeurs ajoutées sont réelles</w:t>
      </w:r>
      <w:r w:rsidR="007175A2" w:rsidRPr="003A1D53">
        <w:rPr>
          <w:rFonts w:ascii="Times New Roman" w:eastAsia="Times New Roman" w:hAnsi="Times New Roman"/>
          <w:bCs/>
          <w:sz w:val="24"/>
          <w:szCs w:val="24"/>
        </w:rPr>
        <w:t>, en revanche, dans les secteurs du dialogue inter et intra communautaire, de l’éducation à la paix et de la sauvegarde du patrimoine culturel. Nonobstant des efforts du Système, la cohésion sociale qui constitue le cœur stratégique de l’Effet est resté</w:t>
      </w:r>
      <w:r w:rsidR="00804D9B" w:rsidRPr="003A1D53">
        <w:rPr>
          <w:rFonts w:ascii="Times New Roman" w:eastAsia="Times New Roman" w:hAnsi="Times New Roman"/>
          <w:bCs/>
          <w:sz w:val="24"/>
          <w:szCs w:val="24"/>
        </w:rPr>
        <w:t>e</w:t>
      </w:r>
      <w:r w:rsidR="007175A2" w:rsidRPr="003A1D53">
        <w:rPr>
          <w:rFonts w:ascii="Times New Roman" w:eastAsia="Times New Roman" w:hAnsi="Times New Roman"/>
          <w:bCs/>
          <w:sz w:val="24"/>
          <w:szCs w:val="24"/>
        </w:rPr>
        <w:t xml:space="preserve"> un lieu de préoccupation, comme l’illustrent l’indicateur</w:t>
      </w:r>
      <w:r w:rsidR="0017347A" w:rsidRPr="003A1D53">
        <w:rPr>
          <w:rFonts w:ascii="Times New Roman" w:eastAsia="Times New Roman" w:hAnsi="Times New Roman"/>
          <w:bCs/>
          <w:sz w:val="24"/>
          <w:szCs w:val="24"/>
        </w:rPr>
        <w:t xml:space="preserve"> de confiance sécuritaire (50%)</w:t>
      </w:r>
      <w:r w:rsidR="007175A2" w:rsidRPr="003A1D53">
        <w:rPr>
          <w:rFonts w:ascii="Times New Roman" w:eastAsia="Times New Roman" w:hAnsi="Times New Roman"/>
          <w:bCs/>
          <w:sz w:val="24"/>
          <w:szCs w:val="24"/>
        </w:rPr>
        <w:t xml:space="preserve"> et</w:t>
      </w:r>
      <w:r w:rsidR="0017347A" w:rsidRPr="003A1D53">
        <w:rPr>
          <w:rFonts w:ascii="Times New Roman" w:eastAsia="Times New Roman" w:hAnsi="Times New Roman"/>
          <w:bCs/>
          <w:sz w:val="24"/>
          <w:szCs w:val="24"/>
        </w:rPr>
        <w:t>,</w:t>
      </w:r>
      <w:r w:rsidR="007175A2" w:rsidRPr="003A1D53">
        <w:rPr>
          <w:rFonts w:ascii="Times New Roman" w:eastAsia="Times New Roman" w:hAnsi="Times New Roman"/>
          <w:bCs/>
          <w:sz w:val="24"/>
          <w:szCs w:val="24"/>
        </w:rPr>
        <w:t xml:space="preserve"> surtout</w:t>
      </w:r>
      <w:r w:rsidR="0017347A" w:rsidRPr="003A1D53">
        <w:rPr>
          <w:rFonts w:ascii="Times New Roman" w:eastAsia="Times New Roman" w:hAnsi="Times New Roman"/>
          <w:bCs/>
          <w:sz w:val="24"/>
          <w:szCs w:val="24"/>
        </w:rPr>
        <w:t>,</w:t>
      </w:r>
      <w:r w:rsidR="007175A2" w:rsidRPr="003A1D53">
        <w:rPr>
          <w:rFonts w:ascii="Times New Roman" w:eastAsia="Times New Roman" w:hAnsi="Times New Roman"/>
          <w:bCs/>
          <w:sz w:val="24"/>
          <w:szCs w:val="24"/>
        </w:rPr>
        <w:t xml:space="preserve"> la faible proportion (12%) de</w:t>
      </w:r>
      <w:r w:rsidR="004E7599" w:rsidRPr="003A1D53">
        <w:rPr>
          <w:rFonts w:ascii="Times New Roman" w:eastAsia="Times New Roman" w:hAnsi="Times New Roman"/>
          <w:bCs/>
          <w:sz w:val="24"/>
          <w:szCs w:val="24"/>
        </w:rPr>
        <w:t>s personnes anciennement déplacées</w:t>
      </w:r>
      <w:r w:rsidR="007175A2" w:rsidRPr="003A1D53">
        <w:rPr>
          <w:rFonts w:ascii="Times New Roman" w:eastAsia="Times New Roman" w:hAnsi="Times New Roman"/>
          <w:bCs/>
          <w:sz w:val="24"/>
          <w:szCs w:val="24"/>
        </w:rPr>
        <w:t xml:space="preserve"> qui </w:t>
      </w:r>
      <w:r w:rsidR="004E7599" w:rsidRPr="003A1D53">
        <w:rPr>
          <w:rFonts w:ascii="Times New Roman" w:eastAsia="Times New Roman" w:hAnsi="Times New Roman"/>
          <w:bCs/>
          <w:sz w:val="24"/>
          <w:szCs w:val="24"/>
        </w:rPr>
        <w:t>parv</w:t>
      </w:r>
      <w:r w:rsidR="007175A2" w:rsidRPr="003A1D53">
        <w:rPr>
          <w:rFonts w:ascii="Times New Roman" w:eastAsia="Times New Roman" w:hAnsi="Times New Roman"/>
          <w:bCs/>
          <w:sz w:val="24"/>
          <w:szCs w:val="24"/>
        </w:rPr>
        <w:t xml:space="preserve">iennent à se maintenir dans leur communauté d’origine après </w:t>
      </w:r>
      <w:r w:rsidR="0017347A" w:rsidRPr="003A1D53">
        <w:rPr>
          <w:rFonts w:ascii="Times New Roman" w:eastAsia="Times New Roman" w:hAnsi="Times New Roman"/>
          <w:bCs/>
          <w:sz w:val="24"/>
          <w:szCs w:val="24"/>
        </w:rPr>
        <w:t>que l’on a tenté de les y réinstallées</w:t>
      </w:r>
      <w:r w:rsidR="007175A2" w:rsidRPr="003A1D53">
        <w:rPr>
          <w:rFonts w:ascii="Times New Roman" w:eastAsia="Times New Roman" w:hAnsi="Times New Roman"/>
          <w:bCs/>
          <w:sz w:val="24"/>
          <w:szCs w:val="24"/>
        </w:rPr>
        <w:t>.</w:t>
      </w:r>
    </w:p>
    <w:p w14:paraId="604B51E2" w14:textId="77777777" w:rsidR="00A53D60" w:rsidRPr="003A1D53" w:rsidRDefault="00A53D60" w:rsidP="00A53D60">
      <w:pPr>
        <w:spacing w:after="0" w:line="240" w:lineRule="auto"/>
        <w:jc w:val="both"/>
        <w:rPr>
          <w:rFonts w:ascii="Times New Roman" w:hAnsi="Times New Roman"/>
          <w:sz w:val="24"/>
          <w:szCs w:val="24"/>
        </w:rPr>
      </w:pPr>
    </w:p>
    <w:p w14:paraId="604B51E3" w14:textId="77777777" w:rsidR="00A53D60" w:rsidRDefault="007E34BC" w:rsidP="00A53D60">
      <w:pPr>
        <w:spacing w:after="0" w:line="240" w:lineRule="auto"/>
        <w:jc w:val="both"/>
        <w:rPr>
          <w:rFonts w:ascii="Times New Roman" w:hAnsi="Times New Roman"/>
          <w:sz w:val="24"/>
          <w:szCs w:val="24"/>
        </w:rPr>
      </w:pPr>
      <w:r w:rsidRPr="003A1D53">
        <w:rPr>
          <w:rFonts w:ascii="Times New Roman" w:hAnsi="Times New Roman"/>
          <w:sz w:val="24"/>
          <w:szCs w:val="24"/>
        </w:rPr>
        <w:t>9</w:t>
      </w:r>
      <w:r w:rsidR="00574B4D" w:rsidRPr="003A1D53">
        <w:rPr>
          <w:rFonts w:ascii="Times New Roman" w:hAnsi="Times New Roman"/>
          <w:sz w:val="24"/>
          <w:szCs w:val="24"/>
        </w:rPr>
        <w:t>5</w:t>
      </w:r>
      <w:r w:rsidRPr="003A1D53">
        <w:rPr>
          <w:rFonts w:ascii="Times New Roman" w:hAnsi="Times New Roman"/>
          <w:sz w:val="24"/>
          <w:szCs w:val="24"/>
        </w:rPr>
        <w:t>.</w:t>
      </w:r>
      <w:r w:rsidR="00A53D60" w:rsidRPr="003A1D53">
        <w:rPr>
          <w:rFonts w:ascii="Times New Roman" w:hAnsi="Times New Roman"/>
          <w:sz w:val="24"/>
          <w:szCs w:val="24"/>
        </w:rPr>
        <w:tab/>
        <w:t>En direction des Objectifs de Développement Durable, les contributions du programme sous l’Effet 3 résonnent sur l’objectif 16, "Promouvoir l’avènement de sociétés pacifiques et ouvertes aux fins du développement durable, assurer à tous l’accès à la justice et mettre en place, à tous les niveaux, des institutions efficaces, responsables et ouvertes", étant entendu que cet objectif est un cadre global de facilitation de la réalisation des autres. Les contributions portent davantage sur les aspects paix et de vivre ensemble qui occupent le haut dans le libellé de l’objectif.</w:t>
      </w:r>
    </w:p>
    <w:p w14:paraId="604B51E4" w14:textId="77777777" w:rsidR="007E3885" w:rsidRPr="007E3885" w:rsidRDefault="007E3885" w:rsidP="005B22B2">
      <w:pPr>
        <w:spacing w:after="0" w:line="240" w:lineRule="auto"/>
      </w:pPr>
    </w:p>
    <w:p w14:paraId="604B51E5" w14:textId="77777777" w:rsidR="007E3885" w:rsidRPr="006B309F" w:rsidRDefault="00584418" w:rsidP="005B22B2">
      <w:pPr>
        <w:pStyle w:val="Titre4"/>
        <w:numPr>
          <w:ilvl w:val="3"/>
          <w:numId w:val="4"/>
        </w:numPr>
        <w:spacing w:before="0" w:line="240" w:lineRule="auto"/>
        <w:rPr>
          <w:rFonts w:ascii="Times New Roman" w:hAnsi="Times New Roman"/>
          <w:i w:val="0"/>
          <w:color w:val="auto"/>
          <w:sz w:val="24"/>
          <w:szCs w:val="24"/>
        </w:rPr>
      </w:pPr>
      <w:r>
        <w:rPr>
          <w:rFonts w:ascii="Times New Roman" w:hAnsi="Times New Roman"/>
          <w:i w:val="0"/>
          <w:color w:val="auto"/>
          <w:sz w:val="24"/>
          <w:szCs w:val="24"/>
        </w:rPr>
        <w:lastRenderedPageBreak/>
        <w:t xml:space="preserve">Facteurs explicatifs : forces et faiblesses de la mise en œuvre de contributions sous l’Effet </w:t>
      </w:r>
      <w:r w:rsidR="00026F23">
        <w:rPr>
          <w:rFonts w:ascii="Times New Roman" w:hAnsi="Times New Roman"/>
          <w:i w:val="0"/>
          <w:color w:val="auto"/>
          <w:sz w:val="24"/>
          <w:szCs w:val="24"/>
        </w:rPr>
        <w:t>2</w:t>
      </w:r>
    </w:p>
    <w:p w14:paraId="604B51E6" w14:textId="77777777" w:rsidR="00026F23" w:rsidRDefault="00026F23" w:rsidP="00026F23">
      <w:pPr>
        <w:spacing w:after="0" w:line="240" w:lineRule="auto"/>
        <w:jc w:val="both"/>
        <w:rPr>
          <w:rFonts w:ascii="Times New Roman" w:eastAsia="Times New Roman" w:hAnsi="Times New Roman"/>
          <w:sz w:val="24"/>
          <w:szCs w:val="24"/>
          <w:lang w:bidi="en-US"/>
        </w:rPr>
      </w:pPr>
    </w:p>
    <w:p w14:paraId="604B51E7" w14:textId="425DC5F4" w:rsidR="00026F23" w:rsidRPr="003A1D53" w:rsidRDefault="007E34BC" w:rsidP="00026F23">
      <w:pPr>
        <w:spacing w:after="0" w:line="240" w:lineRule="auto"/>
        <w:jc w:val="both"/>
        <w:rPr>
          <w:rFonts w:ascii="Times New Roman" w:eastAsia="Times New Roman" w:hAnsi="Times New Roman"/>
          <w:sz w:val="24"/>
          <w:szCs w:val="24"/>
          <w:lang w:eastAsia="fr-FR" w:bidi="en-US"/>
        </w:rPr>
      </w:pPr>
      <w:r w:rsidRPr="003A1D53">
        <w:rPr>
          <w:rFonts w:ascii="Times New Roman" w:eastAsia="Times New Roman" w:hAnsi="Times New Roman"/>
          <w:sz w:val="24"/>
          <w:szCs w:val="24"/>
          <w:lang w:bidi="en-US"/>
        </w:rPr>
        <w:t>9</w:t>
      </w:r>
      <w:r w:rsidR="00574B4D" w:rsidRPr="003A1D53">
        <w:rPr>
          <w:rFonts w:ascii="Times New Roman" w:eastAsia="Times New Roman" w:hAnsi="Times New Roman"/>
          <w:sz w:val="24"/>
          <w:szCs w:val="24"/>
          <w:lang w:bidi="en-US"/>
        </w:rPr>
        <w:t>6</w:t>
      </w:r>
      <w:r w:rsidRPr="003A1D53">
        <w:rPr>
          <w:rFonts w:ascii="Times New Roman" w:eastAsia="Times New Roman" w:hAnsi="Times New Roman"/>
          <w:sz w:val="24"/>
          <w:szCs w:val="24"/>
          <w:lang w:bidi="en-US"/>
        </w:rPr>
        <w:t>.</w:t>
      </w:r>
      <w:r w:rsidR="00026F23" w:rsidRPr="003A1D53">
        <w:rPr>
          <w:rFonts w:ascii="Times New Roman" w:eastAsia="Times New Roman" w:hAnsi="Times New Roman"/>
          <w:sz w:val="24"/>
          <w:szCs w:val="24"/>
          <w:lang w:bidi="en-US"/>
        </w:rPr>
        <w:tab/>
        <w:t xml:space="preserve">Les résultats obtenus dans le cadre de l’Effet ont été favorisés par, notamment : la mise en place et l’opérationnalisation technique de la </w:t>
      </w:r>
      <w:r w:rsidR="00026F23" w:rsidRPr="003A1D53">
        <w:rPr>
          <w:rFonts w:ascii="Times New Roman" w:eastAsia="Times New Roman" w:hAnsi="Times New Roman"/>
          <w:sz w:val="24"/>
          <w:szCs w:val="24"/>
          <w:lang w:eastAsia="fr-FR" w:bidi="en-US"/>
        </w:rPr>
        <w:t xml:space="preserve"> Commission Justice Vérité et Réconciliation dont 50 membres on été capacités et où a été déployé un officier des droits de l'homme, même si le défi du nombre de cas examiné demeure prégnant ; les campagnes de sensibilisation et d’information sur la cohésion sociale et l’atténu</w:t>
      </w:r>
      <w:r w:rsidR="003A1D53">
        <w:rPr>
          <w:rFonts w:ascii="Times New Roman" w:eastAsia="Times New Roman" w:hAnsi="Times New Roman"/>
          <w:sz w:val="24"/>
          <w:szCs w:val="24"/>
          <w:lang w:eastAsia="fr-FR" w:bidi="en-US"/>
        </w:rPr>
        <w:t xml:space="preserve">ation des tensions intra/inter </w:t>
      </w:r>
      <w:r w:rsidR="00026F23" w:rsidRPr="003A1D53">
        <w:rPr>
          <w:rFonts w:ascii="Times New Roman" w:eastAsia="Times New Roman" w:hAnsi="Times New Roman"/>
          <w:sz w:val="24"/>
          <w:szCs w:val="24"/>
          <w:lang w:eastAsia="fr-FR" w:bidi="en-US"/>
        </w:rPr>
        <w:t>communautaires ; le développement d’alternatives économiques (surtout dans les secteurs de l’agriculture, de l’élevage et de l’artisanat) ayant aidé à recréer un socle socioéconomique partagé pour diverses communautés.</w:t>
      </w:r>
    </w:p>
    <w:p w14:paraId="604B51E8" w14:textId="77777777" w:rsidR="00F72C0F" w:rsidRPr="003A1D53" w:rsidRDefault="00F72C0F" w:rsidP="005B22B2">
      <w:pPr>
        <w:spacing w:after="0" w:line="240" w:lineRule="auto"/>
        <w:rPr>
          <w:rFonts w:ascii="Times New Roman" w:hAnsi="Times New Roman"/>
          <w:sz w:val="20"/>
          <w:szCs w:val="20"/>
          <w:u w:val="single"/>
        </w:rPr>
      </w:pPr>
    </w:p>
    <w:p w14:paraId="604B51E9" w14:textId="77777777" w:rsidR="00584418" w:rsidRPr="00584418" w:rsidRDefault="007E34BC" w:rsidP="009B6B1D">
      <w:pPr>
        <w:spacing w:after="0" w:line="240" w:lineRule="auto"/>
        <w:contextualSpacing/>
        <w:jc w:val="both"/>
        <w:rPr>
          <w:rFonts w:ascii="Times New Roman" w:eastAsia="Times New Roman" w:hAnsi="Times New Roman"/>
          <w:sz w:val="24"/>
          <w:szCs w:val="24"/>
          <w:lang w:bidi="en-US"/>
        </w:rPr>
      </w:pPr>
      <w:r w:rsidRPr="003A1D53">
        <w:rPr>
          <w:rFonts w:ascii="Times New Roman" w:eastAsia="Times New Roman" w:hAnsi="Times New Roman"/>
          <w:sz w:val="24"/>
          <w:szCs w:val="24"/>
          <w:lang w:bidi="en-US"/>
        </w:rPr>
        <w:t>9</w:t>
      </w:r>
      <w:r w:rsidR="00574B4D" w:rsidRPr="003A1D53">
        <w:rPr>
          <w:rFonts w:ascii="Times New Roman" w:eastAsia="Times New Roman" w:hAnsi="Times New Roman"/>
          <w:sz w:val="24"/>
          <w:szCs w:val="24"/>
          <w:lang w:bidi="en-US"/>
        </w:rPr>
        <w:t>7</w:t>
      </w:r>
      <w:r w:rsidRPr="003A1D53">
        <w:rPr>
          <w:rFonts w:ascii="Times New Roman" w:eastAsia="Times New Roman" w:hAnsi="Times New Roman"/>
          <w:sz w:val="24"/>
          <w:szCs w:val="24"/>
          <w:lang w:bidi="en-US"/>
        </w:rPr>
        <w:t>.</w:t>
      </w:r>
      <w:r w:rsidR="009B6B1D" w:rsidRPr="003A1D53">
        <w:rPr>
          <w:rFonts w:ascii="Times New Roman" w:eastAsia="Times New Roman" w:hAnsi="Times New Roman"/>
          <w:sz w:val="24"/>
          <w:szCs w:val="24"/>
          <w:lang w:bidi="en-US"/>
        </w:rPr>
        <w:tab/>
      </w:r>
      <w:r w:rsidR="00584418" w:rsidRPr="003A1D53">
        <w:rPr>
          <w:rFonts w:ascii="Times New Roman" w:eastAsia="Times New Roman" w:hAnsi="Times New Roman"/>
          <w:sz w:val="24"/>
          <w:szCs w:val="24"/>
          <w:lang w:bidi="en-US"/>
        </w:rPr>
        <w:t>L</w:t>
      </w:r>
      <w:r w:rsidR="00A47DED" w:rsidRPr="003A1D53">
        <w:rPr>
          <w:rFonts w:ascii="Times New Roman" w:eastAsia="Times New Roman" w:hAnsi="Times New Roman"/>
          <w:sz w:val="24"/>
          <w:szCs w:val="24"/>
          <w:lang w:bidi="en-US"/>
        </w:rPr>
        <w:t>a mise en place des produits liés à l’Effet 2 a été entravée par un certain nombre de difficultés. L</w:t>
      </w:r>
      <w:r w:rsidR="00584418" w:rsidRPr="003A1D53">
        <w:rPr>
          <w:rFonts w:ascii="Times New Roman" w:eastAsia="Times New Roman" w:hAnsi="Times New Roman"/>
          <w:color w:val="000000"/>
          <w:sz w:val="24"/>
          <w:szCs w:val="24"/>
          <w:lang w:eastAsia="fr-FR" w:bidi="en-US"/>
        </w:rPr>
        <w:t>e contexte sécuritaire dans les régions du nord, de la région de Mopti et de certaines parties de la région de Ségou</w:t>
      </w:r>
      <w:r w:rsidR="00026F23" w:rsidRPr="003A1D53">
        <w:rPr>
          <w:rFonts w:ascii="Times New Roman" w:eastAsia="Times New Roman" w:hAnsi="Times New Roman"/>
          <w:color w:val="000000"/>
          <w:sz w:val="24"/>
          <w:szCs w:val="24"/>
          <w:lang w:eastAsia="fr-FR" w:bidi="en-US"/>
        </w:rPr>
        <w:t>,</w:t>
      </w:r>
      <w:r w:rsidR="00A47DED" w:rsidRPr="003A1D53">
        <w:rPr>
          <w:rFonts w:ascii="Times New Roman" w:eastAsia="Times New Roman" w:hAnsi="Times New Roman"/>
          <w:color w:val="000000"/>
          <w:sz w:val="24"/>
          <w:szCs w:val="24"/>
          <w:lang w:eastAsia="fr-FR" w:bidi="en-US"/>
        </w:rPr>
        <w:t xml:space="preserve"> ressort comme la première contrainte rencontrée. L</w:t>
      </w:r>
      <w:r w:rsidR="00584418" w:rsidRPr="003A1D53">
        <w:rPr>
          <w:rFonts w:ascii="Times New Roman" w:eastAsia="Times New Roman" w:hAnsi="Times New Roman"/>
          <w:sz w:val="24"/>
          <w:szCs w:val="24"/>
          <w:lang w:eastAsia="fr-FR" w:bidi="en-US"/>
        </w:rPr>
        <w:t>e déploiement difficile</w:t>
      </w:r>
      <w:r w:rsidR="00026F23" w:rsidRPr="003A1D53">
        <w:rPr>
          <w:rFonts w:ascii="Times New Roman" w:eastAsia="Times New Roman" w:hAnsi="Times New Roman"/>
          <w:sz w:val="24"/>
          <w:szCs w:val="24"/>
          <w:lang w:eastAsia="fr-FR" w:bidi="en-US"/>
        </w:rPr>
        <w:t>, en tout cas incomplet,</w:t>
      </w:r>
      <w:r w:rsidR="00584418" w:rsidRPr="003A1D53">
        <w:rPr>
          <w:rFonts w:ascii="Times New Roman" w:eastAsia="Times New Roman" w:hAnsi="Times New Roman"/>
          <w:sz w:val="24"/>
          <w:szCs w:val="24"/>
          <w:lang w:eastAsia="fr-FR" w:bidi="en-US"/>
        </w:rPr>
        <w:t xml:space="preserve"> des autorités judiciaires dans les régions du nord et centre du pays où vivent la plupart des cas de violations sont constatés</w:t>
      </w:r>
      <w:r w:rsidR="00A47DED" w:rsidRPr="003A1D53">
        <w:rPr>
          <w:rFonts w:ascii="Times New Roman" w:eastAsia="Times New Roman" w:hAnsi="Times New Roman"/>
          <w:sz w:val="24"/>
          <w:szCs w:val="24"/>
          <w:lang w:bidi="en-US"/>
        </w:rPr>
        <w:t xml:space="preserve">, aura également été un facteur d’inertie. </w:t>
      </w:r>
      <w:r w:rsidR="009B6B1D" w:rsidRPr="003A1D53">
        <w:rPr>
          <w:rFonts w:ascii="Times New Roman" w:eastAsia="Times New Roman" w:hAnsi="Times New Roman"/>
          <w:sz w:val="24"/>
          <w:szCs w:val="24"/>
          <w:lang w:bidi="en-US"/>
        </w:rPr>
        <w:t>L’instabilité de certaines cibles et de leurs communautés, qui connaissent des mouvements récurrents, n’a pas non permis une bonne continuité dans les activités les concernant. Sur un plan intrinsèque, l’Effet 2 est, de 5 effets du programme, le moins capitalisé, avec à peine 21 millions de dollar sur la période sous revue.</w:t>
      </w:r>
    </w:p>
    <w:p w14:paraId="604B51EA" w14:textId="77777777" w:rsidR="00567B21" w:rsidRPr="000031A7" w:rsidRDefault="00567B21" w:rsidP="005B22B2">
      <w:pPr>
        <w:spacing w:after="0" w:line="240" w:lineRule="auto"/>
        <w:rPr>
          <w:rFonts w:ascii="Times New Roman" w:hAnsi="Times New Roman"/>
          <w:sz w:val="20"/>
          <w:szCs w:val="20"/>
        </w:rPr>
      </w:pPr>
    </w:p>
    <w:p w14:paraId="604B51EB" w14:textId="77777777" w:rsidR="00BA3DC6" w:rsidRPr="008A2CF5" w:rsidRDefault="004C1CD9" w:rsidP="005B22B2">
      <w:pPr>
        <w:pStyle w:val="Titre3"/>
        <w:numPr>
          <w:ilvl w:val="2"/>
          <w:numId w:val="4"/>
        </w:numPr>
        <w:shd w:val="clear" w:color="auto" w:fill="DEEAF6" w:themeFill="accent1" w:themeFillTint="33"/>
        <w:spacing w:before="0" w:line="240" w:lineRule="auto"/>
        <w:jc w:val="both"/>
        <w:rPr>
          <w:rFonts w:ascii="Times New Roman" w:hAnsi="Times New Roman"/>
          <w:color w:val="auto"/>
          <w:sz w:val="24"/>
          <w:szCs w:val="24"/>
        </w:rPr>
      </w:pPr>
      <w:bookmarkStart w:id="200" w:name="_Toc499211614"/>
      <w:bookmarkStart w:id="201" w:name="_Toc500974540"/>
      <w:bookmarkStart w:id="202" w:name="_Toc502863892"/>
      <w:bookmarkStart w:id="203" w:name="_Toc505758479"/>
      <w:bookmarkStart w:id="204" w:name="_Toc506201571"/>
      <w:r w:rsidRPr="008A2CF5">
        <w:rPr>
          <w:rFonts w:ascii="Times New Roman" w:hAnsi="Times New Roman"/>
          <w:color w:val="auto"/>
          <w:sz w:val="24"/>
          <w:szCs w:val="24"/>
        </w:rPr>
        <w:t>Effet</w:t>
      </w:r>
      <w:r w:rsidR="00414C56" w:rsidRPr="008A2CF5">
        <w:rPr>
          <w:rFonts w:ascii="Times New Roman" w:hAnsi="Times New Roman"/>
          <w:color w:val="auto"/>
          <w:sz w:val="24"/>
          <w:szCs w:val="24"/>
        </w:rPr>
        <w:t xml:space="preserve"> 3 : "</w:t>
      </w:r>
      <w:r w:rsidR="008A2CF5" w:rsidRPr="008A2CF5">
        <w:rPr>
          <w:rFonts w:ascii="Times New Roman" w:hAnsi="Times New Roman"/>
          <w:color w:val="auto"/>
          <w:sz w:val="24"/>
          <w:szCs w:val="24"/>
        </w:rPr>
        <w:t>Les institutions étatiques, nationales et locales, exercent de manière plus efficace leurs missions de service public et les acteurs non étatiques participent et assurent le contrôle citoyen en conformité avec les principes de bonne gouvernance et d’Etat de droit</w:t>
      </w:r>
      <w:r w:rsidRPr="008A2CF5">
        <w:t>.</w:t>
      </w:r>
      <w:r w:rsidR="00414C56" w:rsidRPr="008A2CF5">
        <w:rPr>
          <w:rFonts w:ascii="Times New Roman" w:hAnsi="Times New Roman"/>
          <w:color w:val="auto"/>
          <w:sz w:val="24"/>
          <w:szCs w:val="24"/>
        </w:rPr>
        <w:t>"</w:t>
      </w:r>
      <w:bookmarkEnd w:id="200"/>
      <w:bookmarkEnd w:id="201"/>
      <w:bookmarkEnd w:id="202"/>
      <w:bookmarkEnd w:id="203"/>
      <w:bookmarkEnd w:id="204"/>
    </w:p>
    <w:p w14:paraId="604B51EC" w14:textId="77777777" w:rsidR="00341B08" w:rsidRPr="006B309F" w:rsidRDefault="00341B08" w:rsidP="005B22B2">
      <w:pPr>
        <w:spacing w:after="0" w:line="240" w:lineRule="auto"/>
        <w:jc w:val="both"/>
        <w:rPr>
          <w:rFonts w:ascii="Times New Roman" w:hAnsi="Times New Roman"/>
          <w:bCs/>
          <w:iCs/>
          <w:sz w:val="24"/>
          <w:szCs w:val="24"/>
        </w:rPr>
      </w:pPr>
    </w:p>
    <w:p w14:paraId="604B51ED" w14:textId="77777777" w:rsidR="00341B08" w:rsidRPr="006B309F" w:rsidRDefault="00414C56" w:rsidP="005B22B2">
      <w:pPr>
        <w:pStyle w:val="Titre4"/>
        <w:numPr>
          <w:ilvl w:val="3"/>
          <w:numId w:val="4"/>
        </w:numPr>
        <w:spacing w:before="0" w:line="240" w:lineRule="auto"/>
        <w:rPr>
          <w:rFonts w:ascii="Times New Roman" w:hAnsi="Times New Roman"/>
          <w:i w:val="0"/>
          <w:color w:val="auto"/>
          <w:sz w:val="24"/>
          <w:szCs w:val="24"/>
        </w:rPr>
      </w:pPr>
      <w:r>
        <w:rPr>
          <w:rFonts w:ascii="Times New Roman" w:hAnsi="Times New Roman"/>
          <w:i w:val="0"/>
          <w:color w:val="auto"/>
          <w:sz w:val="24"/>
          <w:szCs w:val="24"/>
        </w:rPr>
        <w:t xml:space="preserve">Résultats obtenus par le pays dans le domaine </w:t>
      </w:r>
      <w:r w:rsidR="00105857">
        <w:rPr>
          <w:rFonts w:ascii="Times New Roman" w:hAnsi="Times New Roman"/>
          <w:i w:val="0"/>
          <w:color w:val="auto"/>
          <w:sz w:val="24"/>
          <w:szCs w:val="24"/>
        </w:rPr>
        <w:t>de l’Effet 3</w:t>
      </w:r>
    </w:p>
    <w:p w14:paraId="604B51EE" w14:textId="77777777" w:rsidR="00CC3FF4" w:rsidRDefault="00CC3FF4" w:rsidP="005B22B2">
      <w:pPr>
        <w:spacing w:after="0" w:line="240" w:lineRule="auto"/>
        <w:ind w:left="720"/>
        <w:jc w:val="both"/>
        <w:rPr>
          <w:rFonts w:ascii="Times New Roman" w:eastAsia="Times New Roman" w:hAnsi="Times New Roman"/>
          <w:bCs/>
          <w:sz w:val="24"/>
          <w:szCs w:val="24"/>
        </w:rPr>
      </w:pPr>
    </w:p>
    <w:p w14:paraId="604B51EF" w14:textId="77777777" w:rsidR="0057261A" w:rsidRDefault="007E34BC"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9</w:t>
      </w:r>
      <w:r w:rsidR="00574B4D">
        <w:rPr>
          <w:rFonts w:ascii="Times New Roman" w:eastAsia="Times New Roman" w:hAnsi="Times New Roman"/>
          <w:bCs/>
          <w:sz w:val="24"/>
          <w:szCs w:val="24"/>
        </w:rPr>
        <w:t>8</w:t>
      </w:r>
      <w:r w:rsidR="0048539E">
        <w:rPr>
          <w:rFonts w:ascii="Times New Roman" w:eastAsia="Times New Roman" w:hAnsi="Times New Roman"/>
          <w:bCs/>
          <w:sz w:val="24"/>
          <w:szCs w:val="24"/>
        </w:rPr>
        <w:t>.</w:t>
      </w:r>
      <w:r w:rsidR="00B10696">
        <w:rPr>
          <w:rFonts w:ascii="Times New Roman" w:eastAsia="Times New Roman" w:hAnsi="Times New Roman"/>
          <w:bCs/>
          <w:sz w:val="24"/>
          <w:szCs w:val="24"/>
        </w:rPr>
        <w:tab/>
      </w:r>
      <w:r w:rsidR="00CC3FF4">
        <w:rPr>
          <w:rFonts w:ascii="Times New Roman" w:eastAsia="Times New Roman" w:hAnsi="Times New Roman"/>
          <w:bCs/>
          <w:sz w:val="24"/>
          <w:szCs w:val="24"/>
        </w:rPr>
        <w:t xml:space="preserve">L’état du pays en rapport avec </w:t>
      </w:r>
      <w:r w:rsidR="00B10696">
        <w:rPr>
          <w:rFonts w:ascii="Times New Roman" w:eastAsia="Times New Roman" w:hAnsi="Times New Roman"/>
          <w:bCs/>
          <w:sz w:val="24"/>
          <w:szCs w:val="24"/>
        </w:rPr>
        <w:t>l’Effet 3, "</w:t>
      </w:r>
      <w:r w:rsidR="00B10696" w:rsidRPr="00026F23">
        <w:rPr>
          <w:rFonts w:ascii="Times New Roman" w:eastAsia="Times New Roman" w:hAnsi="Times New Roman"/>
          <w:bCs/>
          <w:i/>
          <w:sz w:val="24"/>
          <w:szCs w:val="24"/>
        </w:rPr>
        <w:t>Les institutions étatiques, nationales et locales, exercent de manière plus efficace leurs missions de service public et les acteurs non étatiques participent et assurent le contrôle citoyen en conformité avec les principes de bonne gouvernance et d’Etat de droit</w:t>
      </w:r>
      <w:r w:rsidR="00B10696">
        <w:rPr>
          <w:rFonts w:ascii="Times New Roman" w:eastAsia="Times New Roman" w:hAnsi="Times New Roman"/>
          <w:bCs/>
          <w:sz w:val="24"/>
          <w:szCs w:val="24"/>
        </w:rPr>
        <w:t xml:space="preserve">.", devait s’exprimer à travers six indicateurs : </w:t>
      </w:r>
      <w:r w:rsidR="00B10696" w:rsidRPr="00B10696">
        <w:rPr>
          <w:rFonts w:ascii="Times New Roman" w:eastAsia="Times New Roman" w:hAnsi="Times New Roman"/>
          <w:bCs/>
          <w:sz w:val="24"/>
          <w:szCs w:val="24"/>
        </w:rPr>
        <w:t>Mo Ibrahim Index (Score)</w:t>
      </w:r>
      <w:r w:rsidR="00B10696">
        <w:rPr>
          <w:rFonts w:ascii="Times New Roman" w:eastAsia="Times New Roman" w:hAnsi="Times New Roman"/>
          <w:bCs/>
          <w:sz w:val="24"/>
          <w:szCs w:val="24"/>
        </w:rPr>
        <w:t xml:space="preserve"> ; </w:t>
      </w:r>
      <w:r w:rsidR="00026F23">
        <w:rPr>
          <w:rFonts w:ascii="Times New Roman" w:eastAsia="Times New Roman" w:hAnsi="Times New Roman"/>
          <w:bCs/>
          <w:sz w:val="24"/>
          <w:szCs w:val="24"/>
        </w:rPr>
        <w:t xml:space="preserve">Pourcentage de </w:t>
      </w:r>
      <w:r w:rsidR="00B10696" w:rsidRPr="00B10696">
        <w:rPr>
          <w:rFonts w:ascii="Times New Roman" w:eastAsia="Times New Roman" w:hAnsi="Times New Roman"/>
          <w:bCs/>
          <w:sz w:val="24"/>
          <w:szCs w:val="24"/>
        </w:rPr>
        <w:t>la population qui supporte le processus démocratique</w:t>
      </w:r>
      <w:r w:rsidR="00B10696">
        <w:rPr>
          <w:rFonts w:ascii="Times New Roman" w:eastAsia="Times New Roman" w:hAnsi="Times New Roman"/>
          <w:bCs/>
          <w:sz w:val="24"/>
          <w:szCs w:val="24"/>
        </w:rPr>
        <w:t xml:space="preserve"> ; </w:t>
      </w:r>
      <w:r w:rsidR="00B10696" w:rsidRPr="00B10696">
        <w:rPr>
          <w:rFonts w:ascii="Times New Roman" w:eastAsia="Times New Roman" w:hAnsi="Times New Roman"/>
          <w:bCs/>
          <w:sz w:val="24"/>
          <w:szCs w:val="24"/>
        </w:rPr>
        <w:t xml:space="preserve">Nombre d’incidents de violation de droits de l’homme </w:t>
      </w:r>
      <w:r w:rsidR="006B3797">
        <w:rPr>
          <w:rFonts w:ascii="Times New Roman" w:eastAsia="Times New Roman" w:hAnsi="Times New Roman"/>
          <w:bCs/>
          <w:sz w:val="24"/>
          <w:szCs w:val="24"/>
        </w:rPr>
        <w:t>liés</w:t>
      </w:r>
      <w:r w:rsidR="00B10696" w:rsidRPr="00B10696">
        <w:rPr>
          <w:rFonts w:ascii="Times New Roman" w:eastAsia="Times New Roman" w:hAnsi="Times New Roman"/>
          <w:bCs/>
          <w:sz w:val="24"/>
          <w:szCs w:val="24"/>
        </w:rPr>
        <w:t xml:space="preserve"> au conflit et </w:t>
      </w:r>
      <w:r w:rsidR="006B3797">
        <w:rPr>
          <w:rFonts w:ascii="Times New Roman" w:eastAsia="Times New Roman" w:hAnsi="Times New Roman"/>
          <w:bCs/>
          <w:sz w:val="24"/>
          <w:szCs w:val="24"/>
        </w:rPr>
        <w:t>de</w:t>
      </w:r>
      <w:r w:rsidR="00B10696" w:rsidRPr="00B10696">
        <w:rPr>
          <w:rFonts w:ascii="Times New Roman" w:eastAsia="Times New Roman" w:hAnsi="Times New Roman"/>
          <w:bCs/>
          <w:sz w:val="24"/>
          <w:szCs w:val="24"/>
        </w:rPr>
        <w:t xml:space="preserve"> violations du droit international humanitaire</w:t>
      </w:r>
      <w:r w:rsidR="00B10696">
        <w:rPr>
          <w:rFonts w:ascii="Times New Roman" w:eastAsia="Times New Roman" w:hAnsi="Times New Roman"/>
          <w:bCs/>
          <w:sz w:val="24"/>
          <w:szCs w:val="24"/>
        </w:rPr>
        <w:t> ;</w:t>
      </w:r>
      <w:r w:rsidR="00B10696" w:rsidRPr="00B10696">
        <w:rPr>
          <w:rFonts w:ascii="Times New Roman" w:eastAsia="Times New Roman" w:hAnsi="Times New Roman"/>
          <w:bCs/>
          <w:sz w:val="24"/>
          <w:szCs w:val="24"/>
        </w:rPr>
        <w:t>Taux de participation générale aux élections</w:t>
      </w:r>
      <w:r w:rsidR="006B3797">
        <w:rPr>
          <w:rFonts w:ascii="Times New Roman" w:eastAsia="Times New Roman" w:hAnsi="Times New Roman"/>
          <w:bCs/>
          <w:sz w:val="24"/>
          <w:szCs w:val="24"/>
        </w:rPr>
        <w:t>,</w:t>
      </w:r>
      <w:r w:rsidR="00B10696" w:rsidRPr="00B10696">
        <w:rPr>
          <w:rFonts w:ascii="Times New Roman" w:eastAsia="Times New Roman" w:hAnsi="Times New Roman"/>
          <w:bCs/>
          <w:sz w:val="24"/>
          <w:szCs w:val="24"/>
        </w:rPr>
        <w:t xml:space="preserve"> y compris le taux de participation des femmes</w:t>
      </w:r>
      <w:r w:rsidR="00B10696">
        <w:rPr>
          <w:rFonts w:ascii="Times New Roman" w:eastAsia="Times New Roman" w:hAnsi="Times New Roman"/>
          <w:bCs/>
          <w:sz w:val="24"/>
          <w:szCs w:val="24"/>
        </w:rPr>
        <w:t xml:space="preserve"> ; </w:t>
      </w:r>
      <w:r w:rsidR="00B10696" w:rsidRPr="00B10696">
        <w:rPr>
          <w:rFonts w:ascii="Times New Roman" w:eastAsia="Times New Roman" w:hAnsi="Times New Roman"/>
          <w:bCs/>
          <w:sz w:val="24"/>
          <w:szCs w:val="24"/>
        </w:rPr>
        <w:t>Taux de femmes candidates aux élections locales</w:t>
      </w:r>
      <w:r w:rsidR="00B10696">
        <w:rPr>
          <w:rFonts w:ascii="Times New Roman" w:eastAsia="Times New Roman" w:hAnsi="Times New Roman"/>
          <w:bCs/>
          <w:sz w:val="24"/>
          <w:szCs w:val="24"/>
        </w:rPr>
        <w:t xml:space="preserve"> ; et </w:t>
      </w:r>
      <w:r w:rsidR="006B3797">
        <w:rPr>
          <w:rFonts w:ascii="Times New Roman" w:eastAsia="Times New Roman" w:hAnsi="Times New Roman"/>
          <w:bCs/>
          <w:sz w:val="24"/>
          <w:szCs w:val="24"/>
        </w:rPr>
        <w:t xml:space="preserve">Pourcentage </w:t>
      </w:r>
      <w:r w:rsidR="00B10696" w:rsidRPr="00B10696">
        <w:rPr>
          <w:rFonts w:ascii="Times New Roman" w:eastAsia="Times New Roman" w:hAnsi="Times New Roman"/>
          <w:bCs/>
          <w:sz w:val="24"/>
          <w:szCs w:val="24"/>
        </w:rPr>
        <w:t>des ressources de budget de l’Etat transféré</w:t>
      </w:r>
      <w:r w:rsidR="006B3797">
        <w:rPr>
          <w:rFonts w:ascii="Times New Roman" w:eastAsia="Times New Roman" w:hAnsi="Times New Roman"/>
          <w:bCs/>
          <w:sz w:val="24"/>
          <w:szCs w:val="24"/>
        </w:rPr>
        <w:t>es</w:t>
      </w:r>
      <w:r w:rsidR="00B10696" w:rsidRPr="00B10696">
        <w:rPr>
          <w:rFonts w:ascii="Times New Roman" w:eastAsia="Times New Roman" w:hAnsi="Times New Roman"/>
          <w:bCs/>
          <w:sz w:val="24"/>
          <w:szCs w:val="24"/>
        </w:rPr>
        <w:t xml:space="preserve"> aux collectivités</w:t>
      </w:r>
      <w:r w:rsidR="006B3797">
        <w:rPr>
          <w:rFonts w:ascii="Times New Roman" w:eastAsia="Times New Roman" w:hAnsi="Times New Roman"/>
          <w:bCs/>
          <w:sz w:val="24"/>
          <w:szCs w:val="24"/>
        </w:rPr>
        <w:t xml:space="preserve"> territoriales</w:t>
      </w:r>
      <w:r w:rsidR="00B10696" w:rsidRPr="00B10696">
        <w:rPr>
          <w:rFonts w:ascii="Times New Roman" w:eastAsia="Times New Roman" w:hAnsi="Times New Roman"/>
          <w:bCs/>
          <w:sz w:val="24"/>
          <w:szCs w:val="24"/>
        </w:rPr>
        <w:t>.</w:t>
      </w:r>
    </w:p>
    <w:p w14:paraId="604B51F0" w14:textId="77777777" w:rsidR="00B10696" w:rsidRDefault="00B10696" w:rsidP="005B22B2">
      <w:pPr>
        <w:spacing w:after="0" w:line="240" w:lineRule="auto"/>
        <w:jc w:val="both"/>
        <w:rPr>
          <w:rFonts w:ascii="Times New Roman" w:eastAsia="Times New Roman" w:hAnsi="Times New Roman"/>
          <w:bCs/>
          <w:sz w:val="24"/>
          <w:szCs w:val="24"/>
        </w:rPr>
      </w:pPr>
    </w:p>
    <w:p w14:paraId="604B51F1" w14:textId="77777777" w:rsidR="00B10696" w:rsidRDefault="00574B4D"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9</w:t>
      </w:r>
      <w:r w:rsidR="0048539E" w:rsidRPr="00C84BF9">
        <w:rPr>
          <w:rFonts w:ascii="Times New Roman" w:eastAsia="Times New Roman" w:hAnsi="Times New Roman"/>
          <w:bCs/>
          <w:sz w:val="24"/>
          <w:szCs w:val="24"/>
        </w:rPr>
        <w:t>9.</w:t>
      </w:r>
      <w:r w:rsidR="00B10696" w:rsidRPr="00C84BF9">
        <w:rPr>
          <w:rFonts w:ascii="Times New Roman" w:eastAsia="Times New Roman" w:hAnsi="Times New Roman"/>
          <w:bCs/>
          <w:sz w:val="24"/>
          <w:szCs w:val="24"/>
        </w:rPr>
        <w:tab/>
        <w:t xml:space="preserve">La situation du </w:t>
      </w:r>
      <w:r w:rsidR="006B3797" w:rsidRPr="00C84BF9">
        <w:rPr>
          <w:rFonts w:ascii="Times New Roman" w:eastAsia="Times New Roman" w:hAnsi="Times New Roman"/>
          <w:bCs/>
          <w:sz w:val="24"/>
          <w:szCs w:val="24"/>
        </w:rPr>
        <w:t>Mali se</w:t>
      </w:r>
      <w:r w:rsidR="00B10696" w:rsidRPr="00C84BF9">
        <w:rPr>
          <w:rFonts w:ascii="Times New Roman" w:eastAsia="Times New Roman" w:hAnsi="Times New Roman"/>
          <w:bCs/>
          <w:sz w:val="24"/>
          <w:szCs w:val="24"/>
        </w:rPr>
        <w:t xml:space="preserve"> dégrade s’agissant </w:t>
      </w:r>
      <w:r w:rsidR="006B3797" w:rsidRPr="00C84BF9">
        <w:rPr>
          <w:rFonts w:ascii="Times New Roman" w:eastAsia="Times New Roman" w:hAnsi="Times New Roman"/>
          <w:bCs/>
          <w:sz w:val="24"/>
          <w:szCs w:val="24"/>
        </w:rPr>
        <w:t xml:space="preserve">de </w:t>
      </w:r>
      <w:r w:rsidR="00B10696" w:rsidRPr="00C84BF9">
        <w:rPr>
          <w:rFonts w:ascii="Times New Roman" w:eastAsia="Times New Roman" w:hAnsi="Times New Roman"/>
          <w:bCs/>
          <w:sz w:val="24"/>
          <w:szCs w:val="24"/>
        </w:rPr>
        <w:t>l’indice de qualité de gouvernance, et les violations du droit international humain et humanitaire, du fait sans doute de la persistance de la crise qui continue donc à déstructurer l’environnement institutionnel, tandis que l’insécurité pèse négativement sur les ressorts de droit.</w:t>
      </w:r>
      <w:r w:rsidR="00F04EB5" w:rsidRPr="00C84BF9">
        <w:rPr>
          <w:rFonts w:ascii="Times New Roman" w:eastAsia="Times New Roman" w:hAnsi="Times New Roman"/>
          <w:bCs/>
          <w:sz w:val="24"/>
          <w:szCs w:val="24"/>
        </w:rPr>
        <w:t xml:space="preserve"> La situation est</w:t>
      </w:r>
      <w:r w:rsidR="006B3797" w:rsidRPr="00C84BF9">
        <w:rPr>
          <w:rFonts w:ascii="Times New Roman" w:eastAsia="Times New Roman" w:hAnsi="Times New Roman"/>
          <w:bCs/>
          <w:sz w:val="24"/>
          <w:szCs w:val="24"/>
        </w:rPr>
        <w:t>,</w:t>
      </w:r>
      <w:r w:rsidR="00F04EB5" w:rsidRPr="00C84BF9">
        <w:rPr>
          <w:rFonts w:ascii="Times New Roman" w:eastAsia="Times New Roman" w:hAnsi="Times New Roman"/>
          <w:bCs/>
          <w:sz w:val="24"/>
          <w:szCs w:val="24"/>
        </w:rPr>
        <w:t xml:space="preserve"> en revanche</w:t>
      </w:r>
      <w:r w:rsidR="006B3797" w:rsidRPr="00C84BF9">
        <w:rPr>
          <w:rFonts w:ascii="Times New Roman" w:eastAsia="Times New Roman" w:hAnsi="Times New Roman"/>
          <w:bCs/>
          <w:sz w:val="24"/>
          <w:szCs w:val="24"/>
        </w:rPr>
        <w:t>,</w:t>
      </w:r>
      <w:r w:rsidR="00F04EB5" w:rsidRPr="00C84BF9">
        <w:rPr>
          <w:rFonts w:ascii="Times New Roman" w:eastAsia="Times New Roman" w:hAnsi="Times New Roman"/>
          <w:bCs/>
          <w:sz w:val="24"/>
          <w:szCs w:val="24"/>
        </w:rPr>
        <w:t xml:space="preserve"> en évolution favorable s</w:t>
      </w:r>
      <w:r w:rsidR="006B3797" w:rsidRPr="00C84BF9">
        <w:rPr>
          <w:rFonts w:ascii="Times New Roman" w:eastAsia="Times New Roman" w:hAnsi="Times New Roman"/>
          <w:bCs/>
          <w:sz w:val="24"/>
          <w:szCs w:val="24"/>
        </w:rPr>
        <w:t xml:space="preserve">ur </w:t>
      </w:r>
      <w:r w:rsidR="00F04EB5" w:rsidRPr="00C84BF9">
        <w:rPr>
          <w:rFonts w:ascii="Times New Roman" w:eastAsia="Times New Roman" w:hAnsi="Times New Roman"/>
          <w:bCs/>
          <w:sz w:val="24"/>
          <w:szCs w:val="24"/>
        </w:rPr>
        <w:t>la part</w:t>
      </w:r>
      <w:r w:rsidR="006B3797" w:rsidRPr="00C84BF9">
        <w:rPr>
          <w:rFonts w:ascii="Times New Roman" w:eastAsia="Times New Roman" w:hAnsi="Times New Roman"/>
          <w:bCs/>
          <w:sz w:val="24"/>
          <w:szCs w:val="24"/>
        </w:rPr>
        <w:t>icipation électorale en général</w:t>
      </w:r>
      <w:r w:rsidR="00F04EB5" w:rsidRPr="00C84BF9">
        <w:rPr>
          <w:rFonts w:ascii="Times New Roman" w:eastAsia="Times New Roman" w:hAnsi="Times New Roman"/>
          <w:bCs/>
          <w:sz w:val="24"/>
          <w:szCs w:val="24"/>
        </w:rPr>
        <w:t xml:space="preserve">, et </w:t>
      </w:r>
      <w:r w:rsidR="006B3797" w:rsidRPr="00C84BF9">
        <w:rPr>
          <w:rFonts w:ascii="Times New Roman" w:eastAsia="Times New Roman" w:hAnsi="Times New Roman"/>
          <w:bCs/>
          <w:sz w:val="24"/>
          <w:szCs w:val="24"/>
        </w:rPr>
        <w:t xml:space="preserve">sur </w:t>
      </w:r>
      <w:r w:rsidR="00F04EB5" w:rsidRPr="00C84BF9">
        <w:rPr>
          <w:rFonts w:ascii="Times New Roman" w:eastAsia="Times New Roman" w:hAnsi="Times New Roman"/>
          <w:bCs/>
          <w:sz w:val="24"/>
          <w:szCs w:val="24"/>
        </w:rPr>
        <w:t>l’inclusion des femmes dans les candidatures aux élections locales. Enfin, s’agissant du transfert de ressources du niveau central vers les collectivités locales, aussi, des progrès significatifs ont été réalisés, à 24% à fin 2016, contre un objectif de 30% à fin 2019.</w:t>
      </w:r>
    </w:p>
    <w:p w14:paraId="604B51F2" w14:textId="77777777" w:rsidR="00971306" w:rsidRPr="006B3797" w:rsidRDefault="00971306" w:rsidP="005B22B2">
      <w:pPr>
        <w:spacing w:after="0" w:line="240" w:lineRule="auto"/>
        <w:jc w:val="both"/>
        <w:rPr>
          <w:rFonts w:ascii="Times New Roman" w:eastAsia="Times New Roman" w:hAnsi="Times New Roman"/>
          <w:bCs/>
          <w:sz w:val="20"/>
          <w:szCs w:val="20"/>
        </w:rPr>
      </w:pPr>
    </w:p>
    <w:p w14:paraId="604B51F3" w14:textId="77777777" w:rsidR="00341B08" w:rsidRPr="006B309F" w:rsidRDefault="00341B08" w:rsidP="005B22B2">
      <w:pPr>
        <w:pStyle w:val="Titre4"/>
        <w:numPr>
          <w:ilvl w:val="3"/>
          <w:numId w:val="4"/>
        </w:numPr>
        <w:spacing w:before="0" w:line="240" w:lineRule="auto"/>
        <w:rPr>
          <w:rFonts w:ascii="Times New Roman" w:hAnsi="Times New Roman"/>
          <w:i w:val="0"/>
          <w:color w:val="auto"/>
          <w:sz w:val="24"/>
          <w:szCs w:val="24"/>
        </w:rPr>
      </w:pPr>
      <w:r w:rsidRPr="006B309F">
        <w:rPr>
          <w:rFonts w:ascii="Times New Roman" w:hAnsi="Times New Roman"/>
          <w:i w:val="0"/>
          <w:color w:val="auto"/>
          <w:sz w:val="24"/>
          <w:szCs w:val="24"/>
        </w:rPr>
        <w:t xml:space="preserve">Contribution </w:t>
      </w:r>
      <w:r w:rsidR="00414C56">
        <w:rPr>
          <w:rFonts w:ascii="Times New Roman" w:hAnsi="Times New Roman"/>
          <w:i w:val="0"/>
          <w:color w:val="auto"/>
          <w:sz w:val="24"/>
          <w:szCs w:val="24"/>
        </w:rPr>
        <w:t xml:space="preserve">du </w:t>
      </w:r>
      <w:r w:rsidR="00BD274E" w:rsidRPr="00BD274E">
        <w:rPr>
          <w:rFonts w:ascii="Times New Roman" w:hAnsi="Times New Roman"/>
          <w:i w:val="0"/>
          <w:color w:val="auto"/>
          <w:sz w:val="24"/>
          <w:szCs w:val="24"/>
        </w:rPr>
        <w:t>Système/Programme</w:t>
      </w:r>
      <w:r w:rsidR="00414C56">
        <w:rPr>
          <w:rFonts w:ascii="Times New Roman" w:hAnsi="Times New Roman"/>
          <w:i w:val="0"/>
          <w:color w:val="auto"/>
          <w:sz w:val="24"/>
          <w:szCs w:val="24"/>
        </w:rPr>
        <w:t xml:space="preserve"> aux résultats du pays dans le domaine</w:t>
      </w:r>
    </w:p>
    <w:p w14:paraId="604B51F4" w14:textId="77777777" w:rsidR="009B76F6" w:rsidRDefault="009B76F6" w:rsidP="005B22B2">
      <w:pPr>
        <w:spacing w:after="0" w:line="240" w:lineRule="auto"/>
        <w:jc w:val="both"/>
        <w:rPr>
          <w:rFonts w:ascii="Times New Roman" w:eastAsia="Times New Roman" w:hAnsi="Times New Roman"/>
          <w:bCs/>
          <w:sz w:val="24"/>
          <w:szCs w:val="24"/>
        </w:rPr>
      </w:pPr>
    </w:p>
    <w:p w14:paraId="604B51F5" w14:textId="77777777" w:rsidR="005D2BA7" w:rsidRDefault="00574B4D"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100</w:t>
      </w:r>
      <w:r w:rsidR="0048539E">
        <w:rPr>
          <w:rFonts w:ascii="Times New Roman" w:eastAsia="Times New Roman" w:hAnsi="Times New Roman"/>
          <w:bCs/>
          <w:sz w:val="24"/>
          <w:szCs w:val="24"/>
        </w:rPr>
        <w:t>.</w:t>
      </w:r>
      <w:r w:rsidR="005D2BA7">
        <w:rPr>
          <w:rFonts w:ascii="Times New Roman" w:eastAsia="Times New Roman" w:hAnsi="Times New Roman"/>
          <w:bCs/>
          <w:sz w:val="24"/>
          <w:szCs w:val="24"/>
        </w:rPr>
        <w:tab/>
        <w:t xml:space="preserve">Le programme a construit quelque sept produits spécifiques pour enregistrer ses contributions aux efforts du pays en rapport avec l’Effet 3 : </w:t>
      </w:r>
      <w:r w:rsidR="006B3797">
        <w:rPr>
          <w:rFonts w:ascii="Times New Roman" w:eastAsia="Times New Roman" w:hAnsi="Times New Roman"/>
          <w:bCs/>
          <w:sz w:val="24"/>
          <w:szCs w:val="24"/>
        </w:rPr>
        <w:t>l</w:t>
      </w:r>
      <w:r w:rsidR="005D2BA7" w:rsidRPr="005D2BA7">
        <w:rPr>
          <w:rFonts w:ascii="Times New Roman" w:eastAsia="Times New Roman" w:hAnsi="Times New Roman"/>
          <w:bCs/>
          <w:sz w:val="24"/>
          <w:szCs w:val="24"/>
        </w:rPr>
        <w:t>es capacités de l’Assemblée Nationale et des   Structures de contrôle des Finances publiques (Section des Co</w:t>
      </w:r>
      <w:r w:rsidR="009C5952">
        <w:rPr>
          <w:rFonts w:ascii="Times New Roman" w:eastAsia="Times New Roman" w:hAnsi="Times New Roman"/>
          <w:bCs/>
          <w:sz w:val="24"/>
          <w:szCs w:val="24"/>
        </w:rPr>
        <w:t>mptes de la Cour</w:t>
      </w:r>
      <w:r w:rsidR="005D2BA7" w:rsidRPr="005D2BA7">
        <w:rPr>
          <w:rFonts w:ascii="Times New Roman" w:eastAsia="Times New Roman" w:hAnsi="Times New Roman"/>
          <w:bCs/>
          <w:sz w:val="24"/>
          <w:szCs w:val="24"/>
        </w:rPr>
        <w:t xml:space="preserve"> Suprême) sont renforcées en vue d’améliorer la redevabilité dans la g</w:t>
      </w:r>
      <w:r w:rsidR="005D2BA7">
        <w:rPr>
          <w:rFonts w:ascii="Times New Roman" w:eastAsia="Times New Roman" w:hAnsi="Times New Roman"/>
          <w:bCs/>
          <w:sz w:val="24"/>
          <w:szCs w:val="24"/>
        </w:rPr>
        <w:t xml:space="preserve">estion des politiques publiques ; </w:t>
      </w:r>
      <w:r w:rsidR="006B3797">
        <w:rPr>
          <w:rFonts w:ascii="Times New Roman" w:eastAsia="Times New Roman" w:hAnsi="Times New Roman"/>
          <w:bCs/>
          <w:sz w:val="24"/>
          <w:szCs w:val="24"/>
        </w:rPr>
        <w:t>l</w:t>
      </w:r>
      <w:r w:rsidR="005D2BA7" w:rsidRPr="005D2BA7">
        <w:rPr>
          <w:rFonts w:ascii="Times New Roman" w:eastAsia="Times New Roman" w:hAnsi="Times New Roman"/>
          <w:bCs/>
          <w:sz w:val="24"/>
          <w:szCs w:val="24"/>
        </w:rPr>
        <w:t>es capacités de l’Etat, des OGE et OSC sont renforcées en vue de l’amélioration de la crédibilité des processus électoraux et d’une plus grande participation, not</w:t>
      </w:r>
      <w:r w:rsidR="005D2BA7">
        <w:rPr>
          <w:rFonts w:ascii="Times New Roman" w:eastAsia="Times New Roman" w:hAnsi="Times New Roman"/>
          <w:bCs/>
          <w:sz w:val="24"/>
          <w:szCs w:val="24"/>
        </w:rPr>
        <w:t xml:space="preserve">amment des femmes et des jeunes ; </w:t>
      </w:r>
      <w:r w:rsidR="006B3797">
        <w:rPr>
          <w:rFonts w:ascii="Times New Roman" w:eastAsia="Times New Roman" w:hAnsi="Times New Roman"/>
          <w:bCs/>
          <w:sz w:val="24"/>
          <w:szCs w:val="24"/>
        </w:rPr>
        <w:t>l</w:t>
      </w:r>
      <w:r w:rsidR="005D2BA7" w:rsidRPr="005D2BA7">
        <w:rPr>
          <w:rFonts w:ascii="Times New Roman" w:eastAsia="Times New Roman" w:hAnsi="Times New Roman"/>
          <w:bCs/>
          <w:sz w:val="24"/>
          <w:szCs w:val="24"/>
        </w:rPr>
        <w:t>es stratégies et plans d’action disponibles sont opérationnalisés pour l’approfondissement de la décentralisation et la consoli</w:t>
      </w:r>
      <w:r w:rsidR="005D2BA7">
        <w:rPr>
          <w:rFonts w:ascii="Times New Roman" w:eastAsia="Times New Roman" w:hAnsi="Times New Roman"/>
          <w:bCs/>
          <w:sz w:val="24"/>
          <w:szCs w:val="24"/>
        </w:rPr>
        <w:t xml:space="preserve">dation de la gouvernance locale ; </w:t>
      </w:r>
      <w:r w:rsidR="006B3797">
        <w:rPr>
          <w:rFonts w:ascii="Times New Roman" w:eastAsia="Times New Roman" w:hAnsi="Times New Roman"/>
          <w:bCs/>
          <w:sz w:val="24"/>
          <w:szCs w:val="24"/>
        </w:rPr>
        <w:t>l</w:t>
      </w:r>
      <w:r w:rsidR="005D2BA7" w:rsidRPr="005D2BA7">
        <w:rPr>
          <w:rFonts w:ascii="Times New Roman" w:eastAsia="Times New Roman" w:hAnsi="Times New Roman"/>
          <w:bCs/>
          <w:sz w:val="24"/>
          <w:szCs w:val="24"/>
        </w:rPr>
        <w:t>es capacités des institutions publiques (au niveau national, régional, sectoriel) pour la planification et la programmation axée sur l’évidence, le S&amp;E et la production des données statistiques comparables et désagrégés</w:t>
      </w:r>
      <w:r w:rsidR="006B3797">
        <w:rPr>
          <w:rFonts w:ascii="Times New Roman" w:eastAsia="Times New Roman" w:hAnsi="Times New Roman"/>
          <w:bCs/>
          <w:sz w:val="24"/>
          <w:szCs w:val="24"/>
        </w:rPr>
        <w:t>,</w:t>
      </w:r>
      <w:r w:rsidR="005D2BA7" w:rsidRPr="005D2BA7">
        <w:rPr>
          <w:rFonts w:ascii="Times New Roman" w:eastAsia="Times New Roman" w:hAnsi="Times New Roman"/>
          <w:bCs/>
          <w:sz w:val="24"/>
          <w:szCs w:val="24"/>
        </w:rPr>
        <w:t xml:space="preserve"> sont renforcées</w:t>
      </w:r>
      <w:r w:rsidR="005D2BA7">
        <w:rPr>
          <w:rFonts w:ascii="Times New Roman" w:eastAsia="Times New Roman" w:hAnsi="Times New Roman"/>
          <w:bCs/>
          <w:sz w:val="24"/>
          <w:szCs w:val="24"/>
        </w:rPr>
        <w:t xml:space="preserve"> ; </w:t>
      </w:r>
      <w:r w:rsidR="006B3797">
        <w:rPr>
          <w:rFonts w:ascii="Times New Roman" w:eastAsia="Times New Roman" w:hAnsi="Times New Roman"/>
          <w:bCs/>
          <w:sz w:val="24"/>
          <w:szCs w:val="24"/>
        </w:rPr>
        <w:t>l</w:t>
      </w:r>
      <w:r w:rsidR="005D2BA7" w:rsidRPr="005D2BA7">
        <w:rPr>
          <w:rFonts w:ascii="Times New Roman" w:eastAsia="Times New Roman" w:hAnsi="Times New Roman"/>
          <w:bCs/>
          <w:sz w:val="24"/>
          <w:szCs w:val="24"/>
        </w:rPr>
        <w:t>es capacités des organisations de la société civile et des médias sont renforcées</w:t>
      </w:r>
      <w:r w:rsidR="006B3797">
        <w:rPr>
          <w:rFonts w:ascii="Times New Roman" w:eastAsia="Times New Roman" w:hAnsi="Times New Roman"/>
          <w:bCs/>
          <w:sz w:val="24"/>
          <w:szCs w:val="24"/>
        </w:rPr>
        <w:t>,</w:t>
      </w:r>
      <w:r w:rsidR="005D2BA7" w:rsidRPr="005D2BA7">
        <w:rPr>
          <w:rFonts w:ascii="Times New Roman" w:eastAsia="Times New Roman" w:hAnsi="Times New Roman"/>
          <w:bCs/>
          <w:sz w:val="24"/>
          <w:szCs w:val="24"/>
        </w:rPr>
        <w:t xml:space="preserve"> en vue d’améliorer le contrôle citoyen, la redevabilité des institutions et la participation des femmes et </w:t>
      </w:r>
      <w:r w:rsidR="005D2BA7">
        <w:rPr>
          <w:rFonts w:ascii="Times New Roman" w:eastAsia="Times New Roman" w:hAnsi="Times New Roman"/>
          <w:bCs/>
          <w:sz w:val="24"/>
          <w:szCs w:val="24"/>
        </w:rPr>
        <w:t xml:space="preserve">des jeunes dans la vie publique ; </w:t>
      </w:r>
      <w:r w:rsidR="006B3797">
        <w:rPr>
          <w:rFonts w:ascii="Times New Roman" w:eastAsia="Times New Roman" w:hAnsi="Times New Roman"/>
          <w:bCs/>
          <w:sz w:val="24"/>
          <w:szCs w:val="24"/>
        </w:rPr>
        <w:t>l</w:t>
      </w:r>
      <w:r w:rsidR="005D2BA7" w:rsidRPr="005D2BA7">
        <w:rPr>
          <w:rFonts w:ascii="Times New Roman" w:eastAsia="Times New Roman" w:hAnsi="Times New Roman"/>
          <w:bCs/>
          <w:sz w:val="24"/>
          <w:szCs w:val="24"/>
        </w:rPr>
        <w:t>e fonctionnement des Institutions judiciaires et pénitentiaires et des organes de lutte contre l’impunité</w:t>
      </w:r>
      <w:r w:rsidR="006B3797">
        <w:rPr>
          <w:rFonts w:ascii="Times New Roman" w:eastAsia="Times New Roman" w:hAnsi="Times New Roman"/>
          <w:bCs/>
          <w:sz w:val="24"/>
          <w:szCs w:val="24"/>
        </w:rPr>
        <w:t>,</w:t>
      </w:r>
      <w:r w:rsidR="005D2BA7" w:rsidRPr="005D2BA7">
        <w:rPr>
          <w:rFonts w:ascii="Times New Roman" w:eastAsia="Times New Roman" w:hAnsi="Times New Roman"/>
          <w:bCs/>
          <w:sz w:val="24"/>
          <w:szCs w:val="24"/>
        </w:rPr>
        <w:t xml:space="preserve"> est amélioré sur toute l’étendue du territoire national dans un cadre juridique réformé conforme aux principes de l’Etat de droit</w:t>
      </w:r>
      <w:r w:rsidR="005D2BA7">
        <w:rPr>
          <w:rFonts w:ascii="Times New Roman" w:eastAsia="Times New Roman" w:hAnsi="Times New Roman"/>
          <w:bCs/>
          <w:sz w:val="24"/>
          <w:szCs w:val="24"/>
        </w:rPr>
        <w:t xml:space="preserve"> ; et </w:t>
      </w:r>
      <w:r w:rsidR="006B3797">
        <w:rPr>
          <w:rFonts w:ascii="Times New Roman" w:eastAsia="Times New Roman" w:hAnsi="Times New Roman"/>
          <w:bCs/>
          <w:sz w:val="24"/>
          <w:szCs w:val="24"/>
        </w:rPr>
        <w:t>l</w:t>
      </w:r>
      <w:r w:rsidR="005D2BA7" w:rsidRPr="005D2BA7">
        <w:rPr>
          <w:rFonts w:ascii="Times New Roman" w:eastAsia="Times New Roman" w:hAnsi="Times New Roman"/>
          <w:bCs/>
          <w:sz w:val="24"/>
          <w:szCs w:val="24"/>
        </w:rPr>
        <w:t xml:space="preserve">es mécanismes nationaux formels et informels de </w:t>
      </w:r>
      <w:r w:rsidR="006B3797">
        <w:rPr>
          <w:rFonts w:ascii="Times New Roman" w:eastAsia="Times New Roman" w:hAnsi="Times New Roman"/>
          <w:bCs/>
          <w:sz w:val="24"/>
          <w:szCs w:val="24"/>
        </w:rPr>
        <w:t>promotion et de protection des D</w:t>
      </w:r>
      <w:r w:rsidR="005D2BA7" w:rsidRPr="005D2BA7">
        <w:rPr>
          <w:rFonts w:ascii="Times New Roman" w:eastAsia="Times New Roman" w:hAnsi="Times New Roman"/>
          <w:bCs/>
          <w:sz w:val="24"/>
          <w:szCs w:val="24"/>
        </w:rPr>
        <w:t>roits Humains disposent des capacités institutionnelles et techniques pour mieux accomplir leurs missions en conformité avec les standards internationaux.</w:t>
      </w:r>
    </w:p>
    <w:p w14:paraId="604B51F6" w14:textId="77777777" w:rsidR="005D2BA7" w:rsidRDefault="005D2BA7" w:rsidP="005B22B2">
      <w:pPr>
        <w:spacing w:after="0" w:line="240" w:lineRule="auto"/>
        <w:jc w:val="both"/>
        <w:rPr>
          <w:rFonts w:ascii="Times New Roman" w:eastAsia="Times New Roman" w:hAnsi="Times New Roman"/>
          <w:bCs/>
          <w:sz w:val="24"/>
          <w:szCs w:val="24"/>
        </w:rPr>
      </w:pPr>
    </w:p>
    <w:p w14:paraId="604B51F7" w14:textId="77777777" w:rsidR="009C5952" w:rsidRDefault="00574B4D"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101</w:t>
      </w:r>
      <w:r w:rsidR="0048539E" w:rsidRPr="00A108B8">
        <w:rPr>
          <w:rFonts w:ascii="Times New Roman" w:eastAsia="Times New Roman" w:hAnsi="Times New Roman"/>
          <w:bCs/>
          <w:sz w:val="24"/>
          <w:szCs w:val="24"/>
        </w:rPr>
        <w:t>.</w:t>
      </w:r>
      <w:r w:rsidR="009C5952" w:rsidRPr="00A108B8">
        <w:rPr>
          <w:rFonts w:ascii="Times New Roman" w:eastAsia="Times New Roman" w:hAnsi="Times New Roman"/>
          <w:bCs/>
          <w:sz w:val="24"/>
          <w:szCs w:val="24"/>
        </w:rPr>
        <w:tab/>
        <w:t>L’appui aux institutions de contrôle de l’action publique a abouti à des résultats qui atteignent ou dépassent les projections de fin de cycle, pour le contrôle parlementaire et les vérifications des finances locales par la Cour Constitutionnelle à travers s</w:t>
      </w:r>
      <w:r w:rsidR="008A52C4" w:rsidRPr="00A108B8">
        <w:rPr>
          <w:rFonts w:ascii="Times New Roman" w:eastAsia="Times New Roman" w:hAnsi="Times New Roman"/>
          <w:bCs/>
          <w:sz w:val="24"/>
          <w:szCs w:val="24"/>
        </w:rPr>
        <w:t>a</w:t>
      </w:r>
      <w:r w:rsidR="009C5952" w:rsidRPr="00A108B8">
        <w:rPr>
          <w:rFonts w:ascii="Times New Roman" w:eastAsia="Times New Roman" w:hAnsi="Times New Roman"/>
          <w:bCs/>
          <w:sz w:val="24"/>
          <w:szCs w:val="24"/>
        </w:rPr>
        <w:t xml:space="preserve"> Section des Comptes publics. Le résultat reste mitigé, en revanche, s’agissant du nombre d’initiatives de lois prises par l’assemblée nationale : 2 propositions de lois sur les 5 prévue</w:t>
      </w:r>
      <w:r w:rsidR="008A52C4" w:rsidRPr="00A108B8">
        <w:rPr>
          <w:rFonts w:ascii="Times New Roman" w:eastAsia="Times New Roman" w:hAnsi="Times New Roman"/>
          <w:bCs/>
          <w:sz w:val="24"/>
          <w:szCs w:val="24"/>
        </w:rPr>
        <w:t>s</w:t>
      </w:r>
      <w:r w:rsidR="009C5952" w:rsidRPr="00A108B8">
        <w:rPr>
          <w:rFonts w:ascii="Times New Roman" w:eastAsia="Times New Roman" w:hAnsi="Times New Roman"/>
          <w:bCs/>
          <w:sz w:val="24"/>
          <w:szCs w:val="24"/>
        </w:rPr>
        <w:t xml:space="preserve"> pour l’ensemble du cycle de programmation. Le développement des capacités électorales s’est cristallisé sur les organes dédiés et a enregistré une réalisation nettement au-dessus </w:t>
      </w:r>
      <w:r w:rsidR="00E55028" w:rsidRPr="00A108B8">
        <w:rPr>
          <w:rFonts w:ascii="Times New Roman" w:eastAsia="Times New Roman" w:hAnsi="Times New Roman"/>
          <w:bCs/>
          <w:sz w:val="24"/>
          <w:szCs w:val="24"/>
        </w:rPr>
        <w:t>de ce qui est anticipé à fin 2019. En revanche</w:t>
      </w:r>
      <w:r w:rsidR="008A52C4" w:rsidRPr="00A108B8">
        <w:rPr>
          <w:rFonts w:ascii="Times New Roman" w:eastAsia="Times New Roman" w:hAnsi="Times New Roman"/>
          <w:bCs/>
          <w:sz w:val="24"/>
          <w:szCs w:val="24"/>
        </w:rPr>
        <w:t>,</w:t>
      </w:r>
      <w:r w:rsidR="00E55028" w:rsidRPr="00A108B8">
        <w:rPr>
          <w:rFonts w:ascii="Times New Roman" w:eastAsia="Times New Roman" w:hAnsi="Times New Roman"/>
          <w:bCs/>
          <w:sz w:val="24"/>
          <w:szCs w:val="24"/>
        </w:rPr>
        <w:t xml:space="preserve"> la couverture de la société civile par l’assistance électorale du programme ressort faible pour le moment : 26 organisations touchées en 2016 contre un objectif de 107. L’utilisation du fichier biométrique produit avec l’appui du programme dans les échéances électorales, est elle aussi ralentie</w:t>
      </w:r>
      <w:r w:rsidR="00E55028">
        <w:rPr>
          <w:rFonts w:ascii="Times New Roman" w:eastAsia="Times New Roman" w:hAnsi="Times New Roman"/>
          <w:bCs/>
          <w:sz w:val="24"/>
          <w:szCs w:val="24"/>
        </w:rPr>
        <w:t xml:space="preserve"> par l’ajournement de certaines de ces échéances par l’Etat, ce qui éclaire ici d’un jour plus cru encore le problème de la qualité des indicateurs : le nombre de scrutins utilisant le fichier biométrique n’est manifestement pas un indicateur adéquat pour un produit, car le programme n’a pas la main sur l’agenda électoral du pays. Beaucoup d’indicateurs de cette section sont hélas dans cette situation, comme analysé dans le chapitre sur la pertinence logique du programme.</w:t>
      </w:r>
    </w:p>
    <w:p w14:paraId="604B51F8" w14:textId="77777777" w:rsidR="00D8312E" w:rsidRDefault="00D8312E" w:rsidP="005B22B2">
      <w:pPr>
        <w:spacing w:after="0" w:line="240" w:lineRule="auto"/>
        <w:jc w:val="both"/>
        <w:rPr>
          <w:rFonts w:ascii="Times New Roman" w:eastAsia="Times New Roman" w:hAnsi="Times New Roman"/>
          <w:bCs/>
          <w:sz w:val="24"/>
          <w:szCs w:val="24"/>
        </w:rPr>
      </w:pPr>
    </w:p>
    <w:p w14:paraId="604B51F9" w14:textId="77777777" w:rsidR="00D8312E" w:rsidRDefault="00574B4D"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102</w:t>
      </w:r>
      <w:r w:rsidR="0048539E">
        <w:rPr>
          <w:rFonts w:ascii="Times New Roman" w:eastAsia="Times New Roman" w:hAnsi="Times New Roman"/>
          <w:bCs/>
          <w:sz w:val="24"/>
          <w:szCs w:val="24"/>
        </w:rPr>
        <w:t>.</w:t>
      </w:r>
      <w:r w:rsidR="00D8312E">
        <w:rPr>
          <w:rFonts w:ascii="Times New Roman" w:eastAsia="Times New Roman" w:hAnsi="Times New Roman"/>
          <w:bCs/>
          <w:sz w:val="24"/>
          <w:szCs w:val="24"/>
        </w:rPr>
        <w:tab/>
        <w:t>Dans le domaine de la décentralisation, le nombre de collectivités locales en contrat-plan avec l’Etat a significativement progressé, pour se situer au-dessus de l’objectif fixé par le programme (5/4). Le n</w:t>
      </w:r>
      <w:r w:rsidR="00D8312E" w:rsidRPr="00D8312E">
        <w:rPr>
          <w:rFonts w:ascii="Times New Roman" w:eastAsia="Times New Roman" w:hAnsi="Times New Roman"/>
          <w:bCs/>
          <w:sz w:val="24"/>
          <w:szCs w:val="24"/>
        </w:rPr>
        <w:t>ombre de collectivités renforcées pour la gestion équitable des ressources financières et humaines d</w:t>
      </w:r>
      <w:r w:rsidR="00D8312E">
        <w:rPr>
          <w:rFonts w:ascii="Times New Roman" w:eastAsia="Times New Roman" w:hAnsi="Times New Roman"/>
          <w:bCs/>
          <w:sz w:val="24"/>
          <w:szCs w:val="24"/>
        </w:rPr>
        <w:t xml:space="preserve">ans le cadre des </w:t>
      </w:r>
      <w:r w:rsidR="00D8312E" w:rsidRPr="00D8312E">
        <w:rPr>
          <w:rFonts w:ascii="Times New Roman" w:eastAsia="Times New Roman" w:hAnsi="Times New Roman"/>
          <w:bCs/>
          <w:sz w:val="24"/>
          <w:szCs w:val="24"/>
        </w:rPr>
        <w:t>anciennes et nouvelles compétences transférées</w:t>
      </w:r>
      <w:r w:rsidR="008A52C4">
        <w:rPr>
          <w:rFonts w:ascii="Times New Roman" w:eastAsia="Times New Roman" w:hAnsi="Times New Roman"/>
          <w:bCs/>
          <w:sz w:val="24"/>
          <w:szCs w:val="24"/>
        </w:rPr>
        <w:t>,</w:t>
      </w:r>
      <w:r w:rsidR="00D8312E">
        <w:rPr>
          <w:rFonts w:ascii="Times New Roman" w:eastAsia="Times New Roman" w:hAnsi="Times New Roman"/>
          <w:bCs/>
          <w:sz w:val="24"/>
          <w:szCs w:val="24"/>
        </w:rPr>
        <w:t xml:space="preserve"> évolue plus lentement, mais à un rythme somme toute cohérent avec la temporalité du programme : 15% des collectivités sur un objectif final de 30%.</w:t>
      </w:r>
      <w:r w:rsidR="00966DF8">
        <w:rPr>
          <w:rFonts w:ascii="Times New Roman" w:eastAsia="Times New Roman" w:hAnsi="Times New Roman"/>
          <w:bCs/>
          <w:sz w:val="24"/>
          <w:szCs w:val="24"/>
        </w:rPr>
        <w:t xml:space="preserve"> Le développement des capacités de planification et de suivi-évaluation a déjà touché plus de structures de niveau central et local qu’il n’est prévu d’ici la fin du programme, l’opérationnalité de ces entités n’étant pas pour autant forcément garantie par cette performance. Le contrôle citoyen de l’action publique par des organisations de société civile </w:t>
      </w:r>
      <w:r w:rsidR="008A52C4">
        <w:rPr>
          <w:rFonts w:ascii="Times New Roman" w:eastAsia="Times New Roman" w:hAnsi="Times New Roman"/>
          <w:bCs/>
          <w:sz w:val="24"/>
          <w:szCs w:val="24"/>
        </w:rPr>
        <w:t>renforcée</w:t>
      </w:r>
      <w:r w:rsidR="00966DF8">
        <w:rPr>
          <w:rFonts w:ascii="Times New Roman" w:eastAsia="Times New Roman" w:hAnsi="Times New Roman"/>
          <w:bCs/>
          <w:sz w:val="24"/>
          <w:szCs w:val="24"/>
        </w:rPr>
        <w:t xml:space="preserve">s </w:t>
      </w:r>
      <w:r w:rsidR="00B54333">
        <w:rPr>
          <w:rFonts w:ascii="Times New Roman" w:eastAsia="Times New Roman" w:hAnsi="Times New Roman"/>
          <w:bCs/>
          <w:sz w:val="24"/>
          <w:szCs w:val="24"/>
        </w:rPr>
        <w:t>p</w:t>
      </w:r>
      <w:r w:rsidR="00966DF8">
        <w:rPr>
          <w:rFonts w:ascii="Times New Roman" w:eastAsia="Times New Roman" w:hAnsi="Times New Roman"/>
          <w:bCs/>
          <w:sz w:val="24"/>
          <w:szCs w:val="24"/>
        </w:rPr>
        <w:t>ar le programme a aussi déjà atteint sa cible</w:t>
      </w:r>
      <w:r w:rsidR="00B54333">
        <w:rPr>
          <w:rFonts w:ascii="Times New Roman" w:eastAsia="Times New Roman" w:hAnsi="Times New Roman"/>
          <w:bCs/>
          <w:sz w:val="24"/>
          <w:szCs w:val="24"/>
        </w:rPr>
        <w:t>.</w:t>
      </w:r>
    </w:p>
    <w:p w14:paraId="604B51FA" w14:textId="77777777" w:rsidR="00B54333" w:rsidRDefault="00B54333" w:rsidP="005B22B2">
      <w:pPr>
        <w:spacing w:after="0" w:line="240" w:lineRule="auto"/>
        <w:jc w:val="both"/>
        <w:rPr>
          <w:rFonts w:ascii="Times New Roman" w:eastAsia="Times New Roman" w:hAnsi="Times New Roman"/>
          <w:bCs/>
          <w:sz w:val="24"/>
          <w:szCs w:val="24"/>
        </w:rPr>
      </w:pPr>
    </w:p>
    <w:p w14:paraId="604B51FB" w14:textId="77777777" w:rsidR="00847D01" w:rsidRDefault="007E34BC"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10</w:t>
      </w:r>
      <w:r w:rsidR="00574B4D">
        <w:rPr>
          <w:rFonts w:ascii="Times New Roman" w:eastAsia="Times New Roman" w:hAnsi="Times New Roman"/>
          <w:bCs/>
          <w:sz w:val="24"/>
          <w:szCs w:val="24"/>
        </w:rPr>
        <w:t>3</w:t>
      </w:r>
      <w:r w:rsidR="0048539E">
        <w:rPr>
          <w:rFonts w:ascii="Times New Roman" w:eastAsia="Times New Roman" w:hAnsi="Times New Roman"/>
          <w:bCs/>
          <w:sz w:val="24"/>
          <w:szCs w:val="24"/>
        </w:rPr>
        <w:t>.</w:t>
      </w:r>
      <w:r w:rsidR="00B54333">
        <w:rPr>
          <w:rFonts w:ascii="Times New Roman" w:eastAsia="Times New Roman" w:hAnsi="Times New Roman"/>
          <w:bCs/>
          <w:sz w:val="24"/>
          <w:szCs w:val="24"/>
        </w:rPr>
        <w:tab/>
      </w:r>
      <w:r w:rsidR="00B54333" w:rsidRPr="00A108B8">
        <w:rPr>
          <w:rFonts w:ascii="Times New Roman" w:eastAsia="Times New Roman" w:hAnsi="Times New Roman"/>
          <w:bCs/>
          <w:sz w:val="24"/>
          <w:szCs w:val="24"/>
        </w:rPr>
        <w:t xml:space="preserve">L’appui à la restauration des capacités de l’appareil judiciaire s’est traduit par la réhabilitation de 115% </w:t>
      </w:r>
      <w:r w:rsidR="008A52C4" w:rsidRPr="00A108B8">
        <w:rPr>
          <w:rFonts w:ascii="Times New Roman" w:eastAsia="Times New Roman" w:hAnsi="Times New Roman"/>
          <w:bCs/>
          <w:sz w:val="24"/>
          <w:szCs w:val="24"/>
        </w:rPr>
        <w:t xml:space="preserve">des cours et tribunaux, et 87% </w:t>
      </w:r>
      <w:r w:rsidR="00B54333" w:rsidRPr="00A108B8">
        <w:rPr>
          <w:rFonts w:ascii="Times New Roman" w:eastAsia="Times New Roman" w:hAnsi="Times New Roman"/>
          <w:bCs/>
          <w:sz w:val="24"/>
          <w:szCs w:val="24"/>
        </w:rPr>
        <w:t>des prisons,</w:t>
      </w:r>
      <w:r w:rsidR="008A52C4" w:rsidRPr="00A108B8">
        <w:rPr>
          <w:rFonts w:ascii="Times New Roman" w:eastAsia="Times New Roman" w:hAnsi="Times New Roman"/>
          <w:bCs/>
          <w:sz w:val="24"/>
          <w:szCs w:val="24"/>
        </w:rPr>
        <w:t xml:space="preserve"> </w:t>
      </w:r>
      <w:r w:rsidR="00B54333" w:rsidRPr="00A108B8">
        <w:rPr>
          <w:rFonts w:ascii="Times New Roman" w:eastAsia="Times New Roman" w:hAnsi="Times New Roman"/>
          <w:bCs/>
          <w:sz w:val="24"/>
          <w:szCs w:val="24"/>
        </w:rPr>
        <w:t xml:space="preserve">qu’il est prévu de restaurer </w:t>
      </w:r>
      <w:r w:rsidR="00B54333" w:rsidRPr="00A108B8">
        <w:rPr>
          <w:rFonts w:ascii="Times New Roman" w:eastAsia="Times New Roman" w:hAnsi="Times New Roman"/>
          <w:bCs/>
          <w:sz w:val="24"/>
          <w:szCs w:val="24"/>
        </w:rPr>
        <w:lastRenderedPageBreak/>
        <w:t>dans le cycle du programme. Il faut toutefois relever que ces bonnes statistiques, surtout s’agissant des cours et tribunaux, ne se traduisent pas mécaniquement dans une progression équivalente de l’accès des populations à la justice, certaines zones</w:t>
      </w:r>
      <w:r w:rsidR="00B54333">
        <w:rPr>
          <w:rFonts w:ascii="Times New Roman" w:eastAsia="Times New Roman" w:hAnsi="Times New Roman"/>
          <w:bCs/>
          <w:sz w:val="24"/>
          <w:szCs w:val="24"/>
        </w:rPr>
        <w:t xml:space="preserve"> restées en grande insécurité n’ayant pas pu maintenir le</w:t>
      </w:r>
      <w:r w:rsidR="008A52C4">
        <w:rPr>
          <w:rFonts w:ascii="Times New Roman" w:eastAsia="Times New Roman" w:hAnsi="Times New Roman"/>
          <w:bCs/>
          <w:sz w:val="24"/>
          <w:szCs w:val="24"/>
        </w:rPr>
        <w:t>ur</w:t>
      </w:r>
      <w:r w:rsidR="00B54333">
        <w:rPr>
          <w:rFonts w:ascii="Times New Roman" w:eastAsia="Times New Roman" w:hAnsi="Times New Roman"/>
          <w:bCs/>
          <w:sz w:val="24"/>
          <w:szCs w:val="24"/>
        </w:rPr>
        <w:t xml:space="preserve">s magistrats en place. Le </w:t>
      </w:r>
      <w:r w:rsidR="00FF36AA">
        <w:rPr>
          <w:rFonts w:ascii="Times New Roman" w:eastAsia="Times New Roman" w:hAnsi="Times New Roman"/>
          <w:bCs/>
          <w:sz w:val="24"/>
          <w:szCs w:val="24"/>
        </w:rPr>
        <w:t xml:space="preserve">rendu sur le </w:t>
      </w:r>
      <w:r w:rsidR="00B54333">
        <w:rPr>
          <w:rFonts w:ascii="Times New Roman" w:eastAsia="Times New Roman" w:hAnsi="Times New Roman"/>
          <w:bCs/>
          <w:sz w:val="24"/>
          <w:szCs w:val="24"/>
        </w:rPr>
        <w:t xml:space="preserve">troisième indicateur </w:t>
      </w:r>
      <w:r w:rsidR="00FF36AA">
        <w:rPr>
          <w:rFonts w:ascii="Times New Roman" w:eastAsia="Times New Roman" w:hAnsi="Times New Roman"/>
          <w:bCs/>
          <w:sz w:val="24"/>
          <w:szCs w:val="24"/>
        </w:rPr>
        <w:t xml:space="preserve">relatif à </w:t>
      </w:r>
      <w:r w:rsidR="00B54333">
        <w:rPr>
          <w:rFonts w:ascii="Times New Roman" w:eastAsia="Times New Roman" w:hAnsi="Times New Roman"/>
          <w:bCs/>
          <w:sz w:val="24"/>
          <w:szCs w:val="24"/>
        </w:rPr>
        <w:t>la perception de la ju</w:t>
      </w:r>
      <w:r w:rsidR="00FF36AA">
        <w:rPr>
          <w:rFonts w:ascii="Times New Roman" w:eastAsia="Times New Roman" w:hAnsi="Times New Roman"/>
          <w:bCs/>
          <w:sz w:val="24"/>
          <w:szCs w:val="24"/>
        </w:rPr>
        <w:t>stice est d’ailleurs éloquent à cet égard :</w:t>
      </w:r>
      <w:r w:rsidR="00883DDD">
        <w:rPr>
          <w:rFonts w:ascii="Times New Roman" w:eastAsia="Times New Roman" w:hAnsi="Times New Roman"/>
          <w:bCs/>
          <w:sz w:val="24"/>
          <w:szCs w:val="24"/>
        </w:rPr>
        <w:t xml:space="preserve"> 40% des personnes enquêtées expriment de la confiance envers le</w:t>
      </w:r>
      <w:r w:rsidR="00847D01">
        <w:rPr>
          <w:rFonts w:ascii="Times New Roman" w:eastAsia="Times New Roman" w:hAnsi="Times New Roman"/>
          <w:bCs/>
          <w:sz w:val="24"/>
          <w:szCs w:val="24"/>
        </w:rPr>
        <w:t xml:space="preserve">s instituions </w:t>
      </w:r>
      <w:r w:rsidR="00883DDD">
        <w:rPr>
          <w:rFonts w:ascii="Times New Roman" w:eastAsia="Times New Roman" w:hAnsi="Times New Roman"/>
          <w:bCs/>
          <w:sz w:val="24"/>
          <w:szCs w:val="24"/>
        </w:rPr>
        <w:t>judiciaire</w:t>
      </w:r>
      <w:r w:rsidR="00847D01">
        <w:rPr>
          <w:rFonts w:ascii="Times New Roman" w:eastAsia="Times New Roman" w:hAnsi="Times New Roman"/>
          <w:bCs/>
          <w:sz w:val="24"/>
          <w:szCs w:val="24"/>
        </w:rPr>
        <w:t>s</w:t>
      </w:r>
      <w:r w:rsidR="00883DDD">
        <w:rPr>
          <w:rFonts w:ascii="Times New Roman" w:eastAsia="Times New Roman" w:hAnsi="Times New Roman"/>
          <w:bCs/>
          <w:sz w:val="24"/>
          <w:szCs w:val="24"/>
        </w:rPr>
        <w:t>, contre un objet de programme de 50%.</w:t>
      </w:r>
    </w:p>
    <w:p w14:paraId="604B51FC" w14:textId="77777777" w:rsidR="00847D01" w:rsidRDefault="00847D01" w:rsidP="005B22B2">
      <w:pPr>
        <w:spacing w:after="0" w:line="240" w:lineRule="auto"/>
        <w:jc w:val="both"/>
        <w:rPr>
          <w:rFonts w:ascii="Times New Roman" w:eastAsia="Times New Roman" w:hAnsi="Times New Roman"/>
          <w:bCs/>
          <w:sz w:val="24"/>
          <w:szCs w:val="24"/>
        </w:rPr>
      </w:pPr>
    </w:p>
    <w:p w14:paraId="604B51FD" w14:textId="77777777" w:rsidR="00B54333" w:rsidRDefault="007E34BC"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10</w:t>
      </w:r>
      <w:r w:rsidR="00574B4D">
        <w:rPr>
          <w:rFonts w:ascii="Times New Roman" w:eastAsia="Times New Roman" w:hAnsi="Times New Roman"/>
          <w:bCs/>
          <w:sz w:val="24"/>
          <w:szCs w:val="24"/>
        </w:rPr>
        <w:t>4</w:t>
      </w:r>
      <w:r w:rsidR="0048539E">
        <w:rPr>
          <w:rFonts w:ascii="Times New Roman" w:eastAsia="Times New Roman" w:hAnsi="Times New Roman"/>
          <w:bCs/>
          <w:sz w:val="24"/>
          <w:szCs w:val="24"/>
        </w:rPr>
        <w:t>.</w:t>
      </w:r>
      <w:r w:rsidR="00847D01">
        <w:rPr>
          <w:rFonts w:ascii="Times New Roman" w:eastAsia="Times New Roman" w:hAnsi="Times New Roman"/>
          <w:bCs/>
          <w:sz w:val="24"/>
          <w:szCs w:val="24"/>
        </w:rPr>
        <w:tab/>
        <w:t>Enfin</w:t>
      </w:r>
      <w:r w:rsidR="008A52C4">
        <w:rPr>
          <w:rFonts w:ascii="Times New Roman" w:eastAsia="Times New Roman" w:hAnsi="Times New Roman"/>
          <w:bCs/>
          <w:sz w:val="24"/>
          <w:szCs w:val="24"/>
        </w:rPr>
        <w:t>,</w:t>
      </w:r>
      <w:r w:rsidR="00847D01">
        <w:rPr>
          <w:rFonts w:ascii="Times New Roman" w:eastAsia="Times New Roman" w:hAnsi="Times New Roman"/>
          <w:bCs/>
          <w:sz w:val="24"/>
          <w:szCs w:val="24"/>
        </w:rPr>
        <w:t xml:space="preserve"> l’appui aux mécanismes de défense des droits humains est resté mitigé sur trois de ses quatre indicateurs : le n</w:t>
      </w:r>
      <w:r w:rsidR="00847D01" w:rsidRPr="00847D01">
        <w:rPr>
          <w:rFonts w:ascii="Times New Roman" w:eastAsia="Times New Roman" w:hAnsi="Times New Roman"/>
          <w:bCs/>
          <w:sz w:val="24"/>
          <w:szCs w:val="24"/>
        </w:rPr>
        <w:t xml:space="preserve">ombre de rapports périodiques conformes aux standards produits et soumis aux organes des Traités </w:t>
      </w:r>
      <w:r w:rsidR="00750D4E">
        <w:rPr>
          <w:rFonts w:ascii="Times New Roman" w:eastAsia="Times New Roman" w:hAnsi="Times New Roman"/>
          <w:bCs/>
          <w:sz w:val="24"/>
          <w:szCs w:val="24"/>
        </w:rPr>
        <w:t>et au</w:t>
      </w:r>
      <w:r w:rsidR="00847D01" w:rsidRPr="00847D01">
        <w:rPr>
          <w:rFonts w:ascii="Times New Roman" w:eastAsia="Times New Roman" w:hAnsi="Times New Roman"/>
          <w:bCs/>
          <w:sz w:val="24"/>
          <w:szCs w:val="24"/>
        </w:rPr>
        <w:t xml:space="preserve"> Conseil de Droit de l’Homme</w:t>
      </w:r>
      <w:r w:rsidR="00750D4E">
        <w:rPr>
          <w:rFonts w:ascii="Times New Roman" w:eastAsia="Times New Roman" w:hAnsi="Times New Roman"/>
          <w:bCs/>
          <w:sz w:val="24"/>
          <w:szCs w:val="24"/>
        </w:rPr>
        <w:t> ;</w:t>
      </w:r>
      <w:r w:rsidR="00847D01">
        <w:rPr>
          <w:rFonts w:ascii="Times New Roman" w:eastAsia="Times New Roman" w:hAnsi="Times New Roman"/>
          <w:bCs/>
          <w:sz w:val="24"/>
          <w:szCs w:val="24"/>
        </w:rPr>
        <w:t xml:space="preserve"> le n</w:t>
      </w:r>
      <w:r w:rsidR="00847D01" w:rsidRPr="00847D01">
        <w:rPr>
          <w:rFonts w:ascii="Times New Roman" w:eastAsia="Times New Roman" w:hAnsi="Times New Roman"/>
          <w:bCs/>
          <w:sz w:val="24"/>
          <w:szCs w:val="24"/>
        </w:rPr>
        <w:t xml:space="preserve">ombre de rapports alternatifs produits et soumis aux organes des Traités et </w:t>
      </w:r>
      <w:r w:rsidR="00750D4E">
        <w:rPr>
          <w:rFonts w:ascii="Times New Roman" w:eastAsia="Times New Roman" w:hAnsi="Times New Roman"/>
          <w:bCs/>
          <w:sz w:val="24"/>
          <w:szCs w:val="24"/>
        </w:rPr>
        <w:t xml:space="preserve">au </w:t>
      </w:r>
      <w:r w:rsidR="00847D01" w:rsidRPr="00847D01">
        <w:rPr>
          <w:rFonts w:ascii="Times New Roman" w:eastAsia="Times New Roman" w:hAnsi="Times New Roman"/>
          <w:bCs/>
          <w:sz w:val="24"/>
          <w:szCs w:val="24"/>
        </w:rPr>
        <w:t>Conseil de Droit de l’Homme par les organisations de la société civile</w:t>
      </w:r>
      <w:r w:rsidR="00750D4E">
        <w:rPr>
          <w:rFonts w:ascii="Times New Roman" w:eastAsia="Times New Roman" w:hAnsi="Times New Roman"/>
          <w:bCs/>
          <w:sz w:val="24"/>
          <w:szCs w:val="24"/>
        </w:rPr>
        <w:t> ;</w:t>
      </w:r>
      <w:r w:rsidR="00847D01">
        <w:rPr>
          <w:rFonts w:ascii="Times New Roman" w:eastAsia="Times New Roman" w:hAnsi="Times New Roman"/>
          <w:bCs/>
          <w:sz w:val="24"/>
          <w:szCs w:val="24"/>
        </w:rPr>
        <w:t xml:space="preserve"> et le n</w:t>
      </w:r>
      <w:r w:rsidR="00847D01" w:rsidRPr="00847D01">
        <w:rPr>
          <w:rFonts w:ascii="Times New Roman" w:eastAsia="Times New Roman" w:hAnsi="Times New Roman"/>
          <w:bCs/>
          <w:sz w:val="24"/>
          <w:szCs w:val="24"/>
        </w:rPr>
        <w:t>ombre de lois spécifiques aux droits des femmes et des enfants qui sont en conformité avec les standards internationaux</w:t>
      </w:r>
      <w:r w:rsidR="00847D01">
        <w:rPr>
          <w:rFonts w:ascii="Times New Roman" w:eastAsia="Times New Roman" w:hAnsi="Times New Roman"/>
          <w:bCs/>
          <w:sz w:val="24"/>
          <w:szCs w:val="24"/>
        </w:rPr>
        <w:t xml:space="preserve">. A tous ces niveaux, les réalisations sont restées entre 33% et 40% des cibles assignées. </w:t>
      </w:r>
      <w:r w:rsidR="00881707">
        <w:rPr>
          <w:rFonts w:ascii="Times New Roman" w:eastAsia="Times New Roman" w:hAnsi="Times New Roman"/>
          <w:bCs/>
          <w:sz w:val="24"/>
          <w:szCs w:val="24"/>
        </w:rPr>
        <w:t xml:space="preserve">En revanche, la mise en </w:t>
      </w:r>
      <w:r w:rsidR="00881707" w:rsidRPr="00881707">
        <w:rPr>
          <w:rFonts w:ascii="Times New Roman" w:eastAsia="Times New Roman" w:hAnsi="Times New Roman"/>
          <w:bCs/>
          <w:sz w:val="24"/>
          <w:szCs w:val="24"/>
        </w:rPr>
        <w:t xml:space="preserve">œuvre des recommandations formulées </w:t>
      </w:r>
      <w:r w:rsidR="00881707">
        <w:rPr>
          <w:rFonts w:ascii="Times New Roman" w:eastAsia="Times New Roman" w:hAnsi="Times New Roman"/>
          <w:bCs/>
          <w:sz w:val="24"/>
          <w:szCs w:val="24"/>
        </w:rPr>
        <w:t>dans les rapports périodiques d</w:t>
      </w:r>
      <w:r w:rsidR="00881707" w:rsidRPr="00881707">
        <w:rPr>
          <w:rFonts w:ascii="Times New Roman" w:eastAsia="Times New Roman" w:hAnsi="Times New Roman"/>
          <w:bCs/>
          <w:sz w:val="24"/>
          <w:szCs w:val="24"/>
        </w:rPr>
        <w:t>es mécanismes de</w:t>
      </w:r>
      <w:r w:rsidR="00881707">
        <w:rPr>
          <w:rFonts w:ascii="Times New Roman" w:eastAsia="Times New Roman" w:hAnsi="Times New Roman"/>
          <w:bCs/>
          <w:sz w:val="24"/>
          <w:szCs w:val="24"/>
        </w:rPr>
        <w:t xml:space="preserve"> promotion des droits de l'homme, a </w:t>
      </w:r>
      <w:r w:rsidR="00750D4E">
        <w:rPr>
          <w:rFonts w:ascii="Times New Roman" w:eastAsia="Times New Roman" w:hAnsi="Times New Roman"/>
          <w:bCs/>
          <w:sz w:val="24"/>
          <w:szCs w:val="24"/>
        </w:rPr>
        <w:t xml:space="preserve">déjà </w:t>
      </w:r>
      <w:r w:rsidR="00881707">
        <w:rPr>
          <w:rFonts w:ascii="Times New Roman" w:eastAsia="Times New Roman" w:hAnsi="Times New Roman"/>
          <w:bCs/>
          <w:sz w:val="24"/>
          <w:szCs w:val="24"/>
        </w:rPr>
        <w:t>dépass</w:t>
      </w:r>
      <w:r w:rsidR="00750D4E">
        <w:rPr>
          <w:rFonts w:ascii="Times New Roman" w:eastAsia="Times New Roman" w:hAnsi="Times New Roman"/>
          <w:bCs/>
          <w:sz w:val="24"/>
          <w:szCs w:val="24"/>
        </w:rPr>
        <w:t>é</w:t>
      </w:r>
      <w:r w:rsidR="00881707">
        <w:rPr>
          <w:rFonts w:ascii="Times New Roman" w:eastAsia="Times New Roman" w:hAnsi="Times New Roman"/>
          <w:bCs/>
          <w:sz w:val="24"/>
          <w:szCs w:val="24"/>
        </w:rPr>
        <w:t xml:space="preserve"> l’objectif que le programme s’est donné</w:t>
      </w:r>
      <w:r w:rsidR="00750D4E">
        <w:rPr>
          <w:rFonts w:ascii="Times New Roman" w:eastAsia="Times New Roman" w:hAnsi="Times New Roman"/>
          <w:bCs/>
          <w:sz w:val="24"/>
          <w:szCs w:val="24"/>
        </w:rPr>
        <w:t xml:space="preserve"> en fin de cycle</w:t>
      </w:r>
      <w:r w:rsidR="00881707">
        <w:rPr>
          <w:rFonts w:ascii="Times New Roman" w:eastAsia="Times New Roman" w:hAnsi="Times New Roman"/>
          <w:bCs/>
          <w:sz w:val="24"/>
          <w:szCs w:val="24"/>
        </w:rPr>
        <w:t> : 27% contre une cible de 25%.</w:t>
      </w:r>
      <w:r w:rsidR="00B54333">
        <w:rPr>
          <w:rFonts w:ascii="Times New Roman" w:eastAsia="Times New Roman" w:hAnsi="Times New Roman"/>
          <w:bCs/>
          <w:vanish/>
          <w:sz w:val="24"/>
          <w:szCs w:val="24"/>
        </w:rPr>
        <w:t>andtltral Coursa vie publique. année du 2SS.dence du Groous-régionales comme ment de programme qui a été déjà ajournée ds le G</w:t>
      </w:r>
    </w:p>
    <w:p w14:paraId="604B51FE" w14:textId="77777777" w:rsidR="005D2BA7" w:rsidRDefault="005D2BA7" w:rsidP="005B22B2">
      <w:pPr>
        <w:spacing w:after="0" w:line="240" w:lineRule="auto"/>
        <w:jc w:val="both"/>
        <w:rPr>
          <w:rFonts w:ascii="Times New Roman" w:eastAsia="Times New Roman" w:hAnsi="Times New Roman"/>
          <w:bCs/>
          <w:sz w:val="24"/>
          <w:szCs w:val="24"/>
        </w:rPr>
      </w:pPr>
    </w:p>
    <w:p w14:paraId="604B51FF" w14:textId="77777777" w:rsidR="00CD703D" w:rsidRPr="003A1D53" w:rsidRDefault="007E34BC"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10</w:t>
      </w:r>
      <w:r w:rsidR="00574B4D">
        <w:rPr>
          <w:rFonts w:ascii="Times New Roman" w:eastAsia="Times New Roman" w:hAnsi="Times New Roman"/>
          <w:bCs/>
          <w:sz w:val="24"/>
          <w:szCs w:val="24"/>
        </w:rPr>
        <w:t>5</w:t>
      </w:r>
      <w:r>
        <w:rPr>
          <w:rFonts w:ascii="Times New Roman" w:eastAsia="Times New Roman" w:hAnsi="Times New Roman"/>
          <w:bCs/>
          <w:sz w:val="24"/>
          <w:szCs w:val="24"/>
        </w:rPr>
        <w:t>.</w:t>
      </w:r>
      <w:r w:rsidR="00CD703D">
        <w:rPr>
          <w:rFonts w:ascii="Times New Roman" w:eastAsia="Times New Roman" w:hAnsi="Times New Roman"/>
          <w:bCs/>
          <w:sz w:val="24"/>
          <w:szCs w:val="24"/>
        </w:rPr>
        <w:tab/>
      </w:r>
      <w:r w:rsidR="00A53D60" w:rsidRPr="003A1D53">
        <w:rPr>
          <w:rFonts w:ascii="Times New Roman" w:eastAsia="Times New Roman" w:hAnsi="Times New Roman"/>
          <w:bCs/>
          <w:sz w:val="24"/>
          <w:szCs w:val="24"/>
        </w:rPr>
        <w:t>L</w:t>
      </w:r>
      <w:r w:rsidR="00CD703D" w:rsidRPr="003A1D53">
        <w:rPr>
          <w:rFonts w:ascii="Times New Roman" w:eastAsia="Times New Roman" w:hAnsi="Times New Roman"/>
          <w:bCs/>
          <w:sz w:val="24"/>
          <w:szCs w:val="24"/>
        </w:rPr>
        <w:t>es contributions ci-dessus du programme devaient se fixer sur l’Effet 1 dont la substance est : "</w:t>
      </w:r>
      <w:r w:rsidR="00CD703D" w:rsidRPr="003A1D53">
        <w:rPr>
          <w:rFonts w:ascii="Times New Roman" w:eastAsia="Times New Roman" w:hAnsi="Times New Roman"/>
          <w:bCs/>
          <w:i/>
          <w:sz w:val="24"/>
          <w:szCs w:val="24"/>
        </w:rPr>
        <w:t xml:space="preserve"> Les institutions étatiques, nationales et locales, exercent de manière plus efficace leurs missions de service public et les acteurs non étatiques participent et assurent le contrôle citoyen en conformité avec les principes de bonne gouvernance et d’Etat de droit</w:t>
      </w:r>
      <w:r w:rsidR="00CD703D" w:rsidRPr="003A1D53">
        <w:rPr>
          <w:rFonts w:ascii="Times New Roman" w:eastAsia="Times New Roman" w:hAnsi="Times New Roman"/>
          <w:bCs/>
          <w:sz w:val="24"/>
          <w:szCs w:val="24"/>
        </w:rPr>
        <w:t xml:space="preserve">. La gouvernance </w:t>
      </w:r>
      <w:r w:rsidR="00145467" w:rsidRPr="003A1D53">
        <w:rPr>
          <w:rFonts w:ascii="Times New Roman" w:eastAsia="Times New Roman" w:hAnsi="Times New Roman"/>
          <w:bCs/>
          <w:sz w:val="24"/>
          <w:szCs w:val="24"/>
        </w:rPr>
        <w:t xml:space="preserve">de qualité </w:t>
      </w:r>
      <w:r w:rsidR="00CD703D" w:rsidRPr="003A1D53">
        <w:rPr>
          <w:rFonts w:ascii="Times New Roman" w:eastAsia="Times New Roman" w:hAnsi="Times New Roman"/>
          <w:bCs/>
          <w:sz w:val="24"/>
          <w:szCs w:val="24"/>
        </w:rPr>
        <w:t>qui occupe</w:t>
      </w:r>
      <w:r w:rsidR="00145467" w:rsidRPr="003A1D53">
        <w:rPr>
          <w:rFonts w:ascii="Times New Roman" w:eastAsia="Times New Roman" w:hAnsi="Times New Roman"/>
          <w:bCs/>
          <w:sz w:val="24"/>
          <w:szCs w:val="24"/>
        </w:rPr>
        <w:t xml:space="preserve"> la moitié du contenu de l’effet s’est dégradée, comme le montre l’index Mo Ibrahim dédié, mais aussi certaines constations comme le fait que beaucoup de partenaires au développement, les bilatéraux en particulier, se soient retirés de l’appui budgétaire au pays. Cela veut dire que les importantes réalisations reportées par le programme </w:t>
      </w:r>
      <w:r w:rsidR="0017347A" w:rsidRPr="003A1D53">
        <w:rPr>
          <w:rFonts w:ascii="Times New Roman" w:eastAsia="Times New Roman" w:hAnsi="Times New Roman"/>
          <w:bCs/>
          <w:sz w:val="24"/>
          <w:szCs w:val="24"/>
        </w:rPr>
        <w:t>d</w:t>
      </w:r>
      <w:r w:rsidR="00145467" w:rsidRPr="003A1D53">
        <w:rPr>
          <w:rFonts w:ascii="Times New Roman" w:eastAsia="Times New Roman" w:hAnsi="Times New Roman"/>
          <w:bCs/>
          <w:sz w:val="24"/>
          <w:szCs w:val="24"/>
        </w:rPr>
        <w:t>e renforcement des capacités des institutions de contrôle de l’action et des finances publiques, des organisations de société civile pratiquant le contrôle alternatif, n’ont pas pu influencer l’en</w:t>
      </w:r>
      <w:r w:rsidR="0017347A" w:rsidRPr="003A1D53">
        <w:rPr>
          <w:rFonts w:ascii="Times New Roman" w:eastAsia="Times New Roman" w:hAnsi="Times New Roman"/>
          <w:bCs/>
          <w:sz w:val="24"/>
          <w:szCs w:val="24"/>
        </w:rPr>
        <w:t>vironnement de manière notable.</w:t>
      </w:r>
      <w:r w:rsidR="00CD703D" w:rsidRPr="003A1D53">
        <w:rPr>
          <w:rFonts w:ascii="Times New Roman" w:eastAsia="Times New Roman" w:hAnsi="Times New Roman"/>
          <w:bCs/>
          <w:sz w:val="24"/>
          <w:szCs w:val="24"/>
        </w:rPr>
        <w:t xml:space="preserve"> </w:t>
      </w:r>
      <w:r w:rsidR="00145467" w:rsidRPr="003A1D53">
        <w:rPr>
          <w:rFonts w:ascii="Times New Roman" w:eastAsia="Times New Roman" w:hAnsi="Times New Roman"/>
          <w:bCs/>
          <w:sz w:val="24"/>
          <w:szCs w:val="24"/>
        </w:rPr>
        <w:t xml:space="preserve">Le même hiatus s’observe en matière de restauration des capacités du système judiciaire que le programme a fortement accompagnée, sans que pour l’heure l’indice global de confiance dans la justice et la gouvernance n’amorce une réelle amélioration. Il est vrai les investissements en faveur de la gouvernance </w:t>
      </w:r>
      <w:r w:rsidR="0017347A" w:rsidRPr="003A1D53">
        <w:rPr>
          <w:rFonts w:ascii="Times New Roman" w:eastAsia="Times New Roman" w:hAnsi="Times New Roman"/>
          <w:bCs/>
          <w:sz w:val="24"/>
          <w:szCs w:val="24"/>
        </w:rPr>
        <w:t xml:space="preserve">sont longs à </w:t>
      </w:r>
      <w:r w:rsidR="00A108B8" w:rsidRPr="003A1D53">
        <w:rPr>
          <w:rFonts w:ascii="Times New Roman" w:eastAsia="Times New Roman" w:hAnsi="Times New Roman"/>
          <w:bCs/>
          <w:sz w:val="24"/>
          <w:szCs w:val="24"/>
        </w:rPr>
        <w:t>transformer en gains tangibles.</w:t>
      </w:r>
    </w:p>
    <w:p w14:paraId="604B5200" w14:textId="77777777" w:rsidR="00A53D60" w:rsidRPr="003A1D53" w:rsidRDefault="00A53D60" w:rsidP="005B22B2">
      <w:pPr>
        <w:spacing w:after="0" w:line="240" w:lineRule="auto"/>
        <w:jc w:val="both"/>
        <w:rPr>
          <w:rFonts w:ascii="Times New Roman" w:eastAsia="Times New Roman" w:hAnsi="Times New Roman"/>
          <w:bCs/>
          <w:sz w:val="24"/>
          <w:szCs w:val="24"/>
        </w:rPr>
      </w:pPr>
    </w:p>
    <w:p w14:paraId="604B5201" w14:textId="77777777" w:rsidR="00A53D60" w:rsidRPr="003A1D53" w:rsidRDefault="007E34BC" w:rsidP="00A53D60">
      <w:pPr>
        <w:spacing w:after="0" w:line="240" w:lineRule="auto"/>
        <w:jc w:val="both"/>
        <w:rPr>
          <w:rFonts w:ascii="Times New Roman" w:hAnsi="Times New Roman"/>
          <w:sz w:val="24"/>
          <w:szCs w:val="24"/>
        </w:rPr>
      </w:pPr>
      <w:r w:rsidRPr="003A1D53">
        <w:rPr>
          <w:rFonts w:ascii="Times New Roman" w:hAnsi="Times New Roman"/>
          <w:sz w:val="24"/>
          <w:szCs w:val="24"/>
        </w:rPr>
        <w:t>10</w:t>
      </w:r>
      <w:r w:rsidR="00574B4D" w:rsidRPr="003A1D53">
        <w:rPr>
          <w:rFonts w:ascii="Times New Roman" w:hAnsi="Times New Roman"/>
          <w:sz w:val="24"/>
          <w:szCs w:val="24"/>
        </w:rPr>
        <w:t>6</w:t>
      </w:r>
      <w:r w:rsidRPr="003A1D53">
        <w:rPr>
          <w:rFonts w:ascii="Times New Roman" w:hAnsi="Times New Roman"/>
          <w:sz w:val="24"/>
          <w:szCs w:val="24"/>
        </w:rPr>
        <w:t>.</w:t>
      </w:r>
      <w:r w:rsidR="00A53D60" w:rsidRPr="003A1D53">
        <w:rPr>
          <w:rFonts w:ascii="Times New Roman" w:hAnsi="Times New Roman"/>
          <w:sz w:val="24"/>
          <w:szCs w:val="24"/>
        </w:rPr>
        <w:tab/>
        <w:t>En direction des Objectifs de Développement Durable, les contributions du programme sous l’Effet 3 résonnent aussi sur l’objectif 16, "Promouvoir l’avènement de sociétés pacifiques et ouvertes aux fins du développement durable, assurer à tous l’accès à la justice et mettre en place, à tous les niveaux, des institutions efficaces, responsables et ouvertes", étant entendu que cet objectif est un cadre global de facilitation de la réalisation des autres. Les contributions portent davantage sur les aspects de gouvernance qui constituent la deuxième partie de l’objectif.</w:t>
      </w:r>
    </w:p>
    <w:p w14:paraId="604B5202" w14:textId="77777777" w:rsidR="00A53D60" w:rsidRPr="003A1D53" w:rsidRDefault="00A53D60" w:rsidP="005B22B2">
      <w:pPr>
        <w:spacing w:after="0" w:line="240" w:lineRule="auto"/>
        <w:jc w:val="both"/>
        <w:rPr>
          <w:rFonts w:ascii="Times New Roman" w:eastAsia="Times New Roman" w:hAnsi="Times New Roman"/>
          <w:bCs/>
          <w:sz w:val="24"/>
          <w:szCs w:val="24"/>
        </w:rPr>
      </w:pPr>
    </w:p>
    <w:p w14:paraId="604B5203" w14:textId="77777777" w:rsidR="007E3885" w:rsidRPr="003A1D53" w:rsidRDefault="00C946CC" w:rsidP="005B22B2">
      <w:pPr>
        <w:pStyle w:val="Titre4"/>
        <w:numPr>
          <w:ilvl w:val="3"/>
          <w:numId w:val="4"/>
        </w:numPr>
        <w:spacing w:before="0" w:line="240" w:lineRule="auto"/>
        <w:rPr>
          <w:rFonts w:ascii="Times New Roman" w:hAnsi="Times New Roman"/>
          <w:i w:val="0"/>
          <w:color w:val="auto"/>
          <w:sz w:val="24"/>
          <w:szCs w:val="24"/>
        </w:rPr>
      </w:pPr>
      <w:r w:rsidRPr="003A1D53">
        <w:rPr>
          <w:rFonts w:ascii="Times New Roman" w:hAnsi="Times New Roman"/>
          <w:i w:val="0"/>
          <w:color w:val="auto"/>
          <w:sz w:val="24"/>
          <w:szCs w:val="24"/>
        </w:rPr>
        <w:t xml:space="preserve">Facteurs explicatifs : forces et faiblesses de la mise en œuvre de contributions sous l’Effet </w:t>
      </w:r>
      <w:r w:rsidR="007E3885" w:rsidRPr="003A1D53">
        <w:rPr>
          <w:rFonts w:ascii="Times New Roman" w:hAnsi="Times New Roman"/>
          <w:i w:val="0"/>
          <w:color w:val="auto"/>
          <w:sz w:val="24"/>
          <w:szCs w:val="24"/>
        </w:rPr>
        <w:t>3</w:t>
      </w:r>
    </w:p>
    <w:p w14:paraId="604B5204" w14:textId="77777777" w:rsidR="00C946CC" w:rsidRPr="003A1D53" w:rsidRDefault="00C946CC" w:rsidP="00C946CC">
      <w:pPr>
        <w:spacing w:after="0" w:line="240" w:lineRule="auto"/>
        <w:contextualSpacing/>
        <w:jc w:val="both"/>
        <w:rPr>
          <w:rFonts w:ascii="Times New Roman" w:eastAsia="Times New Roman" w:hAnsi="Times New Roman"/>
          <w:sz w:val="24"/>
          <w:szCs w:val="24"/>
          <w:lang w:bidi="en-US"/>
        </w:rPr>
      </w:pPr>
    </w:p>
    <w:p w14:paraId="604B5205" w14:textId="77777777" w:rsidR="00CD703D" w:rsidRPr="003A1D53" w:rsidRDefault="007E34BC" w:rsidP="00CD703D">
      <w:pPr>
        <w:spacing w:after="0" w:line="240" w:lineRule="auto"/>
        <w:contextualSpacing/>
        <w:jc w:val="both"/>
        <w:rPr>
          <w:rFonts w:ascii="Times New Roman" w:eastAsia="Times New Roman" w:hAnsi="Times New Roman"/>
          <w:sz w:val="24"/>
          <w:szCs w:val="24"/>
          <w:lang w:bidi="en-US"/>
        </w:rPr>
      </w:pPr>
      <w:r w:rsidRPr="003A1D53">
        <w:rPr>
          <w:rFonts w:ascii="Times New Roman" w:eastAsia="Times New Roman" w:hAnsi="Times New Roman"/>
          <w:sz w:val="24"/>
          <w:szCs w:val="24"/>
          <w:lang w:bidi="en-US"/>
        </w:rPr>
        <w:t>10</w:t>
      </w:r>
      <w:r w:rsidR="00574B4D" w:rsidRPr="003A1D53">
        <w:rPr>
          <w:rFonts w:ascii="Times New Roman" w:eastAsia="Times New Roman" w:hAnsi="Times New Roman"/>
          <w:sz w:val="24"/>
          <w:szCs w:val="24"/>
          <w:lang w:bidi="en-US"/>
        </w:rPr>
        <w:t>7</w:t>
      </w:r>
      <w:r w:rsidRPr="003A1D53">
        <w:rPr>
          <w:rFonts w:ascii="Times New Roman" w:eastAsia="Times New Roman" w:hAnsi="Times New Roman"/>
          <w:sz w:val="24"/>
          <w:szCs w:val="24"/>
          <w:lang w:bidi="en-US"/>
        </w:rPr>
        <w:t>.</w:t>
      </w:r>
      <w:r w:rsidR="00CD703D" w:rsidRPr="003A1D53">
        <w:rPr>
          <w:rFonts w:ascii="Times New Roman" w:eastAsia="Times New Roman" w:hAnsi="Times New Roman"/>
          <w:sz w:val="24"/>
          <w:szCs w:val="24"/>
          <w:lang w:bidi="en-US"/>
        </w:rPr>
        <w:tab/>
        <w:t xml:space="preserve">Les résultats obtenus par le programme au titre de cet effet ont été favorisés par : l'opérationnalisation des réflexions sur les mécanismes de prévention et de mitigation des conflits et les violences pré et post – électoraux ; la mise en place d’un mécanisme d`alerte précoce en vue de la réduction des risques de violence avec différents acteurs électoraux </w:t>
      </w:r>
      <w:r w:rsidR="00CD703D" w:rsidRPr="003A1D53">
        <w:rPr>
          <w:rFonts w:ascii="Times New Roman" w:eastAsia="Times New Roman" w:hAnsi="Times New Roman"/>
          <w:sz w:val="24"/>
          <w:szCs w:val="24"/>
          <w:lang w:bidi="en-US"/>
        </w:rPr>
        <w:lastRenderedPageBreak/>
        <w:t>nationaux ; la plus grande prise en compte de la dimension genre dans les élections nationale et locales ; et les efforts de construction d’infrastructures socio-économiques comme levier de renforcement de la cohésion nationale. Sur le plan des moyens budgétaires aussi, c’est la disponibilité d’un volant de ressources de près de 37 million de dollar qui a permis d’attendre les résultats répertoriés.</w:t>
      </w:r>
    </w:p>
    <w:p w14:paraId="604B5206" w14:textId="77777777" w:rsidR="00CD703D" w:rsidRPr="003A1D53" w:rsidRDefault="00CD703D" w:rsidP="00CD703D">
      <w:pPr>
        <w:spacing w:after="0" w:line="240" w:lineRule="auto"/>
        <w:contextualSpacing/>
        <w:jc w:val="both"/>
        <w:rPr>
          <w:rFonts w:ascii="Times New Roman" w:eastAsia="Times New Roman" w:hAnsi="Times New Roman"/>
          <w:b/>
          <w:sz w:val="16"/>
          <w:szCs w:val="16"/>
          <w:lang w:bidi="en-US"/>
        </w:rPr>
      </w:pPr>
    </w:p>
    <w:p w14:paraId="604B5207" w14:textId="77777777" w:rsidR="00C946CC" w:rsidRPr="003A1D53" w:rsidRDefault="007E34BC" w:rsidP="00502C0C">
      <w:pPr>
        <w:spacing w:after="0" w:line="240" w:lineRule="auto"/>
        <w:contextualSpacing/>
        <w:jc w:val="both"/>
        <w:rPr>
          <w:rFonts w:ascii="Times New Roman" w:eastAsia="Times New Roman" w:hAnsi="Times New Roman"/>
          <w:bCs/>
          <w:color w:val="000000"/>
          <w:sz w:val="24"/>
          <w:szCs w:val="24"/>
          <w:lang w:eastAsia="fr-FR" w:bidi="en-US"/>
        </w:rPr>
      </w:pPr>
      <w:r w:rsidRPr="003A1D53">
        <w:rPr>
          <w:rFonts w:ascii="Times New Roman" w:eastAsia="Times New Roman" w:hAnsi="Times New Roman"/>
          <w:sz w:val="24"/>
          <w:szCs w:val="24"/>
          <w:lang w:bidi="en-US"/>
        </w:rPr>
        <w:t>10</w:t>
      </w:r>
      <w:r w:rsidR="00574B4D" w:rsidRPr="003A1D53">
        <w:rPr>
          <w:rFonts w:ascii="Times New Roman" w:eastAsia="Times New Roman" w:hAnsi="Times New Roman"/>
          <w:sz w:val="24"/>
          <w:szCs w:val="24"/>
          <w:lang w:bidi="en-US"/>
        </w:rPr>
        <w:t>8</w:t>
      </w:r>
      <w:r w:rsidRPr="003A1D53">
        <w:rPr>
          <w:rFonts w:ascii="Times New Roman" w:eastAsia="Times New Roman" w:hAnsi="Times New Roman"/>
          <w:sz w:val="24"/>
          <w:szCs w:val="24"/>
          <w:lang w:bidi="en-US"/>
        </w:rPr>
        <w:t>.</w:t>
      </w:r>
      <w:r w:rsidR="00C946CC" w:rsidRPr="003A1D53">
        <w:rPr>
          <w:rFonts w:ascii="Times New Roman" w:eastAsia="Times New Roman" w:hAnsi="Times New Roman"/>
          <w:sz w:val="24"/>
          <w:szCs w:val="24"/>
          <w:lang w:bidi="en-US"/>
        </w:rPr>
        <w:tab/>
        <w:t xml:space="preserve">Les facteurs de gêne des progrès sur les produits liés à l’Effet 3 sont, notamment : </w:t>
      </w:r>
      <w:r w:rsidR="00C946CC" w:rsidRPr="003A1D53">
        <w:rPr>
          <w:rFonts w:ascii="Times New Roman" w:eastAsia="Times New Roman" w:hAnsi="Times New Roman"/>
          <w:color w:val="000000"/>
          <w:sz w:val="24"/>
          <w:szCs w:val="24"/>
          <w:lang w:eastAsia="fr-FR" w:bidi="en-US"/>
        </w:rPr>
        <w:t xml:space="preserve">le contexte sécuritaire dans les régions du nord, de la région de Mopti et de certaines parties de la région de Ségou  qui rend difficile la mise en œuvre des activités sur le terrain ; </w:t>
      </w:r>
      <w:r w:rsidR="00C946CC" w:rsidRPr="003A1D53">
        <w:rPr>
          <w:rFonts w:ascii="Times New Roman" w:eastAsia="Times New Roman" w:hAnsi="Times New Roman"/>
          <w:sz w:val="24"/>
          <w:szCs w:val="24"/>
          <w:lang w:bidi="en-US"/>
        </w:rPr>
        <w:t>les insuffisances des dispositions électorales et le besoin d</w:t>
      </w:r>
      <w:r w:rsidR="00502C0C" w:rsidRPr="003A1D53">
        <w:rPr>
          <w:rFonts w:ascii="Times New Roman" w:eastAsia="Times New Roman" w:hAnsi="Times New Roman"/>
          <w:sz w:val="24"/>
          <w:szCs w:val="24"/>
          <w:lang w:bidi="en-US"/>
        </w:rPr>
        <w:t>e prise d’</w:t>
      </w:r>
      <w:r w:rsidR="00C946CC" w:rsidRPr="003A1D53">
        <w:rPr>
          <w:rFonts w:ascii="Times New Roman" w:eastAsia="Times New Roman" w:hAnsi="Times New Roman"/>
          <w:sz w:val="24"/>
          <w:szCs w:val="24"/>
          <w:lang w:bidi="en-US"/>
        </w:rPr>
        <w:t xml:space="preserve">amendements </w:t>
      </w:r>
      <w:r w:rsidR="00502C0C" w:rsidRPr="003A1D53">
        <w:rPr>
          <w:rFonts w:ascii="Times New Roman" w:eastAsia="Times New Roman" w:hAnsi="Times New Roman"/>
          <w:sz w:val="24"/>
          <w:szCs w:val="24"/>
          <w:lang w:bidi="en-US"/>
        </w:rPr>
        <w:t xml:space="preserve">pour faire avancer certaines questions </w:t>
      </w:r>
      <w:r w:rsidR="00C946CC" w:rsidRPr="003A1D53">
        <w:rPr>
          <w:rFonts w:ascii="Times New Roman" w:eastAsia="Times New Roman" w:hAnsi="Times New Roman"/>
          <w:sz w:val="24"/>
          <w:szCs w:val="24"/>
          <w:lang w:bidi="en-US"/>
        </w:rPr>
        <w:t>;</w:t>
      </w:r>
      <w:r w:rsidR="00502C0C" w:rsidRPr="003A1D53">
        <w:rPr>
          <w:rFonts w:ascii="Times New Roman" w:eastAsia="Times New Roman" w:hAnsi="Times New Roman"/>
          <w:sz w:val="24"/>
          <w:szCs w:val="24"/>
          <w:lang w:bidi="en-US"/>
        </w:rPr>
        <w:t xml:space="preserve"> </w:t>
      </w:r>
      <w:r w:rsidR="00C946CC" w:rsidRPr="003A1D53">
        <w:rPr>
          <w:rFonts w:ascii="Times New Roman" w:eastAsia="Arial" w:hAnsi="Times New Roman"/>
          <w:sz w:val="24"/>
          <w:szCs w:val="24"/>
          <w:lang w:bidi="en-US"/>
        </w:rPr>
        <w:t>la faible</w:t>
      </w:r>
      <w:r w:rsidR="00502C0C" w:rsidRPr="003A1D53">
        <w:rPr>
          <w:rFonts w:ascii="Times New Roman" w:eastAsia="Arial" w:hAnsi="Times New Roman"/>
          <w:sz w:val="24"/>
          <w:szCs w:val="24"/>
          <w:lang w:bidi="en-US"/>
        </w:rPr>
        <w:t xml:space="preserve">sse persistantes des </w:t>
      </w:r>
      <w:r w:rsidR="00C946CC" w:rsidRPr="003A1D53">
        <w:rPr>
          <w:rFonts w:ascii="Times New Roman" w:eastAsia="Arial" w:hAnsi="Times New Roman"/>
          <w:sz w:val="24"/>
          <w:szCs w:val="24"/>
          <w:lang w:bidi="en-US"/>
        </w:rPr>
        <w:t>capacité</w:t>
      </w:r>
      <w:r w:rsidR="00502C0C" w:rsidRPr="003A1D53">
        <w:rPr>
          <w:rFonts w:ascii="Times New Roman" w:eastAsia="Arial" w:hAnsi="Times New Roman"/>
          <w:sz w:val="24"/>
          <w:szCs w:val="24"/>
          <w:lang w:bidi="en-US"/>
        </w:rPr>
        <w:t>s</w:t>
      </w:r>
      <w:r w:rsidR="00C946CC" w:rsidRPr="003A1D53">
        <w:rPr>
          <w:rFonts w:ascii="Times New Roman" w:eastAsia="Arial" w:hAnsi="Times New Roman"/>
          <w:sz w:val="24"/>
          <w:szCs w:val="24"/>
          <w:lang w:bidi="en-US"/>
        </w:rPr>
        <w:t xml:space="preserve"> de gestion des collectivités décentralisées</w:t>
      </w:r>
      <w:r w:rsidR="00502C0C" w:rsidRPr="003A1D53">
        <w:rPr>
          <w:rFonts w:ascii="Times New Roman" w:eastAsia="Arial" w:hAnsi="Times New Roman"/>
          <w:sz w:val="24"/>
          <w:szCs w:val="24"/>
          <w:lang w:bidi="en-US"/>
        </w:rPr>
        <w:t xml:space="preserve"> </w:t>
      </w:r>
      <w:r w:rsidR="00C946CC" w:rsidRPr="003A1D53">
        <w:rPr>
          <w:rFonts w:ascii="Times New Roman" w:eastAsia="Times New Roman" w:hAnsi="Times New Roman"/>
          <w:sz w:val="24"/>
          <w:szCs w:val="24"/>
          <w:lang w:bidi="en-US"/>
        </w:rPr>
        <w:t xml:space="preserve">; </w:t>
      </w:r>
      <w:r w:rsidR="00502C0C" w:rsidRPr="003A1D53">
        <w:rPr>
          <w:rFonts w:ascii="Times New Roman" w:eastAsia="Times New Roman" w:hAnsi="Times New Roman"/>
          <w:sz w:val="24"/>
          <w:szCs w:val="24"/>
          <w:lang w:bidi="en-US"/>
        </w:rPr>
        <w:t>en rapport avec la contrainte précédente, l</w:t>
      </w:r>
      <w:r w:rsidR="00502C0C" w:rsidRPr="003A1D53">
        <w:rPr>
          <w:rFonts w:ascii="Times New Roman" w:eastAsia="Arial" w:hAnsi="Times New Roman"/>
          <w:sz w:val="24"/>
          <w:szCs w:val="24"/>
          <w:lang w:bidi="en-US"/>
        </w:rPr>
        <w:t>e faible niveau de formation d’une bonne partie des membres des autorités intérimaires et des collèges transitoires</w:t>
      </w:r>
      <w:r w:rsidR="00502C0C" w:rsidRPr="003A1D53">
        <w:rPr>
          <w:rFonts w:ascii="Times New Roman" w:eastAsia="Times New Roman" w:hAnsi="Times New Roman"/>
          <w:sz w:val="24"/>
          <w:szCs w:val="24"/>
          <w:lang w:bidi="en-US"/>
        </w:rPr>
        <w:t xml:space="preserve"> ; et</w:t>
      </w:r>
      <w:r w:rsidR="000E2367" w:rsidRPr="003A1D53">
        <w:rPr>
          <w:rFonts w:ascii="Times New Roman" w:eastAsia="Arial" w:hAnsi="Times New Roman"/>
          <w:sz w:val="24"/>
          <w:szCs w:val="24"/>
          <w:lang w:bidi="en-US"/>
        </w:rPr>
        <w:t xml:space="preserve"> </w:t>
      </w:r>
      <w:r w:rsidR="00502C0C" w:rsidRPr="003A1D53">
        <w:rPr>
          <w:rFonts w:ascii="Times New Roman" w:eastAsia="Times New Roman" w:hAnsi="Times New Roman"/>
          <w:sz w:val="24"/>
          <w:szCs w:val="24"/>
          <w:lang w:bidi="en-US"/>
        </w:rPr>
        <w:t xml:space="preserve">la non </w:t>
      </w:r>
      <w:r w:rsidR="00C946CC" w:rsidRPr="003A1D53">
        <w:rPr>
          <w:rFonts w:ascii="Times New Roman" w:eastAsia="Times New Roman" w:hAnsi="Times New Roman"/>
          <w:sz w:val="24"/>
          <w:szCs w:val="24"/>
          <w:lang w:bidi="en-US"/>
        </w:rPr>
        <w:t xml:space="preserve">effectivité </w:t>
      </w:r>
      <w:r w:rsidR="00502C0C" w:rsidRPr="003A1D53">
        <w:rPr>
          <w:rFonts w:ascii="Times New Roman" w:eastAsia="Times New Roman" w:hAnsi="Times New Roman"/>
          <w:sz w:val="24"/>
          <w:szCs w:val="24"/>
          <w:lang w:bidi="en-US"/>
        </w:rPr>
        <w:t xml:space="preserve">de la présence </w:t>
      </w:r>
      <w:r w:rsidR="00C946CC" w:rsidRPr="003A1D53">
        <w:rPr>
          <w:rFonts w:ascii="Times New Roman" w:eastAsia="Times New Roman" w:hAnsi="Times New Roman"/>
          <w:sz w:val="24"/>
          <w:szCs w:val="24"/>
          <w:lang w:bidi="en-US"/>
        </w:rPr>
        <w:t xml:space="preserve">des services de l’administration dans les régions nord et </w:t>
      </w:r>
      <w:r w:rsidR="00502C0C" w:rsidRPr="003A1D53">
        <w:rPr>
          <w:rFonts w:ascii="Times New Roman" w:eastAsia="Times New Roman" w:hAnsi="Times New Roman"/>
          <w:sz w:val="24"/>
          <w:szCs w:val="24"/>
          <w:lang w:bidi="en-US"/>
        </w:rPr>
        <w:t xml:space="preserve">du </w:t>
      </w:r>
      <w:r w:rsidR="00C946CC" w:rsidRPr="003A1D53">
        <w:rPr>
          <w:rFonts w:ascii="Times New Roman" w:eastAsia="Times New Roman" w:hAnsi="Times New Roman"/>
          <w:sz w:val="24"/>
          <w:szCs w:val="24"/>
          <w:lang w:bidi="en-US"/>
        </w:rPr>
        <w:t>centre du pays</w:t>
      </w:r>
      <w:r w:rsidR="00502C0C" w:rsidRPr="003A1D53">
        <w:rPr>
          <w:rFonts w:ascii="Times New Roman" w:eastAsia="Times New Roman" w:hAnsi="Times New Roman"/>
          <w:sz w:val="24"/>
          <w:szCs w:val="24"/>
          <w:lang w:bidi="en-US"/>
        </w:rPr>
        <w:t>.</w:t>
      </w:r>
      <w:r w:rsidR="000E2367" w:rsidRPr="003A1D53">
        <w:rPr>
          <w:rFonts w:ascii="Times New Roman" w:eastAsia="Times New Roman" w:hAnsi="Times New Roman"/>
          <w:sz w:val="24"/>
          <w:szCs w:val="24"/>
          <w:lang w:bidi="en-US"/>
        </w:rPr>
        <w:t xml:space="preserve"> En termes d’allocations de ressources, le programme</w:t>
      </w:r>
      <w:r w:rsidR="00CD703D" w:rsidRPr="003A1D53">
        <w:rPr>
          <w:rFonts w:ascii="Times New Roman" w:eastAsia="Times New Roman" w:hAnsi="Times New Roman"/>
          <w:sz w:val="24"/>
          <w:szCs w:val="24"/>
          <w:lang w:bidi="en-US"/>
        </w:rPr>
        <w:t xml:space="preserve"> a alloué à l’Effet 3 le second plus faible budget mobilisé, juste devant le second Effet.</w:t>
      </w:r>
    </w:p>
    <w:p w14:paraId="604B5208" w14:textId="77777777" w:rsidR="00C946CC" w:rsidRPr="003A1D53" w:rsidRDefault="00C946CC" w:rsidP="00C946CC">
      <w:pPr>
        <w:spacing w:after="0" w:line="240" w:lineRule="auto"/>
        <w:contextualSpacing/>
        <w:jc w:val="both"/>
        <w:rPr>
          <w:rFonts w:ascii="Times New Roman" w:eastAsia="Times New Roman" w:hAnsi="Times New Roman"/>
          <w:bCs/>
          <w:sz w:val="16"/>
          <w:szCs w:val="16"/>
          <w:lang w:eastAsia="fr-FR" w:bidi="en-US"/>
        </w:rPr>
      </w:pPr>
    </w:p>
    <w:p w14:paraId="604B5209" w14:textId="77777777" w:rsidR="00BA3DC6" w:rsidRPr="003A1D53" w:rsidRDefault="00C36DC5" w:rsidP="005B22B2">
      <w:pPr>
        <w:pStyle w:val="Titre3"/>
        <w:numPr>
          <w:ilvl w:val="2"/>
          <w:numId w:val="4"/>
        </w:numPr>
        <w:shd w:val="clear" w:color="auto" w:fill="DEEAF6" w:themeFill="accent1" w:themeFillTint="33"/>
        <w:spacing w:before="0" w:line="240" w:lineRule="auto"/>
        <w:jc w:val="both"/>
        <w:rPr>
          <w:rFonts w:ascii="Times New Roman" w:hAnsi="Times New Roman"/>
          <w:color w:val="auto"/>
          <w:sz w:val="24"/>
          <w:szCs w:val="24"/>
        </w:rPr>
      </w:pPr>
      <w:bookmarkStart w:id="205" w:name="_Toc499211617"/>
      <w:bookmarkStart w:id="206" w:name="_Toc500974544"/>
      <w:bookmarkStart w:id="207" w:name="_Toc502863897"/>
      <w:bookmarkStart w:id="208" w:name="_Toc505758480"/>
      <w:bookmarkStart w:id="209" w:name="_Toc506201572"/>
      <w:r w:rsidRPr="003A1D53">
        <w:rPr>
          <w:rFonts w:ascii="Times New Roman" w:hAnsi="Times New Roman"/>
          <w:color w:val="auto"/>
          <w:sz w:val="24"/>
          <w:szCs w:val="24"/>
        </w:rPr>
        <w:t xml:space="preserve">Effet 4 : </w:t>
      </w:r>
      <w:r w:rsidR="00F221A7" w:rsidRPr="003A1D53">
        <w:rPr>
          <w:rFonts w:ascii="Times New Roman" w:hAnsi="Times New Roman"/>
          <w:color w:val="auto"/>
          <w:sz w:val="24"/>
          <w:szCs w:val="24"/>
        </w:rPr>
        <w:t>"</w:t>
      </w:r>
      <w:r w:rsidR="008A2CF5" w:rsidRPr="003A1D53">
        <w:rPr>
          <w:rFonts w:ascii="Times New Roman" w:hAnsi="Times New Roman"/>
          <w:color w:val="auto"/>
          <w:sz w:val="24"/>
          <w:szCs w:val="24"/>
        </w:rPr>
        <w:t>D’ici 2019, les populations, en particulier les femmes et les enfants les plus vulnérables et celles affectées par les crises, ont un accès accru et équitable et utilisent les SSB de qualité</w:t>
      </w:r>
      <w:r w:rsidR="00F221A7" w:rsidRPr="003A1D53">
        <w:rPr>
          <w:rFonts w:ascii="Times New Roman" w:hAnsi="Times New Roman"/>
          <w:color w:val="auto"/>
          <w:sz w:val="24"/>
          <w:szCs w:val="24"/>
        </w:rPr>
        <w:t>."</w:t>
      </w:r>
      <w:bookmarkEnd w:id="205"/>
      <w:bookmarkEnd w:id="206"/>
      <w:bookmarkEnd w:id="207"/>
      <w:bookmarkEnd w:id="208"/>
      <w:bookmarkEnd w:id="209"/>
    </w:p>
    <w:p w14:paraId="604B520A" w14:textId="77777777" w:rsidR="00BA3DC6" w:rsidRPr="003A1D53" w:rsidRDefault="00BA3DC6" w:rsidP="005B22B2">
      <w:pPr>
        <w:spacing w:after="0" w:line="240" w:lineRule="auto"/>
        <w:rPr>
          <w:rFonts w:ascii="Times New Roman" w:hAnsi="Times New Roman"/>
          <w:sz w:val="24"/>
          <w:szCs w:val="24"/>
        </w:rPr>
      </w:pPr>
    </w:p>
    <w:p w14:paraId="604B520B" w14:textId="77777777" w:rsidR="00F221A7" w:rsidRPr="003A1D53" w:rsidRDefault="00F221A7" w:rsidP="005B22B2">
      <w:pPr>
        <w:pStyle w:val="Titre4"/>
        <w:numPr>
          <w:ilvl w:val="3"/>
          <w:numId w:val="4"/>
        </w:numPr>
        <w:spacing w:before="0" w:line="240" w:lineRule="auto"/>
        <w:rPr>
          <w:rFonts w:ascii="Times New Roman" w:hAnsi="Times New Roman"/>
          <w:i w:val="0"/>
          <w:color w:val="auto"/>
          <w:sz w:val="24"/>
          <w:szCs w:val="24"/>
        </w:rPr>
      </w:pPr>
      <w:r w:rsidRPr="003A1D53">
        <w:rPr>
          <w:rFonts w:ascii="Times New Roman" w:hAnsi="Times New Roman"/>
          <w:i w:val="0"/>
          <w:color w:val="auto"/>
          <w:sz w:val="24"/>
          <w:szCs w:val="24"/>
        </w:rPr>
        <w:t xml:space="preserve">Résultats obtenus par le pays dans le domaine </w:t>
      </w:r>
      <w:r w:rsidR="00536985" w:rsidRPr="003A1D53">
        <w:rPr>
          <w:rFonts w:ascii="Times New Roman" w:hAnsi="Times New Roman"/>
          <w:i w:val="0"/>
          <w:color w:val="auto"/>
          <w:sz w:val="24"/>
          <w:szCs w:val="24"/>
        </w:rPr>
        <w:t>de l’Effet 4</w:t>
      </w:r>
    </w:p>
    <w:p w14:paraId="604B520C" w14:textId="77777777" w:rsidR="0050660A" w:rsidRPr="003A1D53" w:rsidRDefault="0050660A" w:rsidP="005B22B2">
      <w:pPr>
        <w:spacing w:after="0" w:line="240" w:lineRule="auto"/>
        <w:jc w:val="both"/>
        <w:rPr>
          <w:rFonts w:ascii="Times New Roman" w:hAnsi="Times New Roman"/>
          <w:sz w:val="24"/>
          <w:szCs w:val="24"/>
        </w:rPr>
      </w:pPr>
    </w:p>
    <w:p w14:paraId="604B520D" w14:textId="77777777" w:rsidR="00B002E3" w:rsidRDefault="0048539E" w:rsidP="005B22B2">
      <w:pPr>
        <w:spacing w:after="0" w:line="240" w:lineRule="auto"/>
        <w:jc w:val="both"/>
        <w:rPr>
          <w:rFonts w:ascii="Times New Roman" w:hAnsi="Times New Roman"/>
          <w:sz w:val="24"/>
          <w:szCs w:val="24"/>
        </w:rPr>
      </w:pPr>
      <w:r w:rsidRPr="003A1D53">
        <w:rPr>
          <w:rFonts w:ascii="Times New Roman" w:hAnsi="Times New Roman"/>
          <w:sz w:val="24"/>
          <w:szCs w:val="24"/>
        </w:rPr>
        <w:t>10</w:t>
      </w:r>
      <w:r w:rsidR="00574B4D" w:rsidRPr="003A1D53">
        <w:rPr>
          <w:rFonts w:ascii="Times New Roman" w:hAnsi="Times New Roman"/>
          <w:sz w:val="24"/>
          <w:szCs w:val="24"/>
        </w:rPr>
        <w:t>9</w:t>
      </w:r>
      <w:r w:rsidRPr="003A1D53">
        <w:rPr>
          <w:rFonts w:ascii="Times New Roman" w:hAnsi="Times New Roman"/>
          <w:sz w:val="24"/>
          <w:szCs w:val="24"/>
        </w:rPr>
        <w:t>.</w:t>
      </w:r>
      <w:r w:rsidR="00F04EB5" w:rsidRPr="003A1D53">
        <w:rPr>
          <w:rFonts w:ascii="Times New Roman" w:hAnsi="Times New Roman"/>
          <w:sz w:val="24"/>
          <w:szCs w:val="24"/>
        </w:rPr>
        <w:tab/>
        <w:t>Les performances du pays en rapport avec l’Effet 4, "</w:t>
      </w:r>
      <w:r w:rsidR="00F04EB5" w:rsidRPr="003A1D53">
        <w:rPr>
          <w:rFonts w:ascii="Times New Roman" w:hAnsi="Times New Roman"/>
          <w:i/>
          <w:sz w:val="24"/>
          <w:szCs w:val="24"/>
        </w:rPr>
        <w:t>D’ici 2019, les populations, en particulier les femmes et les enfants les plus vulnérables et celles affectées par les crises, ont un accès accru et équitable et utilisent les SSB de qualité</w:t>
      </w:r>
      <w:r w:rsidR="00F04EB5" w:rsidRPr="003A1D53">
        <w:rPr>
          <w:rFonts w:ascii="Times New Roman" w:hAnsi="Times New Roman"/>
          <w:sz w:val="24"/>
          <w:szCs w:val="24"/>
        </w:rPr>
        <w:t xml:space="preserve">.", </w:t>
      </w:r>
      <w:r w:rsidR="00E623F7" w:rsidRPr="003A1D53">
        <w:rPr>
          <w:rFonts w:ascii="Times New Roman" w:hAnsi="Times New Roman"/>
          <w:sz w:val="24"/>
          <w:szCs w:val="24"/>
        </w:rPr>
        <w:t xml:space="preserve">devaient se manifester à travers quelque 16 indicateurs, organisés toutefois autour de secteurs sociaux cibles : la santé de reproduction ; les violences </w:t>
      </w:r>
      <w:r w:rsidR="000228C8" w:rsidRPr="003A1D53">
        <w:rPr>
          <w:rFonts w:ascii="Times New Roman" w:hAnsi="Times New Roman"/>
          <w:sz w:val="24"/>
          <w:szCs w:val="24"/>
        </w:rPr>
        <w:t xml:space="preserve">faites </w:t>
      </w:r>
      <w:r w:rsidR="00E623F7" w:rsidRPr="003A1D53">
        <w:rPr>
          <w:rFonts w:ascii="Times New Roman" w:hAnsi="Times New Roman"/>
          <w:sz w:val="24"/>
          <w:szCs w:val="24"/>
        </w:rPr>
        <w:t>aux femmes ; la nutrition ; la</w:t>
      </w:r>
      <w:r w:rsidR="000228C8" w:rsidRPr="003A1D53">
        <w:rPr>
          <w:rFonts w:ascii="Times New Roman" w:hAnsi="Times New Roman"/>
          <w:sz w:val="24"/>
          <w:szCs w:val="24"/>
        </w:rPr>
        <w:t xml:space="preserve"> lutte contre</w:t>
      </w:r>
      <w:r w:rsidR="00E623F7" w:rsidRPr="003A1D53">
        <w:rPr>
          <w:rFonts w:ascii="Times New Roman" w:hAnsi="Times New Roman"/>
          <w:sz w:val="24"/>
          <w:szCs w:val="24"/>
        </w:rPr>
        <w:t xml:space="preserve"> VIH/SIDA ; et la </w:t>
      </w:r>
      <w:r w:rsidR="00B76361" w:rsidRPr="003A1D53">
        <w:rPr>
          <w:rFonts w:ascii="Times New Roman" w:hAnsi="Times New Roman"/>
          <w:sz w:val="24"/>
          <w:szCs w:val="24"/>
        </w:rPr>
        <w:t>scolarisation</w:t>
      </w:r>
      <w:r w:rsidR="00E623F7" w:rsidRPr="003A1D53">
        <w:rPr>
          <w:rFonts w:ascii="Times New Roman" w:hAnsi="Times New Roman"/>
          <w:sz w:val="24"/>
          <w:szCs w:val="24"/>
        </w:rPr>
        <w:t>.</w:t>
      </w:r>
    </w:p>
    <w:p w14:paraId="604B520E" w14:textId="77777777" w:rsidR="008F3842" w:rsidRDefault="008F3842" w:rsidP="005B22B2">
      <w:pPr>
        <w:spacing w:after="0" w:line="240" w:lineRule="auto"/>
        <w:jc w:val="both"/>
        <w:rPr>
          <w:rFonts w:ascii="Times New Roman" w:hAnsi="Times New Roman"/>
          <w:sz w:val="24"/>
          <w:szCs w:val="24"/>
        </w:rPr>
      </w:pPr>
    </w:p>
    <w:p w14:paraId="604B520F" w14:textId="77777777" w:rsidR="008F3842" w:rsidRDefault="0048539E" w:rsidP="005B22B2">
      <w:pPr>
        <w:spacing w:after="0" w:line="240" w:lineRule="auto"/>
        <w:jc w:val="both"/>
        <w:rPr>
          <w:rFonts w:ascii="Times New Roman" w:hAnsi="Times New Roman"/>
          <w:sz w:val="24"/>
          <w:szCs w:val="24"/>
        </w:rPr>
      </w:pPr>
      <w:r w:rsidRPr="00C84BF9">
        <w:rPr>
          <w:rFonts w:ascii="Times New Roman" w:hAnsi="Times New Roman"/>
          <w:sz w:val="24"/>
          <w:szCs w:val="24"/>
        </w:rPr>
        <w:t>1</w:t>
      </w:r>
      <w:r w:rsidR="00574B4D">
        <w:rPr>
          <w:rFonts w:ascii="Times New Roman" w:hAnsi="Times New Roman"/>
          <w:sz w:val="24"/>
          <w:szCs w:val="24"/>
        </w:rPr>
        <w:t>1</w:t>
      </w:r>
      <w:r w:rsidRPr="00C84BF9">
        <w:rPr>
          <w:rFonts w:ascii="Times New Roman" w:hAnsi="Times New Roman"/>
          <w:sz w:val="24"/>
          <w:szCs w:val="24"/>
        </w:rPr>
        <w:t>0.</w:t>
      </w:r>
      <w:r w:rsidR="008F3842" w:rsidRPr="00C84BF9">
        <w:rPr>
          <w:rFonts w:ascii="Times New Roman" w:hAnsi="Times New Roman"/>
          <w:sz w:val="24"/>
          <w:szCs w:val="24"/>
        </w:rPr>
        <w:tab/>
      </w:r>
      <w:r w:rsidR="00E44BDD" w:rsidRPr="00C84BF9">
        <w:rPr>
          <w:rFonts w:ascii="Times New Roman" w:hAnsi="Times New Roman"/>
          <w:sz w:val="24"/>
          <w:szCs w:val="24"/>
        </w:rPr>
        <w:t>Le seul indicateur de santé de reproduction renseigné, le taux d’accouchement assisté par un personnel qualifié, s’est fortement dégradé en perdant pas moins de 6 po</w:t>
      </w:r>
      <w:r w:rsidR="004A638D" w:rsidRPr="00C84BF9">
        <w:rPr>
          <w:rFonts w:ascii="Times New Roman" w:hAnsi="Times New Roman"/>
          <w:sz w:val="24"/>
          <w:szCs w:val="24"/>
        </w:rPr>
        <w:t xml:space="preserve">ints </w:t>
      </w:r>
      <w:r w:rsidR="00E44BDD" w:rsidRPr="00C84BF9">
        <w:rPr>
          <w:rFonts w:ascii="Times New Roman" w:hAnsi="Times New Roman"/>
          <w:sz w:val="24"/>
          <w:szCs w:val="24"/>
        </w:rPr>
        <w:t>p</w:t>
      </w:r>
      <w:r w:rsidR="004A638D" w:rsidRPr="00C84BF9">
        <w:rPr>
          <w:rFonts w:ascii="Times New Roman" w:hAnsi="Times New Roman"/>
          <w:sz w:val="24"/>
          <w:szCs w:val="24"/>
        </w:rPr>
        <w:t>a</w:t>
      </w:r>
      <w:r w:rsidR="00E44BDD" w:rsidRPr="00C84BF9">
        <w:rPr>
          <w:rFonts w:ascii="Times New Roman" w:hAnsi="Times New Roman"/>
          <w:sz w:val="24"/>
          <w:szCs w:val="24"/>
        </w:rPr>
        <w:t xml:space="preserve">r rapport à la situation de référence de 2013. </w:t>
      </w:r>
      <w:r w:rsidR="004A638D" w:rsidRPr="00C84BF9">
        <w:rPr>
          <w:rFonts w:ascii="Times New Roman" w:hAnsi="Times New Roman"/>
          <w:sz w:val="24"/>
          <w:szCs w:val="24"/>
        </w:rPr>
        <w:t xml:space="preserve">Dans la lutte contre le VIH/SIDA, seul le taux de couverture en ARV chez les adultes et enfants infectés par le VIH, est renseigné, et il </w:t>
      </w:r>
      <w:r w:rsidR="00192839" w:rsidRPr="00C84BF9">
        <w:rPr>
          <w:rFonts w:ascii="Times New Roman" w:hAnsi="Times New Roman"/>
          <w:sz w:val="24"/>
          <w:szCs w:val="24"/>
        </w:rPr>
        <w:t xml:space="preserve">ne progresse pas assez vite pour que la cible soit atteinte en 2019. </w:t>
      </w:r>
      <w:r w:rsidR="004A638D" w:rsidRPr="00C84BF9">
        <w:rPr>
          <w:rFonts w:ascii="Times New Roman" w:hAnsi="Times New Roman"/>
          <w:sz w:val="24"/>
          <w:szCs w:val="24"/>
        </w:rPr>
        <w:t xml:space="preserve">La malnutrition chronique recule en revanche, mais à un rythme assez moyen avec un gain d’un peu plus d’un point sur les 5 à conquérir en fin de cycle de programmation. </w:t>
      </w:r>
      <w:r w:rsidR="008F3842" w:rsidRPr="00C84BF9">
        <w:rPr>
          <w:rFonts w:ascii="Times New Roman" w:hAnsi="Times New Roman"/>
          <w:sz w:val="24"/>
          <w:szCs w:val="24"/>
        </w:rPr>
        <w:t>Su</w:t>
      </w:r>
      <w:r w:rsidR="004A638D" w:rsidRPr="00C84BF9">
        <w:rPr>
          <w:rFonts w:ascii="Times New Roman" w:hAnsi="Times New Roman"/>
          <w:sz w:val="24"/>
          <w:szCs w:val="24"/>
        </w:rPr>
        <w:t xml:space="preserve">r </w:t>
      </w:r>
      <w:r w:rsidR="008F3842" w:rsidRPr="00C84BF9">
        <w:rPr>
          <w:rFonts w:ascii="Times New Roman" w:hAnsi="Times New Roman"/>
          <w:sz w:val="24"/>
          <w:szCs w:val="24"/>
        </w:rPr>
        <w:t>l</w:t>
      </w:r>
      <w:r w:rsidR="004A638D" w:rsidRPr="00C84BF9">
        <w:rPr>
          <w:rFonts w:ascii="Times New Roman" w:hAnsi="Times New Roman"/>
          <w:sz w:val="24"/>
          <w:szCs w:val="24"/>
        </w:rPr>
        <w:t>e</w:t>
      </w:r>
      <w:r w:rsidR="008F3842" w:rsidRPr="00C84BF9">
        <w:rPr>
          <w:rFonts w:ascii="Times New Roman" w:hAnsi="Times New Roman"/>
          <w:sz w:val="24"/>
          <w:szCs w:val="24"/>
        </w:rPr>
        <w:t xml:space="preserve">s violences faites aux femmes, la prévalence de l’excision est en baisse de </w:t>
      </w:r>
      <w:r w:rsidR="00E44BDD" w:rsidRPr="00C84BF9">
        <w:rPr>
          <w:rFonts w:ascii="Times New Roman" w:hAnsi="Times New Roman"/>
          <w:sz w:val="24"/>
          <w:szCs w:val="24"/>
        </w:rPr>
        <w:t xml:space="preserve">8 points en 2015 par rapport à la situation de 2012, </w:t>
      </w:r>
      <w:r w:rsidR="000228C8" w:rsidRPr="00C84BF9">
        <w:rPr>
          <w:rFonts w:ascii="Times New Roman" w:hAnsi="Times New Roman"/>
          <w:sz w:val="24"/>
          <w:szCs w:val="24"/>
        </w:rPr>
        <w:t>mais le pays</w:t>
      </w:r>
      <w:r w:rsidR="00E44BDD" w:rsidRPr="00C84BF9">
        <w:rPr>
          <w:rFonts w:ascii="Times New Roman" w:hAnsi="Times New Roman"/>
          <w:sz w:val="24"/>
          <w:szCs w:val="24"/>
        </w:rPr>
        <w:t xml:space="preserve"> est encore très loin des 26 points de baisse programmé pour la fin du cycle. A 52% en 2015, le mariage précoce a, en revanche, déjà baissé d</w:t>
      </w:r>
      <w:r w:rsidR="000228C8" w:rsidRPr="00C84BF9">
        <w:rPr>
          <w:rFonts w:ascii="Times New Roman" w:hAnsi="Times New Roman"/>
          <w:sz w:val="24"/>
          <w:szCs w:val="24"/>
        </w:rPr>
        <w:t xml:space="preserve">ans une proportion qui dépasse </w:t>
      </w:r>
      <w:r w:rsidR="00E44BDD" w:rsidRPr="00C84BF9">
        <w:rPr>
          <w:rFonts w:ascii="Times New Roman" w:hAnsi="Times New Roman"/>
          <w:sz w:val="24"/>
          <w:szCs w:val="24"/>
        </w:rPr>
        <w:t>la cible de 2019 (58%).</w:t>
      </w:r>
      <w:r w:rsidR="004A638D" w:rsidRPr="00C84BF9">
        <w:rPr>
          <w:rFonts w:ascii="Times New Roman" w:hAnsi="Times New Roman"/>
          <w:sz w:val="24"/>
          <w:szCs w:val="24"/>
        </w:rPr>
        <w:t xml:space="preserve"> Les indicateurs d’éducation sont tous en dégradation importante, sauf le taux de préscolarisation </w:t>
      </w:r>
      <w:r w:rsidR="00192839" w:rsidRPr="00C84BF9">
        <w:rPr>
          <w:rFonts w:ascii="Times New Roman" w:hAnsi="Times New Roman"/>
          <w:sz w:val="24"/>
          <w:szCs w:val="24"/>
        </w:rPr>
        <w:t>et le taux d’admission en primaire, qui s’améliorent, mais très</w:t>
      </w:r>
      <w:r w:rsidR="00192839">
        <w:rPr>
          <w:rFonts w:ascii="Times New Roman" w:hAnsi="Times New Roman"/>
          <w:sz w:val="24"/>
          <w:szCs w:val="24"/>
        </w:rPr>
        <w:t xml:space="preserve"> lentement par rapport à l’effort qui serait nécessaire pour espérer atteindre les cibles fixées pour 2019.</w:t>
      </w:r>
    </w:p>
    <w:p w14:paraId="604B5210" w14:textId="77777777" w:rsidR="00F04EB5" w:rsidRDefault="00F04EB5" w:rsidP="005B22B2">
      <w:pPr>
        <w:pStyle w:val="Titre1"/>
        <w:spacing w:before="0" w:line="240" w:lineRule="auto"/>
        <w:rPr>
          <w:rFonts w:ascii="Times New Roman" w:hAnsi="Times New Roman"/>
          <w:b w:val="0"/>
          <w:color w:val="auto"/>
          <w:sz w:val="24"/>
          <w:szCs w:val="24"/>
        </w:rPr>
      </w:pPr>
      <w:bookmarkStart w:id="210" w:name="_Toc500967724"/>
      <w:bookmarkStart w:id="211" w:name="_Toc500970100"/>
    </w:p>
    <w:bookmarkEnd w:id="210"/>
    <w:bookmarkEnd w:id="211"/>
    <w:p w14:paraId="604B5211" w14:textId="77777777" w:rsidR="00F221A7" w:rsidRPr="006B309F" w:rsidRDefault="00F221A7" w:rsidP="005B22B2">
      <w:pPr>
        <w:pStyle w:val="Titre4"/>
        <w:numPr>
          <w:ilvl w:val="3"/>
          <w:numId w:val="4"/>
        </w:numPr>
        <w:spacing w:before="0" w:line="240" w:lineRule="auto"/>
        <w:rPr>
          <w:rFonts w:ascii="Times New Roman" w:hAnsi="Times New Roman"/>
          <w:i w:val="0"/>
          <w:color w:val="auto"/>
          <w:sz w:val="24"/>
          <w:szCs w:val="24"/>
        </w:rPr>
      </w:pPr>
      <w:r>
        <w:rPr>
          <w:rFonts w:ascii="Times New Roman" w:hAnsi="Times New Roman"/>
          <w:i w:val="0"/>
          <w:color w:val="auto"/>
          <w:sz w:val="24"/>
          <w:szCs w:val="24"/>
        </w:rPr>
        <w:t xml:space="preserve">Contributions du </w:t>
      </w:r>
      <w:r w:rsidR="00BD274E" w:rsidRPr="00BD274E">
        <w:rPr>
          <w:rFonts w:ascii="Times New Roman" w:hAnsi="Times New Roman"/>
          <w:i w:val="0"/>
          <w:color w:val="auto"/>
          <w:sz w:val="24"/>
          <w:szCs w:val="24"/>
        </w:rPr>
        <w:t>Système/Programme</w:t>
      </w:r>
      <w:r>
        <w:rPr>
          <w:rFonts w:ascii="Times New Roman" w:hAnsi="Times New Roman"/>
          <w:i w:val="0"/>
          <w:color w:val="auto"/>
          <w:sz w:val="24"/>
          <w:szCs w:val="24"/>
        </w:rPr>
        <w:t xml:space="preserve"> aux résultats du pays dans le domaine</w:t>
      </w:r>
    </w:p>
    <w:p w14:paraId="604B5212" w14:textId="77777777" w:rsidR="00F221A7" w:rsidRDefault="00F221A7" w:rsidP="005B22B2">
      <w:pPr>
        <w:spacing w:after="0" w:line="240" w:lineRule="auto"/>
        <w:jc w:val="both"/>
        <w:rPr>
          <w:rFonts w:ascii="Times New Roman" w:hAnsi="Times New Roman"/>
          <w:sz w:val="24"/>
          <w:szCs w:val="24"/>
        </w:rPr>
      </w:pPr>
    </w:p>
    <w:p w14:paraId="604B5213" w14:textId="77777777" w:rsidR="00DC2F56" w:rsidRDefault="0048539E" w:rsidP="005B22B2">
      <w:pPr>
        <w:spacing w:after="0" w:line="240" w:lineRule="auto"/>
        <w:jc w:val="both"/>
        <w:rPr>
          <w:rFonts w:ascii="Times New Roman" w:hAnsi="Times New Roman"/>
          <w:sz w:val="24"/>
          <w:szCs w:val="24"/>
        </w:rPr>
      </w:pPr>
      <w:r>
        <w:rPr>
          <w:rFonts w:ascii="Times New Roman" w:hAnsi="Times New Roman"/>
          <w:sz w:val="24"/>
          <w:szCs w:val="24"/>
        </w:rPr>
        <w:t>1</w:t>
      </w:r>
      <w:r w:rsidR="00574B4D">
        <w:rPr>
          <w:rFonts w:ascii="Times New Roman" w:hAnsi="Times New Roman"/>
          <w:sz w:val="24"/>
          <w:szCs w:val="24"/>
        </w:rPr>
        <w:t>11</w:t>
      </w:r>
      <w:r>
        <w:rPr>
          <w:rFonts w:ascii="Times New Roman" w:hAnsi="Times New Roman"/>
          <w:sz w:val="24"/>
          <w:szCs w:val="24"/>
        </w:rPr>
        <w:t>.</w:t>
      </w:r>
      <w:r w:rsidR="00D12773">
        <w:rPr>
          <w:rFonts w:ascii="Times New Roman" w:hAnsi="Times New Roman"/>
          <w:sz w:val="24"/>
          <w:szCs w:val="24"/>
        </w:rPr>
        <w:tab/>
        <w:t>Les contributions du programme en direction de l’Effet 4, "</w:t>
      </w:r>
      <w:r w:rsidR="00477D04" w:rsidRPr="00477D04">
        <w:rPr>
          <w:rFonts w:ascii="Times New Roman" w:hAnsi="Times New Roman"/>
          <w:i/>
          <w:sz w:val="24"/>
          <w:szCs w:val="24"/>
        </w:rPr>
        <w:t>D’ici 2019, les populations, en particulier les femmes et les enfants les plus vulnérables et celles affectées par les crises, ont un accès accru et équitable et utilisent les SSB de qualité</w:t>
      </w:r>
      <w:r w:rsidR="00D12773">
        <w:rPr>
          <w:rFonts w:ascii="Times New Roman" w:hAnsi="Times New Roman"/>
          <w:sz w:val="24"/>
          <w:szCs w:val="24"/>
        </w:rPr>
        <w:t xml:space="preserve">.", s’articulent sur six produits : </w:t>
      </w:r>
      <w:r w:rsidR="005E486A">
        <w:rPr>
          <w:rFonts w:ascii="Times New Roman" w:hAnsi="Times New Roman"/>
          <w:sz w:val="24"/>
          <w:szCs w:val="24"/>
        </w:rPr>
        <w:t xml:space="preserve">(i) </w:t>
      </w:r>
      <w:r w:rsidR="000228C8">
        <w:rPr>
          <w:rFonts w:ascii="Times New Roman" w:hAnsi="Times New Roman"/>
          <w:sz w:val="24"/>
          <w:szCs w:val="24"/>
        </w:rPr>
        <w:t>l</w:t>
      </w:r>
      <w:r w:rsidR="00D12773" w:rsidRPr="00D12773">
        <w:rPr>
          <w:rFonts w:ascii="Times New Roman" w:hAnsi="Times New Roman"/>
          <w:sz w:val="24"/>
          <w:szCs w:val="24"/>
        </w:rPr>
        <w:t>es femmes, enfants et jeunes, en particulier les plus vulnérables</w:t>
      </w:r>
      <w:r w:rsidR="000228C8">
        <w:rPr>
          <w:rFonts w:ascii="Times New Roman" w:hAnsi="Times New Roman"/>
          <w:sz w:val="24"/>
          <w:szCs w:val="24"/>
        </w:rPr>
        <w:t>,</w:t>
      </w:r>
      <w:r w:rsidR="00D12773" w:rsidRPr="00D12773">
        <w:rPr>
          <w:rFonts w:ascii="Times New Roman" w:hAnsi="Times New Roman"/>
          <w:sz w:val="24"/>
          <w:szCs w:val="24"/>
        </w:rPr>
        <w:t xml:space="preserve"> utilisent un paquet intégré de services de santé de qualité</w:t>
      </w:r>
      <w:r w:rsidR="00D12773">
        <w:rPr>
          <w:rFonts w:ascii="Times New Roman" w:hAnsi="Times New Roman"/>
          <w:sz w:val="24"/>
          <w:szCs w:val="24"/>
        </w:rPr>
        <w:t xml:space="preserve"> ; </w:t>
      </w:r>
      <w:r w:rsidR="005E486A">
        <w:rPr>
          <w:rFonts w:ascii="Times New Roman" w:hAnsi="Times New Roman"/>
          <w:sz w:val="24"/>
          <w:szCs w:val="24"/>
        </w:rPr>
        <w:t>(ii) l</w:t>
      </w:r>
      <w:r w:rsidR="00D12773" w:rsidRPr="00D12773">
        <w:rPr>
          <w:rFonts w:ascii="Times New Roman" w:hAnsi="Times New Roman"/>
          <w:sz w:val="24"/>
          <w:szCs w:val="24"/>
        </w:rPr>
        <w:t>es populations, en particulier les plus vulnérables</w:t>
      </w:r>
      <w:r w:rsidR="000228C8">
        <w:rPr>
          <w:rFonts w:ascii="Times New Roman" w:hAnsi="Times New Roman"/>
          <w:sz w:val="24"/>
          <w:szCs w:val="24"/>
        </w:rPr>
        <w:t>,</w:t>
      </w:r>
      <w:r w:rsidR="00D12773" w:rsidRPr="00D12773">
        <w:rPr>
          <w:rFonts w:ascii="Times New Roman" w:hAnsi="Times New Roman"/>
          <w:sz w:val="24"/>
          <w:szCs w:val="24"/>
        </w:rPr>
        <w:t xml:space="preserve"> ont accès à </w:t>
      </w:r>
      <w:r w:rsidR="00D12773" w:rsidRPr="00D12773">
        <w:rPr>
          <w:rFonts w:ascii="Times New Roman" w:hAnsi="Times New Roman"/>
          <w:sz w:val="24"/>
          <w:szCs w:val="24"/>
        </w:rPr>
        <w:lastRenderedPageBreak/>
        <w:t>des services de qualité de prévention et de prise en charge du VIH et du Sida</w:t>
      </w:r>
      <w:r w:rsidR="00D12773">
        <w:rPr>
          <w:rFonts w:ascii="Times New Roman" w:hAnsi="Times New Roman"/>
          <w:sz w:val="24"/>
          <w:szCs w:val="24"/>
        </w:rPr>
        <w:t xml:space="preserve"> ; </w:t>
      </w:r>
      <w:r w:rsidR="005E486A">
        <w:rPr>
          <w:rFonts w:ascii="Times New Roman" w:hAnsi="Times New Roman"/>
          <w:sz w:val="24"/>
          <w:szCs w:val="24"/>
        </w:rPr>
        <w:t xml:space="preserve">(iii) </w:t>
      </w:r>
      <w:r w:rsidR="000228C8">
        <w:rPr>
          <w:rFonts w:ascii="Times New Roman" w:hAnsi="Times New Roman"/>
          <w:sz w:val="24"/>
          <w:szCs w:val="24"/>
        </w:rPr>
        <w:t>l</w:t>
      </w:r>
      <w:r w:rsidR="00D12773" w:rsidRPr="00D12773">
        <w:rPr>
          <w:rFonts w:ascii="Times New Roman" w:hAnsi="Times New Roman"/>
          <w:sz w:val="24"/>
          <w:szCs w:val="24"/>
        </w:rPr>
        <w:t>es mères et les enfants, particulièrement les plus vulnérables ou affectées par les crises alimentaire</w:t>
      </w:r>
      <w:r w:rsidR="000228C8">
        <w:rPr>
          <w:rFonts w:ascii="Times New Roman" w:hAnsi="Times New Roman"/>
          <w:sz w:val="24"/>
          <w:szCs w:val="24"/>
        </w:rPr>
        <w:t>s</w:t>
      </w:r>
      <w:r w:rsidR="00D12773" w:rsidRPr="00D12773">
        <w:rPr>
          <w:rFonts w:ascii="Times New Roman" w:hAnsi="Times New Roman"/>
          <w:sz w:val="24"/>
          <w:szCs w:val="24"/>
        </w:rPr>
        <w:t xml:space="preserve"> et nutritionnelle</w:t>
      </w:r>
      <w:r w:rsidR="000228C8">
        <w:rPr>
          <w:rFonts w:ascii="Times New Roman" w:hAnsi="Times New Roman"/>
          <w:sz w:val="24"/>
          <w:szCs w:val="24"/>
        </w:rPr>
        <w:t>s</w:t>
      </w:r>
      <w:r w:rsidR="00D12773" w:rsidRPr="00D12773">
        <w:rPr>
          <w:rFonts w:ascii="Times New Roman" w:hAnsi="Times New Roman"/>
          <w:sz w:val="24"/>
          <w:szCs w:val="24"/>
        </w:rPr>
        <w:t>, bénéficient d’un paquet complet d’interventions nutritionnelles au niveau des communautés et des services</w:t>
      </w:r>
      <w:r w:rsidR="00D12773">
        <w:rPr>
          <w:rFonts w:ascii="Times New Roman" w:hAnsi="Times New Roman"/>
          <w:sz w:val="24"/>
          <w:szCs w:val="24"/>
        </w:rPr>
        <w:t xml:space="preserve"> ; </w:t>
      </w:r>
      <w:r w:rsidR="005E486A">
        <w:rPr>
          <w:rFonts w:ascii="Times New Roman" w:hAnsi="Times New Roman"/>
          <w:sz w:val="24"/>
          <w:szCs w:val="24"/>
        </w:rPr>
        <w:t xml:space="preserve">(iv) </w:t>
      </w:r>
      <w:r w:rsidR="000228C8">
        <w:rPr>
          <w:rFonts w:ascii="Times New Roman" w:hAnsi="Times New Roman"/>
          <w:sz w:val="24"/>
          <w:szCs w:val="24"/>
        </w:rPr>
        <w:t>l</w:t>
      </w:r>
      <w:r w:rsidR="00D12773" w:rsidRPr="00D12773">
        <w:rPr>
          <w:rFonts w:ascii="Times New Roman" w:hAnsi="Times New Roman"/>
          <w:sz w:val="24"/>
          <w:szCs w:val="24"/>
        </w:rPr>
        <w:t>es enfants d’âge préscolaire et scolaire et les jeunes, particulièrement les plus vulnérables</w:t>
      </w:r>
      <w:r w:rsidR="000228C8">
        <w:rPr>
          <w:rFonts w:ascii="Times New Roman" w:hAnsi="Times New Roman"/>
          <w:sz w:val="24"/>
          <w:szCs w:val="24"/>
        </w:rPr>
        <w:t>,</w:t>
      </w:r>
      <w:r w:rsidR="00D12773" w:rsidRPr="00D12773">
        <w:rPr>
          <w:rFonts w:ascii="Times New Roman" w:hAnsi="Times New Roman"/>
          <w:sz w:val="24"/>
          <w:szCs w:val="24"/>
        </w:rPr>
        <w:t xml:space="preserve"> ont accès à une éducation de base de qualité</w:t>
      </w:r>
      <w:r w:rsidR="00D12773">
        <w:rPr>
          <w:rFonts w:ascii="Times New Roman" w:hAnsi="Times New Roman"/>
          <w:sz w:val="24"/>
          <w:szCs w:val="24"/>
        </w:rPr>
        <w:t xml:space="preserve"> ; </w:t>
      </w:r>
      <w:r w:rsidR="005E486A">
        <w:rPr>
          <w:rFonts w:ascii="Times New Roman" w:hAnsi="Times New Roman"/>
          <w:sz w:val="24"/>
          <w:szCs w:val="24"/>
        </w:rPr>
        <w:t xml:space="preserve">(v) </w:t>
      </w:r>
      <w:r w:rsidR="000228C8">
        <w:rPr>
          <w:rFonts w:ascii="Times New Roman" w:hAnsi="Times New Roman"/>
          <w:sz w:val="24"/>
          <w:szCs w:val="24"/>
        </w:rPr>
        <w:t>l</w:t>
      </w:r>
      <w:r w:rsidR="00D12773" w:rsidRPr="00D12773">
        <w:rPr>
          <w:rFonts w:ascii="Times New Roman" w:hAnsi="Times New Roman"/>
          <w:sz w:val="24"/>
          <w:szCs w:val="24"/>
        </w:rPr>
        <w:t>es groupes vulnérables (jeunes filles, garçons et femmes) bénéficient de protection et de prise en charge adéquate contre les violences, abus et exploitation</w:t>
      </w:r>
      <w:r w:rsidR="00D12773">
        <w:rPr>
          <w:rFonts w:ascii="Times New Roman" w:hAnsi="Times New Roman"/>
          <w:sz w:val="24"/>
          <w:szCs w:val="24"/>
        </w:rPr>
        <w:t xml:space="preserve"> ; </w:t>
      </w:r>
      <w:r w:rsidR="005E486A">
        <w:rPr>
          <w:rFonts w:ascii="Times New Roman" w:hAnsi="Times New Roman"/>
          <w:sz w:val="24"/>
          <w:szCs w:val="24"/>
        </w:rPr>
        <w:t xml:space="preserve">et (vi) </w:t>
      </w:r>
      <w:r w:rsidR="000228C8">
        <w:rPr>
          <w:rFonts w:ascii="Times New Roman" w:hAnsi="Times New Roman"/>
          <w:sz w:val="24"/>
          <w:szCs w:val="24"/>
        </w:rPr>
        <w:t>l</w:t>
      </w:r>
      <w:r w:rsidR="00D12773" w:rsidRPr="00D12773">
        <w:rPr>
          <w:rFonts w:ascii="Times New Roman" w:hAnsi="Times New Roman"/>
          <w:sz w:val="24"/>
          <w:szCs w:val="24"/>
        </w:rPr>
        <w:t>es groupes vulnérables bénéficient de services de protection sociale adéquate</w:t>
      </w:r>
      <w:r w:rsidR="00D12773">
        <w:rPr>
          <w:rFonts w:ascii="Times New Roman" w:hAnsi="Times New Roman"/>
          <w:sz w:val="24"/>
          <w:szCs w:val="24"/>
        </w:rPr>
        <w:t>.</w:t>
      </w:r>
    </w:p>
    <w:p w14:paraId="604B5214" w14:textId="77777777" w:rsidR="00D12773" w:rsidRDefault="00D12773" w:rsidP="005B22B2">
      <w:pPr>
        <w:spacing w:after="0" w:line="240" w:lineRule="auto"/>
        <w:jc w:val="both"/>
        <w:rPr>
          <w:rFonts w:ascii="Times New Roman" w:hAnsi="Times New Roman"/>
          <w:sz w:val="24"/>
          <w:szCs w:val="24"/>
        </w:rPr>
      </w:pPr>
    </w:p>
    <w:p w14:paraId="604B5215" w14:textId="77777777" w:rsidR="00477D04" w:rsidRPr="0017347A" w:rsidRDefault="0048539E" w:rsidP="005B22B2">
      <w:pPr>
        <w:spacing w:after="0" w:line="240" w:lineRule="auto"/>
        <w:jc w:val="both"/>
        <w:rPr>
          <w:rFonts w:ascii="Times New Roman" w:hAnsi="Times New Roman"/>
          <w:sz w:val="24"/>
          <w:szCs w:val="24"/>
        </w:rPr>
      </w:pPr>
      <w:r>
        <w:rPr>
          <w:rFonts w:ascii="Times New Roman" w:hAnsi="Times New Roman"/>
          <w:sz w:val="24"/>
          <w:szCs w:val="24"/>
        </w:rPr>
        <w:t>1</w:t>
      </w:r>
      <w:r w:rsidR="00574B4D">
        <w:rPr>
          <w:rFonts w:ascii="Times New Roman" w:hAnsi="Times New Roman"/>
          <w:sz w:val="24"/>
          <w:szCs w:val="24"/>
        </w:rPr>
        <w:t>12</w:t>
      </w:r>
      <w:r>
        <w:rPr>
          <w:rFonts w:ascii="Times New Roman" w:hAnsi="Times New Roman"/>
          <w:sz w:val="24"/>
          <w:szCs w:val="24"/>
        </w:rPr>
        <w:t>.</w:t>
      </w:r>
      <w:r w:rsidR="00477D04">
        <w:rPr>
          <w:rFonts w:ascii="Times New Roman" w:hAnsi="Times New Roman"/>
          <w:sz w:val="24"/>
          <w:szCs w:val="24"/>
        </w:rPr>
        <w:tab/>
        <w:t>L’accès à des services de santé de qualité</w:t>
      </w:r>
      <w:r w:rsidR="00F019CF">
        <w:rPr>
          <w:rFonts w:ascii="Times New Roman" w:hAnsi="Times New Roman"/>
          <w:sz w:val="24"/>
          <w:szCs w:val="24"/>
        </w:rPr>
        <w:t xml:space="preserve"> a enregistré des perfo</w:t>
      </w:r>
      <w:r w:rsidR="005E486A">
        <w:rPr>
          <w:rFonts w:ascii="Times New Roman" w:hAnsi="Times New Roman"/>
          <w:sz w:val="24"/>
          <w:szCs w:val="24"/>
        </w:rPr>
        <w:t xml:space="preserve">rmances supérieures ou égales </w:t>
      </w:r>
      <w:r w:rsidR="00F019CF">
        <w:rPr>
          <w:rFonts w:ascii="Times New Roman" w:hAnsi="Times New Roman"/>
          <w:sz w:val="24"/>
          <w:szCs w:val="24"/>
        </w:rPr>
        <w:t xml:space="preserve">aux cibles assignées sur cinq indicateurs : la </w:t>
      </w:r>
      <w:r w:rsidR="00F019CF" w:rsidRPr="00F019CF">
        <w:rPr>
          <w:rFonts w:ascii="Times New Roman" w:hAnsi="Times New Roman"/>
          <w:sz w:val="24"/>
          <w:szCs w:val="24"/>
        </w:rPr>
        <w:t xml:space="preserve">couverture vaccinale en Penta valent  3 </w:t>
      </w:r>
      <w:r w:rsidR="00B95473">
        <w:rPr>
          <w:rFonts w:ascii="Times New Roman" w:hAnsi="Times New Roman"/>
          <w:sz w:val="24"/>
          <w:szCs w:val="24"/>
        </w:rPr>
        <w:t>chez les enfants de 12-23 mois</w:t>
      </w:r>
      <w:r w:rsidR="00F019CF">
        <w:rPr>
          <w:rFonts w:ascii="Times New Roman" w:hAnsi="Times New Roman"/>
          <w:sz w:val="24"/>
          <w:szCs w:val="24"/>
        </w:rPr>
        <w:t> ; l</w:t>
      </w:r>
      <w:r w:rsidR="00F019CF" w:rsidRPr="00F019CF">
        <w:rPr>
          <w:rFonts w:ascii="Times New Roman" w:hAnsi="Times New Roman"/>
          <w:sz w:val="24"/>
          <w:szCs w:val="24"/>
        </w:rPr>
        <w:t>’utilisation des services curatifs</w:t>
      </w:r>
      <w:r w:rsidR="00F019CF">
        <w:rPr>
          <w:rFonts w:ascii="Times New Roman" w:hAnsi="Times New Roman"/>
          <w:sz w:val="24"/>
          <w:szCs w:val="24"/>
        </w:rPr>
        <w:t> ; l’offre par les centres de santé c</w:t>
      </w:r>
      <w:r w:rsidR="005E486A">
        <w:rPr>
          <w:rFonts w:ascii="Times New Roman" w:hAnsi="Times New Roman"/>
          <w:sz w:val="24"/>
          <w:szCs w:val="24"/>
        </w:rPr>
        <w:t>ommunautaires de services SONUB ;</w:t>
      </w:r>
      <w:r w:rsidR="00F019CF">
        <w:rPr>
          <w:rFonts w:ascii="Times New Roman" w:hAnsi="Times New Roman"/>
          <w:sz w:val="24"/>
          <w:szCs w:val="24"/>
        </w:rPr>
        <w:t xml:space="preserve"> la couverture des be</w:t>
      </w:r>
      <w:r w:rsidR="00F019CF" w:rsidRPr="00F019CF">
        <w:rPr>
          <w:rFonts w:ascii="Times New Roman" w:hAnsi="Times New Roman"/>
          <w:sz w:val="24"/>
          <w:szCs w:val="24"/>
        </w:rPr>
        <w:t xml:space="preserve">soins </w:t>
      </w:r>
      <w:r w:rsidR="005E486A">
        <w:rPr>
          <w:rFonts w:ascii="Times New Roman" w:hAnsi="Times New Roman"/>
          <w:sz w:val="24"/>
          <w:szCs w:val="24"/>
        </w:rPr>
        <w:t>contraceptifs ; et</w:t>
      </w:r>
      <w:r w:rsidR="00F019CF">
        <w:rPr>
          <w:rFonts w:ascii="Times New Roman" w:hAnsi="Times New Roman"/>
          <w:sz w:val="24"/>
          <w:szCs w:val="24"/>
        </w:rPr>
        <w:t xml:space="preserve"> la mise en œuvre dans les districts sanitaires de la </w:t>
      </w:r>
      <w:r w:rsidR="00F019CF" w:rsidRPr="00F019CF">
        <w:rPr>
          <w:rFonts w:ascii="Times New Roman" w:hAnsi="Times New Roman"/>
          <w:sz w:val="24"/>
          <w:szCs w:val="24"/>
        </w:rPr>
        <w:t>Chimio prévention du paludisme saisonnier</w:t>
      </w:r>
      <w:r w:rsidR="00F019CF">
        <w:rPr>
          <w:rFonts w:ascii="Times New Roman" w:hAnsi="Times New Roman"/>
          <w:sz w:val="24"/>
          <w:szCs w:val="24"/>
        </w:rPr>
        <w:t xml:space="preserve"> </w:t>
      </w:r>
      <w:r w:rsidR="00F019CF" w:rsidRPr="0017347A">
        <w:rPr>
          <w:rFonts w:ascii="Times New Roman" w:hAnsi="Times New Roman"/>
          <w:sz w:val="24"/>
          <w:szCs w:val="24"/>
        </w:rPr>
        <w:t xml:space="preserve">(CPS). A </w:t>
      </w:r>
      <w:r w:rsidR="00564749" w:rsidRPr="0017347A">
        <w:rPr>
          <w:rFonts w:ascii="Times New Roman" w:hAnsi="Times New Roman"/>
          <w:sz w:val="24"/>
          <w:szCs w:val="24"/>
        </w:rPr>
        <w:t>96% de réalisation en deux années de mise en œuvre, l’objectif est quasiment déjà atteint sur l’indicateur d’e</w:t>
      </w:r>
      <w:r w:rsidR="00F019CF" w:rsidRPr="0017347A">
        <w:rPr>
          <w:rFonts w:ascii="Times New Roman" w:hAnsi="Times New Roman"/>
          <w:sz w:val="24"/>
          <w:szCs w:val="24"/>
        </w:rPr>
        <w:t>xposition</w:t>
      </w:r>
      <w:r w:rsidR="00564749" w:rsidRPr="0017347A">
        <w:rPr>
          <w:rFonts w:ascii="Times New Roman" w:hAnsi="Times New Roman"/>
          <w:sz w:val="24"/>
          <w:szCs w:val="24"/>
        </w:rPr>
        <w:t xml:space="preserve"> au ver de Guinée</w:t>
      </w:r>
      <w:r w:rsidR="00047896" w:rsidRPr="0017347A">
        <w:rPr>
          <w:rFonts w:ascii="Times New Roman" w:hAnsi="Times New Roman"/>
          <w:sz w:val="24"/>
          <w:szCs w:val="24"/>
        </w:rPr>
        <w:t>. Quatre autres indicateurs de santé, relatifs à la rupture des stocks en matière de produits de planning familial</w:t>
      </w:r>
      <w:r w:rsidR="00AF023D" w:rsidRPr="0017347A">
        <w:rPr>
          <w:rFonts w:ascii="Times New Roman" w:hAnsi="Times New Roman"/>
          <w:sz w:val="24"/>
          <w:szCs w:val="24"/>
        </w:rPr>
        <w:t xml:space="preserve"> (niveau Centres de santé communautaire et niveau Centres de référence)</w:t>
      </w:r>
      <w:r w:rsidR="00047896" w:rsidRPr="0017347A">
        <w:rPr>
          <w:rFonts w:ascii="Times New Roman" w:hAnsi="Times New Roman"/>
          <w:sz w:val="24"/>
          <w:szCs w:val="24"/>
        </w:rPr>
        <w:t xml:space="preserve"> et de médicaments du panier comm</w:t>
      </w:r>
      <w:r w:rsidR="005E486A" w:rsidRPr="0017347A">
        <w:rPr>
          <w:rFonts w:ascii="Times New Roman" w:hAnsi="Times New Roman"/>
          <w:sz w:val="24"/>
          <w:szCs w:val="24"/>
        </w:rPr>
        <w:t>un</w:t>
      </w:r>
      <w:r w:rsidR="00047896" w:rsidRPr="0017347A">
        <w:rPr>
          <w:rFonts w:ascii="Times New Roman" w:hAnsi="Times New Roman"/>
          <w:sz w:val="24"/>
          <w:szCs w:val="24"/>
        </w:rPr>
        <w:t>, et à la couverture vaccinale contre la rougeole, montrent en revanche un profil très dégradé</w:t>
      </w:r>
      <w:r w:rsidR="00AF023D" w:rsidRPr="0017347A">
        <w:rPr>
          <w:rFonts w:ascii="Times New Roman" w:hAnsi="Times New Roman"/>
          <w:sz w:val="24"/>
          <w:szCs w:val="24"/>
        </w:rPr>
        <w:t>.</w:t>
      </w:r>
      <w:r w:rsidR="00047896" w:rsidRPr="0017347A">
        <w:rPr>
          <w:rFonts w:ascii="Times New Roman" w:hAnsi="Times New Roman"/>
          <w:sz w:val="24"/>
          <w:szCs w:val="24"/>
        </w:rPr>
        <w:t xml:space="preserve">  </w:t>
      </w:r>
    </w:p>
    <w:p w14:paraId="604B5216" w14:textId="77777777" w:rsidR="00F019CF" w:rsidRPr="0017347A" w:rsidRDefault="00F019CF" w:rsidP="005B22B2">
      <w:pPr>
        <w:spacing w:after="0" w:line="240" w:lineRule="auto"/>
        <w:jc w:val="both"/>
        <w:rPr>
          <w:rFonts w:ascii="Times New Roman" w:hAnsi="Times New Roman"/>
          <w:sz w:val="24"/>
          <w:szCs w:val="24"/>
        </w:rPr>
      </w:pPr>
    </w:p>
    <w:p w14:paraId="604B5217" w14:textId="77777777" w:rsidR="00477D04" w:rsidRDefault="0048539E" w:rsidP="005B22B2">
      <w:pPr>
        <w:spacing w:after="0" w:line="240" w:lineRule="auto"/>
        <w:jc w:val="both"/>
        <w:rPr>
          <w:rFonts w:ascii="Times New Roman" w:hAnsi="Times New Roman"/>
          <w:sz w:val="24"/>
          <w:szCs w:val="24"/>
        </w:rPr>
      </w:pPr>
      <w:r w:rsidRPr="0017347A">
        <w:rPr>
          <w:rFonts w:ascii="Times New Roman" w:hAnsi="Times New Roman"/>
          <w:sz w:val="24"/>
          <w:szCs w:val="24"/>
        </w:rPr>
        <w:t>1</w:t>
      </w:r>
      <w:r w:rsidR="007E34BC">
        <w:rPr>
          <w:rFonts w:ascii="Times New Roman" w:hAnsi="Times New Roman"/>
          <w:sz w:val="24"/>
          <w:szCs w:val="24"/>
        </w:rPr>
        <w:t>1</w:t>
      </w:r>
      <w:r w:rsidR="00574B4D">
        <w:rPr>
          <w:rFonts w:ascii="Times New Roman" w:hAnsi="Times New Roman"/>
          <w:sz w:val="24"/>
          <w:szCs w:val="24"/>
        </w:rPr>
        <w:t>3</w:t>
      </w:r>
      <w:r w:rsidRPr="0017347A">
        <w:rPr>
          <w:rFonts w:ascii="Times New Roman" w:hAnsi="Times New Roman"/>
          <w:sz w:val="24"/>
          <w:szCs w:val="24"/>
        </w:rPr>
        <w:t>.</w:t>
      </w:r>
      <w:r w:rsidR="00477D04" w:rsidRPr="0017347A">
        <w:rPr>
          <w:rFonts w:ascii="Times New Roman" w:hAnsi="Times New Roman"/>
          <w:sz w:val="24"/>
          <w:szCs w:val="24"/>
        </w:rPr>
        <w:tab/>
        <w:t>L</w:t>
      </w:r>
      <w:r w:rsidR="00534BBF" w:rsidRPr="0017347A">
        <w:rPr>
          <w:rFonts w:ascii="Times New Roman" w:hAnsi="Times New Roman"/>
          <w:sz w:val="24"/>
          <w:szCs w:val="24"/>
        </w:rPr>
        <w:t xml:space="preserve">es indicateurs de </w:t>
      </w:r>
      <w:r w:rsidR="00477D04" w:rsidRPr="0017347A">
        <w:rPr>
          <w:rFonts w:ascii="Times New Roman" w:hAnsi="Times New Roman"/>
          <w:sz w:val="24"/>
          <w:szCs w:val="24"/>
        </w:rPr>
        <w:t>prévention d</w:t>
      </w:r>
      <w:r w:rsidR="005E486A" w:rsidRPr="0017347A">
        <w:rPr>
          <w:rFonts w:ascii="Times New Roman" w:hAnsi="Times New Roman"/>
          <w:sz w:val="24"/>
          <w:szCs w:val="24"/>
        </w:rPr>
        <w:t>u</w:t>
      </w:r>
      <w:r w:rsidR="00477D04" w:rsidRPr="0017347A">
        <w:rPr>
          <w:rFonts w:ascii="Times New Roman" w:hAnsi="Times New Roman"/>
          <w:sz w:val="24"/>
          <w:szCs w:val="24"/>
        </w:rPr>
        <w:t xml:space="preserve"> VIH.SIDA,</w:t>
      </w:r>
      <w:r w:rsidR="00534BBF" w:rsidRPr="0017347A">
        <w:rPr>
          <w:rFonts w:ascii="Times New Roman" w:hAnsi="Times New Roman"/>
          <w:sz w:val="24"/>
          <w:szCs w:val="24"/>
        </w:rPr>
        <w:t xml:space="preserve"> sont tous très dégradés, qu’il s’agisse de la connaissance, par les hommes et les femmes, des moyens de prévenir la transmission sexuelle du virus, ou de la couverture PTME de réduction de la transmission mère-enfant. </w:t>
      </w:r>
      <w:r w:rsidR="00477D04" w:rsidRPr="0017347A">
        <w:rPr>
          <w:rFonts w:ascii="Times New Roman" w:hAnsi="Times New Roman"/>
          <w:sz w:val="24"/>
          <w:szCs w:val="24"/>
        </w:rPr>
        <w:t>L’accès</w:t>
      </w:r>
      <w:r w:rsidR="00534BBF" w:rsidRPr="0017347A">
        <w:rPr>
          <w:rFonts w:ascii="Times New Roman" w:hAnsi="Times New Roman"/>
          <w:sz w:val="24"/>
          <w:szCs w:val="24"/>
        </w:rPr>
        <w:t xml:space="preserve"> un paquet complet de nutrition se révèle globalement </w:t>
      </w:r>
      <w:r w:rsidR="007B54A2" w:rsidRPr="0017347A">
        <w:rPr>
          <w:rFonts w:ascii="Times New Roman" w:hAnsi="Times New Roman"/>
          <w:sz w:val="24"/>
          <w:szCs w:val="24"/>
        </w:rPr>
        <w:t>contre performant</w:t>
      </w:r>
      <w:r w:rsidR="00534BBF" w:rsidRPr="0017347A">
        <w:rPr>
          <w:rFonts w:ascii="Times New Roman" w:hAnsi="Times New Roman"/>
          <w:sz w:val="24"/>
          <w:szCs w:val="24"/>
        </w:rPr>
        <w:t xml:space="preserve"> : seul un indicateur, relatif, à la prévalence de la malnutrition sévère des </w:t>
      </w:r>
      <w:r w:rsidR="007B54A2" w:rsidRPr="0017347A">
        <w:rPr>
          <w:rFonts w:ascii="Times New Roman" w:hAnsi="Times New Roman"/>
          <w:sz w:val="24"/>
          <w:szCs w:val="24"/>
        </w:rPr>
        <w:t xml:space="preserve">enfants </w:t>
      </w:r>
      <w:r w:rsidR="00534BBF" w:rsidRPr="0017347A">
        <w:rPr>
          <w:rFonts w:ascii="Times New Roman" w:hAnsi="Times New Roman"/>
          <w:sz w:val="24"/>
          <w:szCs w:val="24"/>
        </w:rPr>
        <w:t xml:space="preserve">est </w:t>
      </w:r>
      <w:r w:rsidR="007B54A2" w:rsidRPr="0017347A">
        <w:rPr>
          <w:rFonts w:ascii="Times New Roman" w:hAnsi="Times New Roman"/>
          <w:sz w:val="24"/>
          <w:szCs w:val="24"/>
        </w:rPr>
        <w:t>réalisé (à plus</w:t>
      </w:r>
      <w:r w:rsidR="007B54A2">
        <w:rPr>
          <w:rFonts w:ascii="Times New Roman" w:hAnsi="Times New Roman"/>
          <w:sz w:val="24"/>
          <w:szCs w:val="24"/>
        </w:rPr>
        <w:t xml:space="preserve"> 100% de sa cible). Tous les autres indicateurs de ce produit montrent un profil très insatisfaisant, qu’il s’agisse de la malnutrition infantile modérée, de </w:t>
      </w:r>
      <w:r w:rsidR="007B54A2" w:rsidRPr="007B54A2">
        <w:rPr>
          <w:rFonts w:ascii="Times New Roman" w:hAnsi="Times New Roman"/>
          <w:sz w:val="24"/>
          <w:szCs w:val="24"/>
        </w:rPr>
        <w:t>la malnutrition aiguë globale chez les enfants de 6-59 mois</w:t>
      </w:r>
      <w:r w:rsidR="007B54A2">
        <w:rPr>
          <w:rFonts w:ascii="Times New Roman" w:hAnsi="Times New Roman"/>
          <w:sz w:val="24"/>
          <w:szCs w:val="24"/>
        </w:rPr>
        <w:t xml:space="preserve">,  de la capacité des centres nutritionnels à prendre en charge les </w:t>
      </w:r>
      <w:r w:rsidR="007B54A2" w:rsidRPr="007B54A2">
        <w:rPr>
          <w:rFonts w:ascii="Times New Roman" w:hAnsi="Times New Roman"/>
          <w:sz w:val="24"/>
          <w:szCs w:val="24"/>
        </w:rPr>
        <w:t>enfan</w:t>
      </w:r>
      <w:r w:rsidR="007B54A2">
        <w:rPr>
          <w:rFonts w:ascii="Times New Roman" w:hAnsi="Times New Roman"/>
          <w:sz w:val="24"/>
          <w:szCs w:val="24"/>
        </w:rPr>
        <w:t>ts souffrant de la malnutrition, de la pr</w:t>
      </w:r>
      <w:r w:rsidR="007B54A2" w:rsidRPr="007B54A2">
        <w:rPr>
          <w:rFonts w:ascii="Times New Roman" w:hAnsi="Times New Roman"/>
          <w:sz w:val="24"/>
          <w:szCs w:val="24"/>
        </w:rPr>
        <w:t>oporti</w:t>
      </w:r>
      <w:r w:rsidR="005E486A">
        <w:rPr>
          <w:rFonts w:ascii="Times New Roman" w:hAnsi="Times New Roman"/>
          <w:sz w:val="24"/>
          <w:szCs w:val="24"/>
        </w:rPr>
        <w:t>on de femmes ayant un IMC &lt;18,5</w:t>
      </w:r>
      <w:r w:rsidR="007B54A2">
        <w:rPr>
          <w:rFonts w:ascii="Times New Roman" w:hAnsi="Times New Roman"/>
          <w:sz w:val="24"/>
          <w:szCs w:val="24"/>
        </w:rPr>
        <w:t xml:space="preserve">, ou encore de la </w:t>
      </w:r>
      <w:r w:rsidR="007B54A2" w:rsidRPr="007B54A2">
        <w:rPr>
          <w:rFonts w:ascii="Times New Roman" w:hAnsi="Times New Roman"/>
          <w:sz w:val="24"/>
          <w:szCs w:val="24"/>
        </w:rPr>
        <w:t>prévalence de l’insuffisance pondérale</w:t>
      </w:r>
      <w:r w:rsidR="007B54A2">
        <w:rPr>
          <w:rFonts w:ascii="Times New Roman" w:hAnsi="Times New Roman"/>
          <w:sz w:val="24"/>
          <w:szCs w:val="24"/>
        </w:rPr>
        <w:t>.</w:t>
      </w:r>
    </w:p>
    <w:p w14:paraId="604B5218" w14:textId="77777777" w:rsidR="00D47B96" w:rsidRDefault="00D47B96" w:rsidP="005B22B2">
      <w:pPr>
        <w:spacing w:after="0" w:line="240" w:lineRule="auto"/>
        <w:jc w:val="both"/>
        <w:rPr>
          <w:rFonts w:ascii="Times New Roman" w:hAnsi="Times New Roman"/>
          <w:sz w:val="24"/>
          <w:szCs w:val="24"/>
        </w:rPr>
      </w:pPr>
    </w:p>
    <w:p w14:paraId="604B5219" w14:textId="77777777" w:rsidR="0019715D" w:rsidRDefault="0048539E" w:rsidP="005B22B2">
      <w:pPr>
        <w:spacing w:after="0" w:line="240" w:lineRule="auto"/>
        <w:jc w:val="both"/>
        <w:rPr>
          <w:rFonts w:ascii="Times New Roman" w:hAnsi="Times New Roman"/>
          <w:sz w:val="24"/>
          <w:szCs w:val="24"/>
        </w:rPr>
      </w:pPr>
      <w:r>
        <w:rPr>
          <w:rFonts w:ascii="Times New Roman" w:hAnsi="Times New Roman"/>
          <w:sz w:val="24"/>
          <w:szCs w:val="24"/>
        </w:rPr>
        <w:t>1</w:t>
      </w:r>
      <w:r w:rsidR="007E34BC">
        <w:rPr>
          <w:rFonts w:ascii="Times New Roman" w:hAnsi="Times New Roman"/>
          <w:sz w:val="24"/>
          <w:szCs w:val="24"/>
        </w:rPr>
        <w:t>1</w:t>
      </w:r>
      <w:r w:rsidR="00574B4D">
        <w:rPr>
          <w:rFonts w:ascii="Times New Roman" w:hAnsi="Times New Roman"/>
          <w:sz w:val="24"/>
          <w:szCs w:val="24"/>
        </w:rPr>
        <w:t>4</w:t>
      </w:r>
      <w:r>
        <w:rPr>
          <w:rFonts w:ascii="Times New Roman" w:hAnsi="Times New Roman"/>
          <w:sz w:val="24"/>
          <w:szCs w:val="24"/>
        </w:rPr>
        <w:t>.</w:t>
      </w:r>
      <w:r w:rsidR="00D47B96">
        <w:rPr>
          <w:rFonts w:ascii="Times New Roman" w:hAnsi="Times New Roman"/>
          <w:sz w:val="24"/>
          <w:szCs w:val="24"/>
        </w:rPr>
        <w:tab/>
        <w:t>Un seul indicateur d’</w:t>
      </w:r>
      <w:r w:rsidR="00477D04">
        <w:rPr>
          <w:rFonts w:ascii="Times New Roman" w:hAnsi="Times New Roman"/>
          <w:sz w:val="24"/>
          <w:szCs w:val="24"/>
        </w:rPr>
        <w:t>accès à une éducation de base de qualité</w:t>
      </w:r>
      <w:r w:rsidR="00482E32">
        <w:rPr>
          <w:rFonts w:ascii="Times New Roman" w:hAnsi="Times New Roman"/>
          <w:sz w:val="24"/>
          <w:szCs w:val="24"/>
        </w:rPr>
        <w:t xml:space="preserve"> est satisfaisant : il s’agit </w:t>
      </w:r>
      <w:r w:rsidR="00482E32" w:rsidRPr="0017347A">
        <w:rPr>
          <w:rFonts w:ascii="Times New Roman" w:hAnsi="Times New Roman"/>
          <w:sz w:val="24"/>
          <w:szCs w:val="24"/>
        </w:rPr>
        <w:t>de l’indice de parité dans la scolarisation des enfants en situation d’urgence, qui est réalisé à</w:t>
      </w:r>
      <w:r w:rsidR="00482E32">
        <w:rPr>
          <w:rFonts w:ascii="Times New Roman" w:hAnsi="Times New Roman"/>
          <w:sz w:val="24"/>
          <w:szCs w:val="24"/>
        </w:rPr>
        <w:t xml:space="preserve"> 87% déjà. Les réalisations sont très faibles sur les deux autres indicateurs renseignés</w:t>
      </w:r>
      <w:r w:rsidR="005E486A">
        <w:rPr>
          <w:rFonts w:ascii="Times New Roman" w:hAnsi="Times New Roman"/>
          <w:sz w:val="24"/>
          <w:szCs w:val="24"/>
        </w:rPr>
        <w:t xml:space="preserve"> (</w:t>
      </w:r>
      <w:r w:rsidR="00482E32">
        <w:rPr>
          <w:rFonts w:ascii="Times New Roman" w:hAnsi="Times New Roman"/>
          <w:sz w:val="24"/>
          <w:szCs w:val="24"/>
        </w:rPr>
        <w:t>un cinquième n’étant pas renseigné</w:t>
      </w:r>
      <w:r w:rsidR="005E486A">
        <w:rPr>
          <w:rFonts w:ascii="Times New Roman" w:hAnsi="Times New Roman"/>
          <w:sz w:val="24"/>
          <w:szCs w:val="24"/>
        </w:rPr>
        <w:t>)</w:t>
      </w:r>
      <w:r w:rsidR="00482E32">
        <w:rPr>
          <w:rFonts w:ascii="Times New Roman" w:hAnsi="Times New Roman"/>
          <w:sz w:val="24"/>
          <w:szCs w:val="24"/>
        </w:rPr>
        <w:t xml:space="preserve"> : les </w:t>
      </w:r>
      <w:r w:rsidR="00482E32" w:rsidRPr="00482E32">
        <w:rPr>
          <w:rFonts w:ascii="Times New Roman" w:hAnsi="Times New Roman"/>
          <w:sz w:val="24"/>
          <w:szCs w:val="24"/>
        </w:rPr>
        <w:t xml:space="preserve">garçons et filles non scolarisés </w:t>
      </w:r>
      <w:r w:rsidR="00482E32">
        <w:rPr>
          <w:rFonts w:ascii="Times New Roman" w:hAnsi="Times New Roman"/>
          <w:sz w:val="24"/>
          <w:szCs w:val="24"/>
        </w:rPr>
        <w:t>ou</w:t>
      </w:r>
      <w:r w:rsidR="00482E32" w:rsidRPr="00482E32">
        <w:rPr>
          <w:rFonts w:ascii="Times New Roman" w:hAnsi="Times New Roman"/>
          <w:sz w:val="24"/>
          <w:szCs w:val="24"/>
        </w:rPr>
        <w:t xml:space="preserve"> déscolarisés bénéficiant d’opportunités d’intégration dans l’enseignement formel ou d’opportunités d’alphabétis</w:t>
      </w:r>
      <w:r w:rsidR="00482E32">
        <w:rPr>
          <w:rFonts w:ascii="Times New Roman" w:hAnsi="Times New Roman"/>
          <w:sz w:val="24"/>
          <w:szCs w:val="24"/>
        </w:rPr>
        <w:t xml:space="preserve">ation/formation professionnelle ; </w:t>
      </w:r>
      <w:r w:rsidR="005E486A">
        <w:rPr>
          <w:rFonts w:ascii="Times New Roman" w:hAnsi="Times New Roman"/>
          <w:sz w:val="24"/>
          <w:szCs w:val="24"/>
        </w:rPr>
        <w:t xml:space="preserve">et </w:t>
      </w:r>
      <w:r w:rsidR="00482E32">
        <w:rPr>
          <w:rFonts w:ascii="Times New Roman" w:hAnsi="Times New Roman"/>
          <w:sz w:val="24"/>
          <w:szCs w:val="24"/>
        </w:rPr>
        <w:t>le t</w:t>
      </w:r>
      <w:r w:rsidR="00482E32" w:rsidRPr="00482E32">
        <w:rPr>
          <w:rFonts w:ascii="Times New Roman" w:hAnsi="Times New Roman"/>
          <w:sz w:val="24"/>
          <w:szCs w:val="24"/>
        </w:rPr>
        <w:t>aux de transition primaire secondaire</w:t>
      </w:r>
      <w:r w:rsidR="0019715D">
        <w:rPr>
          <w:rFonts w:ascii="Times New Roman" w:hAnsi="Times New Roman"/>
          <w:sz w:val="24"/>
          <w:szCs w:val="24"/>
        </w:rPr>
        <w:t>.</w:t>
      </w:r>
    </w:p>
    <w:p w14:paraId="604B521A" w14:textId="77777777" w:rsidR="0019715D" w:rsidRDefault="0019715D" w:rsidP="005B22B2">
      <w:pPr>
        <w:spacing w:after="0" w:line="240" w:lineRule="auto"/>
        <w:jc w:val="both"/>
        <w:rPr>
          <w:rFonts w:ascii="Times New Roman" w:hAnsi="Times New Roman"/>
          <w:sz w:val="24"/>
          <w:szCs w:val="24"/>
        </w:rPr>
      </w:pPr>
    </w:p>
    <w:p w14:paraId="604B521B" w14:textId="77777777" w:rsidR="00283C0E" w:rsidRDefault="0048539E" w:rsidP="005B22B2">
      <w:pPr>
        <w:spacing w:after="0" w:line="240" w:lineRule="auto"/>
        <w:jc w:val="both"/>
        <w:rPr>
          <w:rFonts w:ascii="Times New Roman" w:hAnsi="Times New Roman"/>
          <w:sz w:val="24"/>
          <w:szCs w:val="24"/>
        </w:rPr>
      </w:pPr>
      <w:r>
        <w:rPr>
          <w:rFonts w:ascii="Times New Roman" w:hAnsi="Times New Roman"/>
          <w:sz w:val="24"/>
          <w:szCs w:val="24"/>
        </w:rPr>
        <w:t>1</w:t>
      </w:r>
      <w:r w:rsidR="007E34BC">
        <w:rPr>
          <w:rFonts w:ascii="Times New Roman" w:hAnsi="Times New Roman"/>
          <w:sz w:val="24"/>
          <w:szCs w:val="24"/>
        </w:rPr>
        <w:t>1</w:t>
      </w:r>
      <w:r w:rsidR="00574B4D">
        <w:rPr>
          <w:rFonts w:ascii="Times New Roman" w:hAnsi="Times New Roman"/>
          <w:sz w:val="24"/>
          <w:szCs w:val="24"/>
        </w:rPr>
        <w:t>5</w:t>
      </w:r>
      <w:r>
        <w:rPr>
          <w:rFonts w:ascii="Times New Roman" w:hAnsi="Times New Roman"/>
          <w:sz w:val="24"/>
          <w:szCs w:val="24"/>
        </w:rPr>
        <w:t>.</w:t>
      </w:r>
      <w:r w:rsidR="0019715D">
        <w:rPr>
          <w:rFonts w:ascii="Times New Roman" w:hAnsi="Times New Roman"/>
          <w:sz w:val="24"/>
          <w:szCs w:val="24"/>
        </w:rPr>
        <w:tab/>
      </w:r>
      <w:r w:rsidR="00482E32">
        <w:rPr>
          <w:rFonts w:ascii="Times New Roman" w:hAnsi="Times New Roman"/>
          <w:sz w:val="24"/>
          <w:szCs w:val="24"/>
        </w:rPr>
        <w:t xml:space="preserve">En ce qui concerne la protection sociale, les résultats sont assez partagés sur les indicateurs décidables, un grand </w:t>
      </w:r>
      <w:r w:rsidR="008F3D02">
        <w:rPr>
          <w:rFonts w:ascii="Times New Roman" w:hAnsi="Times New Roman"/>
          <w:sz w:val="24"/>
          <w:szCs w:val="24"/>
        </w:rPr>
        <w:t xml:space="preserve">nombre </w:t>
      </w:r>
      <w:r w:rsidR="00482E32">
        <w:rPr>
          <w:rFonts w:ascii="Times New Roman" w:hAnsi="Times New Roman"/>
          <w:sz w:val="24"/>
          <w:szCs w:val="24"/>
        </w:rPr>
        <w:t xml:space="preserve">n’ayant pas fait l’objet d’une fixation de cibles et ne pouvant donc pas </w:t>
      </w:r>
      <w:r w:rsidR="008F3D02">
        <w:rPr>
          <w:rFonts w:ascii="Times New Roman" w:hAnsi="Times New Roman"/>
          <w:sz w:val="24"/>
          <w:szCs w:val="24"/>
        </w:rPr>
        <w:t>être adéquatement interprétés en termes de niveau d’effort.</w:t>
      </w:r>
      <w:r w:rsidR="00283C0E">
        <w:rPr>
          <w:rFonts w:ascii="Times New Roman" w:hAnsi="Times New Roman"/>
          <w:sz w:val="24"/>
          <w:szCs w:val="24"/>
        </w:rPr>
        <w:t xml:space="preserve"> Sur l’</w:t>
      </w:r>
      <w:r w:rsidR="00283C0E" w:rsidRPr="00283C0E">
        <w:rPr>
          <w:rFonts w:ascii="Times New Roman" w:hAnsi="Times New Roman"/>
          <w:sz w:val="24"/>
          <w:szCs w:val="24"/>
        </w:rPr>
        <w:t>enregistrement des naissances</w:t>
      </w:r>
      <w:r w:rsidR="00283C0E">
        <w:rPr>
          <w:rFonts w:ascii="Times New Roman" w:hAnsi="Times New Roman"/>
          <w:sz w:val="24"/>
          <w:szCs w:val="24"/>
        </w:rPr>
        <w:t>, le mariage des filles avant 15</w:t>
      </w:r>
      <w:r w:rsidR="008F3D02">
        <w:rPr>
          <w:rFonts w:ascii="Times New Roman" w:hAnsi="Times New Roman"/>
          <w:sz w:val="24"/>
          <w:szCs w:val="24"/>
        </w:rPr>
        <w:t xml:space="preserve"> ans</w:t>
      </w:r>
      <w:r w:rsidR="00283C0E">
        <w:rPr>
          <w:rFonts w:ascii="Times New Roman" w:hAnsi="Times New Roman"/>
          <w:sz w:val="24"/>
          <w:szCs w:val="24"/>
        </w:rPr>
        <w:t xml:space="preserve"> et la </w:t>
      </w:r>
      <w:r w:rsidR="00283C0E" w:rsidRPr="00283C0E">
        <w:rPr>
          <w:rFonts w:ascii="Times New Roman" w:hAnsi="Times New Roman"/>
          <w:sz w:val="24"/>
          <w:szCs w:val="24"/>
        </w:rPr>
        <w:t xml:space="preserve">prévalence des Mutilations Génitales Féminines </w:t>
      </w:r>
      <w:r w:rsidR="008F3D02">
        <w:rPr>
          <w:rFonts w:ascii="Times New Roman" w:hAnsi="Times New Roman"/>
          <w:sz w:val="24"/>
          <w:szCs w:val="24"/>
        </w:rPr>
        <w:t xml:space="preserve">dans la </w:t>
      </w:r>
      <w:r w:rsidR="00283C0E" w:rsidRPr="00283C0E">
        <w:rPr>
          <w:rFonts w:ascii="Times New Roman" w:hAnsi="Times New Roman"/>
          <w:sz w:val="24"/>
          <w:szCs w:val="24"/>
        </w:rPr>
        <w:t>tranche d’âge</w:t>
      </w:r>
      <w:r w:rsidR="00283C0E">
        <w:rPr>
          <w:rFonts w:ascii="Times New Roman" w:hAnsi="Times New Roman"/>
          <w:sz w:val="24"/>
          <w:szCs w:val="24"/>
        </w:rPr>
        <w:t xml:space="preserve"> de </w:t>
      </w:r>
      <w:r w:rsidR="005D04B7">
        <w:rPr>
          <w:rFonts w:ascii="Times New Roman" w:hAnsi="Times New Roman"/>
          <w:sz w:val="24"/>
          <w:szCs w:val="24"/>
        </w:rPr>
        <w:t>15-5</w:t>
      </w:r>
      <w:r w:rsidR="00283C0E" w:rsidRPr="00283C0E">
        <w:rPr>
          <w:rFonts w:ascii="Times New Roman" w:hAnsi="Times New Roman"/>
          <w:sz w:val="24"/>
          <w:szCs w:val="24"/>
        </w:rPr>
        <w:t>9ans</w:t>
      </w:r>
      <w:r w:rsidR="00283C0E">
        <w:rPr>
          <w:rFonts w:ascii="Times New Roman" w:hAnsi="Times New Roman"/>
          <w:sz w:val="24"/>
          <w:szCs w:val="24"/>
        </w:rPr>
        <w:t>, les objectifs sont déjà complètement dépassés au bout de deux années de mise en œuvre du programme. Le mariage des filles avant 18 ans, les mutilations génitales sur les 0-14 ans, la prise en charge des victimes de viols et la législation sur les violences sexuelles ou basées sur le genre, en revanche, restent des points de préoccupation, où les résultats sont encore très faibles.</w:t>
      </w:r>
      <w:r w:rsidR="0019715D">
        <w:rPr>
          <w:rFonts w:ascii="Times New Roman" w:hAnsi="Times New Roman"/>
          <w:sz w:val="24"/>
          <w:szCs w:val="24"/>
        </w:rPr>
        <w:t xml:space="preserve"> Enfin, en matière d’accès au service de protection sociale, si l’indicateur sur la réforme du cadre politique et juridique est entièrement satisfait, l’objectif assigné</w:t>
      </w:r>
      <w:r w:rsidR="008F3D02">
        <w:rPr>
          <w:rFonts w:ascii="Times New Roman" w:hAnsi="Times New Roman"/>
          <w:sz w:val="24"/>
          <w:szCs w:val="24"/>
        </w:rPr>
        <w:t>,</w:t>
      </w:r>
      <w:r w:rsidR="0019715D">
        <w:rPr>
          <w:rFonts w:ascii="Times New Roman" w:hAnsi="Times New Roman"/>
          <w:sz w:val="24"/>
          <w:szCs w:val="24"/>
        </w:rPr>
        <w:t xml:space="preserve"> en termes de </w:t>
      </w:r>
      <w:r w:rsidR="008F3D02">
        <w:rPr>
          <w:rFonts w:ascii="Times New Roman" w:hAnsi="Times New Roman"/>
          <w:sz w:val="24"/>
          <w:szCs w:val="24"/>
        </w:rPr>
        <w:t xml:space="preserve">personnes </w:t>
      </w:r>
      <w:r w:rsidR="0019715D">
        <w:rPr>
          <w:rFonts w:ascii="Times New Roman" w:hAnsi="Times New Roman"/>
          <w:sz w:val="24"/>
          <w:szCs w:val="24"/>
        </w:rPr>
        <w:t>vulnérables bénéficiaires de transferts monétaires</w:t>
      </w:r>
      <w:r w:rsidR="008F3D02">
        <w:rPr>
          <w:rFonts w:ascii="Times New Roman" w:hAnsi="Times New Roman"/>
          <w:sz w:val="24"/>
          <w:szCs w:val="24"/>
        </w:rPr>
        <w:t>,</w:t>
      </w:r>
      <w:r w:rsidR="0019715D">
        <w:rPr>
          <w:rFonts w:ascii="Times New Roman" w:hAnsi="Times New Roman"/>
          <w:sz w:val="24"/>
          <w:szCs w:val="24"/>
        </w:rPr>
        <w:t xml:space="preserve"> n’est </w:t>
      </w:r>
      <w:r w:rsidR="008F3D02">
        <w:rPr>
          <w:rFonts w:ascii="Times New Roman" w:hAnsi="Times New Roman"/>
          <w:sz w:val="24"/>
          <w:szCs w:val="24"/>
        </w:rPr>
        <w:t>réalisé qu’à 14%</w:t>
      </w:r>
      <w:r w:rsidR="0019715D">
        <w:rPr>
          <w:rFonts w:ascii="Times New Roman" w:hAnsi="Times New Roman"/>
          <w:sz w:val="24"/>
          <w:szCs w:val="24"/>
        </w:rPr>
        <w:t xml:space="preserve"> </w:t>
      </w:r>
      <w:r w:rsidR="008F3D02">
        <w:rPr>
          <w:rFonts w:ascii="Times New Roman" w:hAnsi="Times New Roman"/>
          <w:sz w:val="24"/>
          <w:szCs w:val="24"/>
        </w:rPr>
        <w:t>à fin 2016.</w:t>
      </w:r>
    </w:p>
    <w:p w14:paraId="604B521C" w14:textId="77777777" w:rsidR="008F3D02" w:rsidRDefault="008F3D02" w:rsidP="005B22B2">
      <w:pPr>
        <w:spacing w:after="0" w:line="240" w:lineRule="auto"/>
        <w:jc w:val="both"/>
        <w:rPr>
          <w:rFonts w:ascii="Times New Roman" w:hAnsi="Times New Roman"/>
          <w:sz w:val="24"/>
          <w:szCs w:val="24"/>
        </w:rPr>
      </w:pPr>
    </w:p>
    <w:p w14:paraId="604B521D" w14:textId="77777777" w:rsidR="008F3D02" w:rsidRPr="003A1D53" w:rsidRDefault="007E34BC" w:rsidP="005B22B2">
      <w:pPr>
        <w:spacing w:after="0" w:line="240" w:lineRule="auto"/>
        <w:jc w:val="both"/>
        <w:rPr>
          <w:rFonts w:ascii="Times New Roman" w:hAnsi="Times New Roman"/>
          <w:sz w:val="24"/>
          <w:szCs w:val="24"/>
        </w:rPr>
      </w:pPr>
      <w:r>
        <w:rPr>
          <w:rFonts w:ascii="Times New Roman" w:hAnsi="Times New Roman"/>
          <w:sz w:val="24"/>
          <w:szCs w:val="24"/>
        </w:rPr>
        <w:t>11</w:t>
      </w:r>
      <w:r w:rsidR="00574B4D">
        <w:rPr>
          <w:rFonts w:ascii="Times New Roman" w:hAnsi="Times New Roman"/>
          <w:sz w:val="24"/>
          <w:szCs w:val="24"/>
        </w:rPr>
        <w:t>6</w:t>
      </w:r>
      <w:r>
        <w:rPr>
          <w:rFonts w:ascii="Times New Roman" w:hAnsi="Times New Roman"/>
          <w:sz w:val="24"/>
          <w:szCs w:val="24"/>
        </w:rPr>
        <w:t>.</w:t>
      </w:r>
      <w:r w:rsidR="008F3D02">
        <w:rPr>
          <w:rFonts w:ascii="Times New Roman" w:hAnsi="Times New Roman"/>
          <w:sz w:val="24"/>
          <w:szCs w:val="24"/>
        </w:rPr>
        <w:tab/>
      </w:r>
      <w:r w:rsidR="00A53D60" w:rsidRPr="003A1D53">
        <w:rPr>
          <w:rFonts w:ascii="Times New Roman" w:hAnsi="Times New Roman"/>
          <w:sz w:val="24"/>
          <w:szCs w:val="24"/>
        </w:rPr>
        <w:t>L</w:t>
      </w:r>
      <w:r w:rsidR="008F3D02" w:rsidRPr="003A1D53">
        <w:rPr>
          <w:rFonts w:ascii="Times New Roman" w:hAnsi="Times New Roman"/>
          <w:sz w:val="24"/>
          <w:szCs w:val="24"/>
        </w:rPr>
        <w:t>’Effet 4 que ciblent les produits exposés ci-dessus est : "</w:t>
      </w:r>
      <w:r w:rsidR="008F3D02" w:rsidRPr="003A1D53">
        <w:rPr>
          <w:rFonts w:ascii="Times New Roman" w:hAnsi="Times New Roman"/>
          <w:i/>
          <w:sz w:val="24"/>
          <w:szCs w:val="24"/>
        </w:rPr>
        <w:t>D’ici 2019, les populations, en particulier les femmes et les enfants les plus vulnérables et celles affectées par les crises, ont un accès accru et équitable et utilisent les SSB de qualité</w:t>
      </w:r>
      <w:r w:rsidR="008F3D02" w:rsidRPr="003A1D53">
        <w:rPr>
          <w:rFonts w:ascii="Times New Roman" w:hAnsi="Times New Roman"/>
          <w:sz w:val="24"/>
          <w:szCs w:val="24"/>
        </w:rPr>
        <w:t>." Les contreperformances du pays sur les indicateurs de cet effet</w:t>
      </w:r>
      <w:r w:rsidR="00E70BB2" w:rsidRPr="003A1D53">
        <w:rPr>
          <w:rFonts w:ascii="Times New Roman" w:hAnsi="Times New Roman"/>
          <w:sz w:val="24"/>
          <w:szCs w:val="24"/>
        </w:rPr>
        <w:t xml:space="preserve"> (santé de la reproduction, VIH, violences aux femmes et éducation)</w:t>
      </w:r>
      <w:r w:rsidR="008F3D02" w:rsidRPr="003A1D53">
        <w:rPr>
          <w:rFonts w:ascii="Times New Roman" w:hAnsi="Times New Roman"/>
          <w:sz w:val="24"/>
          <w:szCs w:val="24"/>
        </w:rPr>
        <w:t xml:space="preserve">, </w:t>
      </w:r>
      <w:r w:rsidR="00E70BB2" w:rsidRPr="003A1D53">
        <w:rPr>
          <w:rFonts w:ascii="Times New Roman" w:hAnsi="Times New Roman"/>
          <w:sz w:val="24"/>
          <w:szCs w:val="24"/>
        </w:rPr>
        <w:t xml:space="preserve">comme </w:t>
      </w:r>
      <w:r w:rsidR="008F3D02" w:rsidRPr="003A1D53">
        <w:rPr>
          <w:rFonts w:ascii="Times New Roman" w:hAnsi="Times New Roman"/>
          <w:sz w:val="24"/>
          <w:szCs w:val="24"/>
        </w:rPr>
        <w:t>document</w:t>
      </w:r>
      <w:r w:rsidR="00E70BB2" w:rsidRPr="003A1D53">
        <w:rPr>
          <w:rFonts w:ascii="Times New Roman" w:hAnsi="Times New Roman"/>
          <w:sz w:val="24"/>
          <w:szCs w:val="24"/>
        </w:rPr>
        <w:t>és</w:t>
      </w:r>
      <w:r w:rsidR="008F3D02" w:rsidRPr="003A1D53">
        <w:rPr>
          <w:rFonts w:ascii="Times New Roman" w:hAnsi="Times New Roman"/>
          <w:sz w:val="24"/>
          <w:szCs w:val="24"/>
        </w:rPr>
        <w:t xml:space="preserve"> dans la section précédente, font écho aux réalisations mitigées voire </w:t>
      </w:r>
      <w:r w:rsidR="00E70BB2" w:rsidRPr="003A1D53">
        <w:rPr>
          <w:rFonts w:ascii="Times New Roman" w:hAnsi="Times New Roman"/>
          <w:sz w:val="24"/>
          <w:szCs w:val="24"/>
        </w:rPr>
        <w:t>faibles du programme obtenues dans ces domaines. A quelques exceptions près, les livraisons du programme se sont situé</w:t>
      </w:r>
      <w:r w:rsidR="00A930C2" w:rsidRPr="003A1D53">
        <w:rPr>
          <w:rFonts w:ascii="Times New Roman" w:hAnsi="Times New Roman"/>
          <w:sz w:val="24"/>
          <w:szCs w:val="24"/>
        </w:rPr>
        <w:t>e</w:t>
      </w:r>
      <w:r w:rsidR="00E70BB2" w:rsidRPr="003A1D53">
        <w:rPr>
          <w:rFonts w:ascii="Times New Roman" w:hAnsi="Times New Roman"/>
          <w:sz w:val="24"/>
          <w:szCs w:val="24"/>
        </w:rPr>
        <w:t>s en deçà de ce qu’elles auraient dû être à mi-parcours, s’agissant du renforcement de l’offre de santé (santé de la reproduction et lutte contre le VIH), de nutrition, et de d’éducation de base.</w:t>
      </w:r>
      <w:r w:rsidR="00A930C2" w:rsidRPr="003A1D53">
        <w:rPr>
          <w:rFonts w:ascii="Times New Roman" w:hAnsi="Times New Roman"/>
          <w:sz w:val="24"/>
          <w:szCs w:val="24"/>
        </w:rPr>
        <w:t xml:space="preserve"> Sur les violences faites aux femmes, où le pays ne progresse pas non plus significativement, les contributions du programme sont élevées dans la tranche d’âge supérieure </w:t>
      </w:r>
      <w:r w:rsidR="0017347A" w:rsidRPr="003A1D53">
        <w:rPr>
          <w:rFonts w:ascii="Times New Roman" w:hAnsi="Times New Roman"/>
          <w:sz w:val="24"/>
          <w:szCs w:val="24"/>
        </w:rPr>
        <w:t xml:space="preserve">mais faiblissent </w:t>
      </w:r>
      <w:r w:rsidR="00A930C2" w:rsidRPr="003A1D53">
        <w:rPr>
          <w:rFonts w:ascii="Times New Roman" w:hAnsi="Times New Roman"/>
          <w:sz w:val="24"/>
          <w:szCs w:val="24"/>
        </w:rPr>
        <w:t>en direction des filles de moins de 15 ans.</w:t>
      </w:r>
    </w:p>
    <w:p w14:paraId="604B521E" w14:textId="77777777" w:rsidR="00A53D60" w:rsidRPr="003A1D53" w:rsidRDefault="00A53D60" w:rsidP="005B22B2">
      <w:pPr>
        <w:spacing w:after="0" w:line="240" w:lineRule="auto"/>
        <w:jc w:val="both"/>
        <w:rPr>
          <w:rFonts w:ascii="Times New Roman" w:hAnsi="Times New Roman"/>
          <w:sz w:val="24"/>
          <w:szCs w:val="24"/>
        </w:rPr>
      </w:pPr>
    </w:p>
    <w:p w14:paraId="604B521F" w14:textId="77777777" w:rsidR="00A53D60" w:rsidRPr="003A1D53" w:rsidRDefault="007E34BC" w:rsidP="00A53D60">
      <w:pPr>
        <w:spacing w:after="0" w:line="240" w:lineRule="auto"/>
        <w:jc w:val="both"/>
        <w:rPr>
          <w:rFonts w:ascii="Times New Roman" w:hAnsi="Times New Roman"/>
          <w:sz w:val="24"/>
          <w:szCs w:val="24"/>
        </w:rPr>
      </w:pPr>
      <w:r w:rsidRPr="003A1D53">
        <w:rPr>
          <w:rFonts w:ascii="Times New Roman" w:hAnsi="Times New Roman"/>
          <w:sz w:val="24"/>
          <w:szCs w:val="24"/>
        </w:rPr>
        <w:t>11</w:t>
      </w:r>
      <w:r w:rsidR="005854D2" w:rsidRPr="003A1D53">
        <w:rPr>
          <w:rFonts w:ascii="Times New Roman" w:hAnsi="Times New Roman"/>
          <w:sz w:val="24"/>
          <w:szCs w:val="24"/>
        </w:rPr>
        <w:t>7</w:t>
      </w:r>
      <w:r w:rsidRPr="003A1D53">
        <w:rPr>
          <w:rFonts w:ascii="Times New Roman" w:hAnsi="Times New Roman"/>
          <w:sz w:val="24"/>
          <w:szCs w:val="24"/>
        </w:rPr>
        <w:t>.</w:t>
      </w:r>
      <w:r w:rsidR="00A53D60" w:rsidRPr="003A1D53">
        <w:rPr>
          <w:rFonts w:ascii="Times New Roman" w:hAnsi="Times New Roman"/>
          <w:sz w:val="24"/>
          <w:szCs w:val="24"/>
        </w:rPr>
        <w:tab/>
        <w:t>En direction des Objectifs de Développement Durable, les contributions du programme sous l’Effet 4 résonnent sur les objectifs de lutte contre la pauvreté, d’accès aux services sociaux de base (ODD 1,2,3,6), tout en servant indirectement l’objectif 10 de promotion de la paix qui dépend aussi de la création des conditions d’un accès satisfaisant des communautés aux services sociaux de base (16).</w:t>
      </w:r>
    </w:p>
    <w:p w14:paraId="604B5220" w14:textId="77777777" w:rsidR="00482E32" w:rsidRPr="003A1D53" w:rsidRDefault="00482E32" w:rsidP="005B22B2">
      <w:pPr>
        <w:spacing w:after="0" w:line="240" w:lineRule="auto"/>
        <w:jc w:val="both"/>
        <w:rPr>
          <w:rFonts w:ascii="Times New Roman" w:hAnsi="Times New Roman"/>
          <w:sz w:val="24"/>
          <w:szCs w:val="24"/>
        </w:rPr>
      </w:pPr>
    </w:p>
    <w:p w14:paraId="604B5221" w14:textId="77777777" w:rsidR="007E3885" w:rsidRPr="003A1D53" w:rsidRDefault="000228C8" w:rsidP="005B22B2">
      <w:pPr>
        <w:pStyle w:val="Titre4"/>
        <w:numPr>
          <w:ilvl w:val="3"/>
          <w:numId w:val="4"/>
        </w:numPr>
        <w:spacing w:before="0" w:line="240" w:lineRule="auto"/>
        <w:rPr>
          <w:rFonts w:ascii="Times New Roman" w:hAnsi="Times New Roman"/>
          <w:i w:val="0"/>
          <w:color w:val="auto"/>
          <w:sz w:val="24"/>
          <w:szCs w:val="24"/>
        </w:rPr>
      </w:pPr>
      <w:r w:rsidRPr="003A1D53">
        <w:rPr>
          <w:rFonts w:ascii="Times New Roman" w:hAnsi="Times New Roman"/>
          <w:i w:val="0"/>
          <w:color w:val="auto"/>
          <w:sz w:val="24"/>
          <w:szCs w:val="24"/>
        </w:rPr>
        <w:t xml:space="preserve">Facteurs explicatifs : forces et faiblesses de la mise en œuvre de contributions sous l’Effet </w:t>
      </w:r>
      <w:r w:rsidR="007E3885" w:rsidRPr="003A1D53">
        <w:rPr>
          <w:rFonts w:ascii="Times New Roman" w:hAnsi="Times New Roman"/>
          <w:i w:val="0"/>
          <w:color w:val="auto"/>
          <w:sz w:val="24"/>
          <w:szCs w:val="24"/>
        </w:rPr>
        <w:t>4</w:t>
      </w:r>
    </w:p>
    <w:p w14:paraId="604B5222" w14:textId="77777777" w:rsidR="006E369E" w:rsidRPr="003A1D53" w:rsidRDefault="006E369E" w:rsidP="006E369E">
      <w:pPr>
        <w:spacing w:after="0" w:line="240" w:lineRule="auto"/>
        <w:contextualSpacing/>
        <w:jc w:val="both"/>
        <w:rPr>
          <w:rFonts w:ascii="Times New Roman" w:eastAsia="Times New Roman" w:hAnsi="Times New Roman"/>
          <w:b/>
          <w:sz w:val="24"/>
          <w:szCs w:val="24"/>
          <w:lang w:bidi="en-US"/>
        </w:rPr>
      </w:pPr>
    </w:p>
    <w:p w14:paraId="604B5223" w14:textId="77777777" w:rsidR="006E369E" w:rsidRPr="003A1D53" w:rsidRDefault="007E34BC" w:rsidP="006E369E">
      <w:pPr>
        <w:spacing w:after="0" w:line="240" w:lineRule="auto"/>
        <w:contextualSpacing/>
        <w:jc w:val="both"/>
        <w:rPr>
          <w:rFonts w:ascii="Times New Roman" w:eastAsia="Times New Roman" w:hAnsi="Times New Roman"/>
          <w:sz w:val="24"/>
          <w:szCs w:val="24"/>
          <w:lang w:bidi="en-US"/>
        </w:rPr>
      </w:pPr>
      <w:r w:rsidRPr="003A1D53">
        <w:rPr>
          <w:rFonts w:ascii="Times New Roman" w:eastAsia="Times New Roman" w:hAnsi="Times New Roman"/>
          <w:sz w:val="24"/>
          <w:szCs w:val="24"/>
          <w:lang w:bidi="en-US"/>
        </w:rPr>
        <w:t>11</w:t>
      </w:r>
      <w:r w:rsidR="00D5438C" w:rsidRPr="003A1D53">
        <w:rPr>
          <w:rFonts w:ascii="Times New Roman" w:eastAsia="Times New Roman" w:hAnsi="Times New Roman"/>
          <w:sz w:val="24"/>
          <w:szCs w:val="24"/>
          <w:lang w:bidi="en-US"/>
        </w:rPr>
        <w:t>8</w:t>
      </w:r>
      <w:r w:rsidRPr="003A1D53">
        <w:rPr>
          <w:rFonts w:ascii="Times New Roman" w:eastAsia="Times New Roman" w:hAnsi="Times New Roman"/>
          <w:sz w:val="24"/>
          <w:szCs w:val="24"/>
          <w:lang w:bidi="en-US"/>
        </w:rPr>
        <w:t>.</w:t>
      </w:r>
      <w:r w:rsidR="006E369E" w:rsidRPr="003A1D53">
        <w:rPr>
          <w:rFonts w:ascii="Times New Roman" w:eastAsia="Times New Roman" w:hAnsi="Times New Roman"/>
          <w:sz w:val="24"/>
          <w:szCs w:val="24"/>
          <w:lang w:bidi="en-US"/>
        </w:rPr>
        <w:tab/>
        <w:t>Des déterminants propices ont été relevés dans la mise en œuvre des produits de l’Effet 4, dans le domaine de la santé et la nutrition et de la lutte contre les violences faites aux femmes. On peut citer notamment, à cet égard : le renforcement des compétences des prestataires et des cadres des unités de pédiatrie dans le domaine de la PCIME et TETU sur la prise en charge des enfants malades ; le renforcement de la  stratégie SEC par la tenue de la revue nationale des SEC dans le cadre de la documentation de l’apport des ASC à la survie de l’enfant; la prise en charge des survivantes de VBG et des enfants référés ; l’opérationnalisation du Mécanisme Opérationnel de Coordination (MOC) et le déploiement dans ce cadre d’un dispositif d’accueil et prise en charge des enfants associés aux Groupes armés</w:t>
      </w:r>
      <w:r w:rsidR="00CA52E6" w:rsidRPr="003A1D53">
        <w:rPr>
          <w:rFonts w:ascii="Times New Roman" w:eastAsia="Times New Roman" w:hAnsi="Times New Roman"/>
          <w:sz w:val="24"/>
          <w:szCs w:val="24"/>
          <w:lang w:bidi="en-US"/>
        </w:rPr>
        <w:t xml:space="preserve">. Sur un plan plus global </w:t>
      </w:r>
      <w:r w:rsidR="006E369E" w:rsidRPr="003A1D53">
        <w:rPr>
          <w:rFonts w:ascii="Times New Roman" w:eastAsia="Times New Roman" w:hAnsi="Times New Roman"/>
          <w:sz w:val="24"/>
          <w:szCs w:val="24"/>
          <w:lang w:bidi="en-US"/>
        </w:rPr>
        <w:t>l’a</w:t>
      </w:r>
      <w:r w:rsidR="00CA52E6" w:rsidRPr="003A1D53">
        <w:rPr>
          <w:rFonts w:ascii="Times New Roman" w:eastAsia="Times New Roman" w:hAnsi="Times New Roman"/>
          <w:sz w:val="24"/>
          <w:szCs w:val="24"/>
          <w:lang w:bidi="en-US"/>
        </w:rPr>
        <w:t xml:space="preserve">dhésion </w:t>
      </w:r>
      <w:r w:rsidR="006E369E" w:rsidRPr="003A1D53">
        <w:rPr>
          <w:rFonts w:ascii="Times New Roman" w:eastAsia="Times New Roman" w:hAnsi="Times New Roman"/>
          <w:sz w:val="24"/>
          <w:szCs w:val="24"/>
          <w:lang w:bidi="en-US"/>
        </w:rPr>
        <w:t xml:space="preserve">stratégique des partenaires </w:t>
      </w:r>
      <w:r w:rsidR="00CA52E6" w:rsidRPr="003A1D53">
        <w:rPr>
          <w:rFonts w:ascii="Times New Roman" w:eastAsia="Times New Roman" w:hAnsi="Times New Roman"/>
          <w:sz w:val="24"/>
          <w:szCs w:val="24"/>
          <w:lang w:bidi="en-US"/>
        </w:rPr>
        <w:t xml:space="preserve">à ses contenus est un grand bénéfice pour l’Effet, et se traduit par </w:t>
      </w:r>
      <w:r w:rsidR="006E369E" w:rsidRPr="003A1D53">
        <w:rPr>
          <w:rFonts w:ascii="Times New Roman" w:eastAsia="Times New Roman" w:hAnsi="Times New Roman"/>
          <w:sz w:val="24"/>
          <w:szCs w:val="24"/>
          <w:lang w:bidi="en-US"/>
        </w:rPr>
        <w:t xml:space="preserve">un </w:t>
      </w:r>
      <w:r w:rsidR="00CA52E6" w:rsidRPr="003A1D53">
        <w:rPr>
          <w:rFonts w:ascii="Times New Roman" w:eastAsia="Times New Roman" w:hAnsi="Times New Roman"/>
          <w:sz w:val="24"/>
          <w:szCs w:val="24"/>
          <w:lang w:bidi="en-US"/>
        </w:rPr>
        <w:t xml:space="preserve">excellent niveau de </w:t>
      </w:r>
      <w:r w:rsidR="006E369E" w:rsidRPr="003A1D53">
        <w:rPr>
          <w:rFonts w:ascii="Times New Roman" w:eastAsia="Times New Roman" w:hAnsi="Times New Roman"/>
          <w:sz w:val="24"/>
          <w:szCs w:val="24"/>
          <w:lang w:bidi="en-US"/>
        </w:rPr>
        <w:t>capitalisation</w:t>
      </w:r>
      <w:r w:rsidR="00CA52E6" w:rsidRPr="003A1D53">
        <w:rPr>
          <w:rFonts w:ascii="Times New Roman" w:eastAsia="Times New Roman" w:hAnsi="Times New Roman"/>
          <w:sz w:val="24"/>
          <w:szCs w:val="24"/>
          <w:lang w:bidi="en-US"/>
        </w:rPr>
        <w:t>, le tout premier du programme. A</w:t>
      </w:r>
      <w:r w:rsidR="006E369E" w:rsidRPr="003A1D53">
        <w:rPr>
          <w:rFonts w:ascii="Times New Roman" w:eastAsia="Times New Roman" w:hAnsi="Times New Roman"/>
          <w:sz w:val="24"/>
          <w:szCs w:val="24"/>
          <w:lang w:bidi="en-US"/>
        </w:rPr>
        <w:t xml:space="preserve">vec 200 millions de dollar </w:t>
      </w:r>
      <w:r w:rsidR="00CA52E6" w:rsidRPr="003A1D53">
        <w:rPr>
          <w:rFonts w:ascii="Times New Roman" w:eastAsia="Times New Roman" w:hAnsi="Times New Roman"/>
          <w:sz w:val="24"/>
          <w:szCs w:val="24"/>
          <w:lang w:bidi="en-US"/>
        </w:rPr>
        <w:t>mobilisés à mi-cycle,</w:t>
      </w:r>
      <w:r w:rsidR="006E369E" w:rsidRPr="003A1D53">
        <w:rPr>
          <w:rFonts w:ascii="Times New Roman" w:eastAsia="Times New Roman" w:hAnsi="Times New Roman"/>
          <w:sz w:val="24"/>
          <w:szCs w:val="24"/>
          <w:lang w:bidi="en-US"/>
        </w:rPr>
        <w:t xml:space="preserve"> </w:t>
      </w:r>
      <w:r w:rsidR="00CA52E6" w:rsidRPr="003A1D53">
        <w:rPr>
          <w:rFonts w:ascii="Times New Roman" w:eastAsia="Times New Roman" w:hAnsi="Times New Roman"/>
          <w:sz w:val="24"/>
          <w:szCs w:val="24"/>
          <w:lang w:bidi="en-US"/>
        </w:rPr>
        <w:t xml:space="preserve">l’Effet 4 a déjà mobilisé plus de ressources qu’il n’en envisageait pour l’ensemble de la période de programmation. </w:t>
      </w:r>
    </w:p>
    <w:p w14:paraId="604B5224" w14:textId="77777777" w:rsidR="00533F84" w:rsidRPr="003A1D53" w:rsidRDefault="00533F84" w:rsidP="005B22B2">
      <w:pPr>
        <w:spacing w:after="0" w:line="240" w:lineRule="auto"/>
        <w:jc w:val="both"/>
        <w:rPr>
          <w:rFonts w:ascii="Times New Roman" w:eastAsia="Times New Roman" w:hAnsi="Times New Roman"/>
          <w:bCs/>
          <w:sz w:val="24"/>
          <w:szCs w:val="24"/>
        </w:rPr>
      </w:pPr>
    </w:p>
    <w:p w14:paraId="604B5225" w14:textId="77777777" w:rsidR="00BA38F0" w:rsidRPr="003A1D53" w:rsidRDefault="00D5438C" w:rsidP="00BA38F0">
      <w:pPr>
        <w:spacing w:after="0" w:line="240" w:lineRule="auto"/>
        <w:contextualSpacing/>
        <w:jc w:val="both"/>
        <w:rPr>
          <w:rFonts w:ascii="Times New Roman" w:eastAsia="Times New Roman" w:hAnsi="Times New Roman"/>
          <w:bCs/>
          <w:sz w:val="24"/>
          <w:szCs w:val="24"/>
          <w:lang w:bidi="en-US"/>
        </w:rPr>
      </w:pPr>
      <w:r w:rsidRPr="003A1D53">
        <w:rPr>
          <w:rFonts w:ascii="Times New Roman" w:eastAsia="Times New Roman" w:hAnsi="Times New Roman"/>
          <w:sz w:val="24"/>
          <w:szCs w:val="24"/>
          <w:lang w:bidi="en-US"/>
        </w:rPr>
        <w:t>119</w:t>
      </w:r>
      <w:r w:rsidR="007E34BC" w:rsidRPr="003A1D53">
        <w:rPr>
          <w:rFonts w:ascii="Times New Roman" w:eastAsia="Times New Roman" w:hAnsi="Times New Roman"/>
          <w:sz w:val="24"/>
          <w:szCs w:val="24"/>
          <w:lang w:bidi="en-US"/>
        </w:rPr>
        <w:t>.</w:t>
      </w:r>
      <w:r w:rsidR="00CA52E6" w:rsidRPr="003A1D53">
        <w:rPr>
          <w:rFonts w:ascii="Times New Roman" w:eastAsia="Times New Roman" w:hAnsi="Times New Roman"/>
          <w:sz w:val="24"/>
          <w:szCs w:val="24"/>
          <w:lang w:bidi="en-US"/>
        </w:rPr>
        <w:tab/>
        <w:t xml:space="preserve">Face à ces opportunités, surtout l’important cadre budgétaire qui vient d’être rappelé, les contraintes n’ont pas manqué non plus, pour expliquer ne serait-ce qu’en partie, les résultats très mitigés alignés par le programme sur la chaîne des indicateurs de produits </w:t>
      </w:r>
      <w:r w:rsidR="00A930C2" w:rsidRPr="003A1D53">
        <w:rPr>
          <w:rFonts w:ascii="Times New Roman" w:eastAsia="Times New Roman" w:hAnsi="Times New Roman"/>
          <w:sz w:val="24"/>
          <w:szCs w:val="24"/>
          <w:lang w:bidi="en-US"/>
        </w:rPr>
        <w:t>:</w:t>
      </w:r>
      <w:r w:rsidR="00CA52E6" w:rsidRPr="003A1D53">
        <w:rPr>
          <w:rFonts w:ascii="Times New Roman" w:eastAsia="Times New Roman" w:hAnsi="Times New Roman"/>
          <w:sz w:val="24"/>
          <w:szCs w:val="24"/>
          <w:lang w:bidi="en-US"/>
        </w:rPr>
        <w:t xml:space="preserve"> </w:t>
      </w:r>
      <w:r w:rsidR="00A930C2" w:rsidRPr="003A1D53">
        <w:rPr>
          <w:rFonts w:ascii="Times New Roman" w:eastAsia="Times New Roman" w:hAnsi="Times New Roman"/>
          <w:sz w:val="24"/>
          <w:szCs w:val="24"/>
          <w:lang w:bidi="en-US"/>
        </w:rPr>
        <w:t>le contexte sécuritaire dans les régions du nord, de la région de Mopti et de certaines parties de la région de Ségou</w:t>
      </w:r>
      <w:r w:rsidR="00CA52E6" w:rsidRPr="003A1D53">
        <w:rPr>
          <w:rFonts w:ascii="Times New Roman" w:eastAsia="Times New Roman" w:hAnsi="Times New Roman"/>
          <w:sz w:val="24"/>
          <w:szCs w:val="24"/>
          <w:lang w:bidi="en-US"/>
        </w:rPr>
        <w:t>,</w:t>
      </w:r>
      <w:r w:rsidR="00A930C2" w:rsidRPr="003A1D53">
        <w:rPr>
          <w:rFonts w:ascii="Times New Roman" w:eastAsia="Times New Roman" w:hAnsi="Times New Roman"/>
          <w:sz w:val="24"/>
          <w:szCs w:val="24"/>
          <w:lang w:bidi="en-US"/>
        </w:rPr>
        <w:t xml:space="preserve">  qui rend difficile l</w:t>
      </w:r>
      <w:r w:rsidR="00CA52E6" w:rsidRPr="003A1D53">
        <w:rPr>
          <w:rFonts w:ascii="Times New Roman" w:eastAsia="Times New Roman" w:hAnsi="Times New Roman"/>
          <w:sz w:val="24"/>
          <w:szCs w:val="24"/>
          <w:lang w:bidi="en-US"/>
        </w:rPr>
        <w:t xml:space="preserve">e déroulement des activités opérationnelles d’implantation des capacités de services (santé, éducation, nutrition, etc.), a, ici, aussi, très négativement </w:t>
      </w:r>
      <w:r w:rsidR="00375DB6" w:rsidRPr="003A1D53">
        <w:rPr>
          <w:rFonts w:ascii="Times New Roman" w:eastAsia="Times New Roman" w:hAnsi="Times New Roman"/>
          <w:sz w:val="24"/>
          <w:szCs w:val="24"/>
          <w:lang w:bidi="en-US"/>
        </w:rPr>
        <w:t>pesé</w:t>
      </w:r>
      <w:r w:rsidR="00CA52E6" w:rsidRPr="003A1D53">
        <w:rPr>
          <w:rFonts w:ascii="Times New Roman" w:eastAsia="Times New Roman" w:hAnsi="Times New Roman"/>
          <w:sz w:val="24"/>
          <w:szCs w:val="24"/>
          <w:lang w:bidi="en-US"/>
        </w:rPr>
        <w:t xml:space="preserve">. </w:t>
      </w:r>
      <w:r w:rsidR="00375DB6" w:rsidRPr="003A1D53">
        <w:rPr>
          <w:rFonts w:ascii="Times New Roman" w:eastAsia="Times New Roman" w:hAnsi="Times New Roman"/>
          <w:sz w:val="24"/>
          <w:szCs w:val="24"/>
          <w:lang w:bidi="en-US"/>
        </w:rPr>
        <w:t>Un certain nombre de dispositions institutionnelles, techniques et réglementaires, à la diligence des autorités ont également négativement joué sur les performances, en n’ayant pas été prises, ou pas dans le bon timing : l’</w:t>
      </w:r>
      <w:r w:rsidR="00A930C2" w:rsidRPr="003A1D53">
        <w:rPr>
          <w:rFonts w:ascii="Times New Roman" w:eastAsia="Times New Roman" w:hAnsi="Times New Roman"/>
          <w:sz w:val="24"/>
          <w:szCs w:val="24"/>
          <w:lang w:bidi="en-US"/>
        </w:rPr>
        <w:t>insuffisance de directives du niveau national pour la PCIME et le TETU;</w:t>
      </w:r>
      <w:r w:rsidR="00375DB6" w:rsidRPr="003A1D53">
        <w:rPr>
          <w:rFonts w:ascii="Times New Roman" w:eastAsia="Times New Roman" w:hAnsi="Times New Roman"/>
          <w:sz w:val="24"/>
          <w:szCs w:val="24"/>
          <w:lang w:bidi="en-US"/>
        </w:rPr>
        <w:t xml:space="preserve"> </w:t>
      </w:r>
      <w:r w:rsidR="00A930C2" w:rsidRPr="003A1D53">
        <w:rPr>
          <w:rFonts w:ascii="Times New Roman" w:eastAsia="Times New Roman" w:hAnsi="Times New Roman"/>
          <w:sz w:val="24"/>
          <w:szCs w:val="24"/>
          <w:lang w:bidi="en-US"/>
        </w:rPr>
        <w:t>le retard dans l’adoption du plan stratégique SEC  et à la non int</w:t>
      </w:r>
      <w:r w:rsidR="00A930C2" w:rsidRPr="003A1D53">
        <w:rPr>
          <w:rFonts w:ascii="Times New Roman" w:eastAsia="Times New Roman" w:hAnsi="Times New Roman"/>
          <w:b/>
          <w:bCs/>
          <w:sz w:val="24"/>
          <w:szCs w:val="24"/>
          <w:lang w:bidi="en-US"/>
        </w:rPr>
        <w:t>é</w:t>
      </w:r>
      <w:r w:rsidR="00A930C2" w:rsidRPr="003A1D53">
        <w:rPr>
          <w:rFonts w:ascii="Times New Roman" w:eastAsia="Times New Roman" w:hAnsi="Times New Roman"/>
          <w:sz w:val="24"/>
          <w:szCs w:val="24"/>
          <w:lang w:bidi="en-US"/>
        </w:rPr>
        <w:t>gration des ASC dans la fonction publique des collectivit</w:t>
      </w:r>
      <w:r w:rsidR="00A930C2" w:rsidRPr="003A1D53">
        <w:rPr>
          <w:rFonts w:ascii="Times New Roman" w:eastAsia="Times New Roman" w:hAnsi="Times New Roman"/>
          <w:b/>
          <w:bCs/>
          <w:sz w:val="24"/>
          <w:szCs w:val="24"/>
          <w:lang w:bidi="en-US"/>
        </w:rPr>
        <w:t>é</w:t>
      </w:r>
      <w:r w:rsidR="00A930C2" w:rsidRPr="003A1D53">
        <w:rPr>
          <w:rFonts w:ascii="Times New Roman" w:eastAsia="Times New Roman" w:hAnsi="Times New Roman"/>
          <w:sz w:val="24"/>
          <w:szCs w:val="24"/>
          <w:lang w:bidi="en-US"/>
        </w:rPr>
        <w:t>s </w:t>
      </w:r>
      <w:r w:rsidR="00375DB6" w:rsidRPr="003A1D53">
        <w:rPr>
          <w:rFonts w:ascii="Times New Roman" w:eastAsia="Times New Roman" w:hAnsi="Times New Roman"/>
          <w:sz w:val="24"/>
          <w:szCs w:val="24"/>
          <w:lang w:bidi="en-US"/>
        </w:rPr>
        <w:t xml:space="preserve">; </w:t>
      </w:r>
      <w:r w:rsidR="00A930C2" w:rsidRPr="003A1D53">
        <w:rPr>
          <w:rFonts w:ascii="Times New Roman" w:eastAsia="Times New Roman" w:hAnsi="Times New Roman"/>
          <w:bCs/>
          <w:sz w:val="24"/>
          <w:szCs w:val="24"/>
          <w:lang w:bidi="en-US"/>
        </w:rPr>
        <w:t xml:space="preserve">les </w:t>
      </w:r>
      <w:r w:rsidR="00A930C2" w:rsidRPr="003A1D53">
        <w:rPr>
          <w:rFonts w:ascii="Times New Roman" w:eastAsia="Times New Roman" w:hAnsi="Times New Roman"/>
          <w:sz w:val="24"/>
          <w:szCs w:val="24"/>
          <w:lang w:bidi="en-US"/>
        </w:rPr>
        <w:t>insuffisances de coordination dans la mise en œuvre des activités de PECP du VIH/sida</w:t>
      </w:r>
      <w:r w:rsidR="00BA38F0" w:rsidRPr="003A1D53">
        <w:rPr>
          <w:rFonts w:ascii="Times New Roman" w:eastAsia="Times New Roman" w:hAnsi="Times New Roman"/>
          <w:sz w:val="24"/>
          <w:szCs w:val="24"/>
          <w:lang w:bidi="en-US"/>
        </w:rPr>
        <w:t> ; l’instabilité au niveau du Ministère de l’Administration Territoriale qui ne favorise pas l’adoption par le Gouvernement de la stratégie nationale sur la modernisation de l’état civil.</w:t>
      </w:r>
    </w:p>
    <w:p w14:paraId="604B5226" w14:textId="77777777" w:rsidR="00BA38F0" w:rsidRPr="003A1D53" w:rsidRDefault="00BA38F0" w:rsidP="00375DB6">
      <w:pPr>
        <w:spacing w:after="0" w:line="240" w:lineRule="auto"/>
        <w:contextualSpacing/>
        <w:jc w:val="both"/>
        <w:rPr>
          <w:rFonts w:ascii="Times New Roman" w:eastAsia="Times New Roman" w:hAnsi="Times New Roman"/>
          <w:sz w:val="24"/>
          <w:szCs w:val="24"/>
          <w:lang w:bidi="en-US"/>
        </w:rPr>
      </w:pPr>
    </w:p>
    <w:p w14:paraId="604B5227" w14:textId="77777777" w:rsidR="00A930C2" w:rsidRPr="003A1D53" w:rsidRDefault="00D5438C" w:rsidP="00BA38F0">
      <w:pPr>
        <w:spacing w:after="0" w:line="240" w:lineRule="auto"/>
        <w:contextualSpacing/>
        <w:jc w:val="both"/>
        <w:rPr>
          <w:rFonts w:ascii="Times New Roman" w:eastAsia="Times New Roman" w:hAnsi="Times New Roman"/>
          <w:bCs/>
          <w:sz w:val="24"/>
          <w:szCs w:val="24"/>
          <w:lang w:bidi="en-US"/>
        </w:rPr>
      </w:pPr>
      <w:r w:rsidRPr="003A1D53">
        <w:rPr>
          <w:rFonts w:ascii="Times New Roman" w:eastAsia="Times New Roman" w:hAnsi="Times New Roman"/>
          <w:sz w:val="24"/>
          <w:szCs w:val="24"/>
          <w:lang w:bidi="en-US"/>
        </w:rPr>
        <w:t>120</w:t>
      </w:r>
      <w:r w:rsidR="007E34BC" w:rsidRPr="003A1D53">
        <w:rPr>
          <w:rFonts w:ascii="Times New Roman" w:eastAsia="Times New Roman" w:hAnsi="Times New Roman"/>
          <w:sz w:val="24"/>
          <w:szCs w:val="24"/>
          <w:lang w:bidi="en-US"/>
        </w:rPr>
        <w:t>.</w:t>
      </w:r>
      <w:r w:rsidR="00BA38F0" w:rsidRPr="003A1D53">
        <w:rPr>
          <w:rFonts w:ascii="Times New Roman" w:eastAsia="Times New Roman" w:hAnsi="Times New Roman"/>
          <w:sz w:val="24"/>
          <w:szCs w:val="24"/>
          <w:lang w:bidi="en-US"/>
        </w:rPr>
        <w:tab/>
      </w:r>
      <w:r w:rsidR="00375DB6" w:rsidRPr="003A1D53">
        <w:rPr>
          <w:rFonts w:ascii="Times New Roman" w:eastAsia="Times New Roman" w:hAnsi="Times New Roman"/>
          <w:sz w:val="24"/>
          <w:szCs w:val="24"/>
          <w:lang w:bidi="en-US"/>
        </w:rPr>
        <w:t xml:space="preserve">En ce qui concerne spécifiquement </w:t>
      </w:r>
      <w:r w:rsidR="00BA38F0" w:rsidRPr="003A1D53">
        <w:rPr>
          <w:rFonts w:ascii="Times New Roman" w:eastAsia="Times New Roman" w:hAnsi="Times New Roman"/>
          <w:sz w:val="24"/>
          <w:szCs w:val="24"/>
          <w:lang w:bidi="en-US"/>
        </w:rPr>
        <w:t>la lutte contre le VIH</w:t>
      </w:r>
      <w:r w:rsidR="00375DB6" w:rsidRPr="003A1D53">
        <w:rPr>
          <w:rFonts w:ascii="Times New Roman" w:eastAsia="Times New Roman" w:hAnsi="Times New Roman"/>
          <w:sz w:val="24"/>
          <w:szCs w:val="24"/>
          <w:lang w:bidi="en-US"/>
        </w:rPr>
        <w:t>, où le Système met en œuvre pour le pays d’importantes ressources en provenance du Fonds Mondial contre les Maladies, l</w:t>
      </w:r>
      <w:r w:rsidR="00BA38F0" w:rsidRPr="003A1D53">
        <w:rPr>
          <w:rFonts w:ascii="Times New Roman" w:eastAsia="Times New Roman" w:hAnsi="Times New Roman"/>
          <w:sz w:val="24"/>
          <w:szCs w:val="24"/>
          <w:lang w:bidi="en-US"/>
        </w:rPr>
        <w:t>’élan a été freiné par l</w:t>
      </w:r>
      <w:r w:rsidR="00375DB6" w:rsidRPr="003A1D53">
        <w:rPr>
          <w:rFonts w:ascii="Times New Roman" w:eastAsia="Times New Roman" w:hAnsi="Times New Roman"/>
          <w:sz w:val="24"/>
          <w:szCs w:val="24"/>
          <w:lang w:bidi="en-US"/>
        </w:rPr>
        <w:t xml:space="preserve">e retard dans la prise des actes d’habilitation des personnels non médecins dans la gestion de la réponse médicale dans les </w:t>
      </w:r>
      <w:r w:rsidR="00BA38F0" w:rsidRPr="003A1D53">
        <w:rPr>
          <w:rFonts w:ascii="Times New Roman" w:eastAsia="Times New Roman" w:hAnsi="Times New Roman"/>
          <w:sz w:val="24"/>
          <w:szCs w:val="24"/>
          <w:lang w:bidi="en-US"/>
        </w:rPr>
        <w:t>nombreuses parties du territoire dépourvues de médecins. Dans le secteur de l’éducation, qui n’a pas reçu les plus importe ressources dans l’Effet 4, le contexte global est marqué par une certaine inadéquation de profil entre la demande et l’offre de service (nettement ressortie des entretien dans le Système et avec les institutionnels nationaux concernés !), qui se travaille le phénomène des écoles fermées, endémique dans une région comme celle de Mopti et bien avant la dégradation de la situation sécuritaire.</w:t>
      </w:r>
    </w:p>
    <w:p w14:paraId="604B5228" w14:textId="77777777" w:rsidR="00A930C2" w:rsidRPr="003A1D53" w:rsidRDefault="00A930C2" w:rsidP="00A930C2">
      <w:pPr>
        <w:spacing w:after="0" w:line="240" w:lineRule="auto"/>
        <w:contextualSpacing/>
        <w:jc w:val="both"/>
        <w:rPr>
          <w:rFonts w:ascii="Times New Roman" w:eastAsia="Times New Roman" w:hAnsi="Times New Roman"/>
          <w:b/>
          <w:sz w:val="24"/>
          <w:szCs w:val="24"/>
          <w:lang w:bidi="en-US"/>
        </w:rPr>
      </w:pPr>
    </w:p>
    <w:p w14:paraId="604B5229" w14:textId="77777777" w:rsidR="00533F84" w:rsidRPr="003A1D53" w:rsidRDefault="00533F84" w:rsidP="005B22B2">
      <w:pPr>
        <w:pStyle w:val="Titre3"/>
        <w:numPr>
          <w:ilvl w:val="2"/>
          <w:numId w:val="4"/>
        </w:numPr>
        <w:shd w:val="clear" w:color="auto" w:fill="DEEAF6" w:themeFill="accent1" w:themeFillTint="33"/>
        <w:spacing w:before="0" w:line="240" w:lineRule="auto"/>
        <w:jc w:val="both"/>
        <w:rPr>
          <w:rFonts w:ascii="Times New Roman" w:hAnsi="Times New Roman"/>
          <w:color w:val="auto"/>
          <w:sz w:val="24"/>
          <w:szCs w:val="24"/>
        </w:rPr>
      </w:pPr>
      <w:bookmarkStart w:id="212" w:name="_Toc500974548"/>
      <w:bookmarkStart w:id="213" w:name="_Toc502863902"/>
      <w:bookmarkStart w:id="214" w:name="_Toc505758481"/>
      <w:bookmarkStart w:id="215" w:name="_Toc506201573"/>
      <w:r w:rsidRPr="003A1D53">
        <w:rPr>
          <w:rFonts w:ascii="Times New Roman" w:hAnsi="Times New Roman"/>
          <w:color w:val="auto"/>
          <w:sz w:val="24"/>
          <w:szCs w:val="24"/>
        </w:rPr>
        <w:t>Effet 5 : "</w:t>
      </w:r>
      <w:r w:rsidR="008A2CF5" w:rsidRPr="003A1D53">
        <w:rPr>
          <w:rFonts w:ascii="Times New Roman" w:hAnsi="Times New Roman"/>
          <w:color w:val="auto"/>
          <w:sz w:val="24"/>
          <w:szCs w:val="24"/>
        </w:rPr>
        <w:t>Les populations défavorisées particulièrement les femmes et les jeunes, bénéficient de capacités et d’opportunités productives accrues, dans un environnement sain et durable, favorable à la réduction de la pauvreté</w:t>
      </w:r>
      <w:r w:rsidRPr="003A1D53">
        <w:rPr>
          <w:rFonts w:ascii="Times New Roman" w:hAnsi="Times New Roman"/>
          <w:color w:val="auto"/>
          <w:sz w:val="24"/>
          <w:szCs w:val="24"/>
        </w:rPr>
        <w:t>."</w:t>
      </w:r>
      <w:bookmarkEnd w:id="212"/>
      <w:bookmarkEnd w:id="213"/>
      <w:bookmarkEnd w:id="214"/>
      <w:bookmarkEnd w:id="215"/>
    </w:p>
    <w:p w14:paraId="604B522A" w14:textId="77777777" w:rsidR="00533F84" w:rsidRPr="003A1D53" w:rsidRDefault="00533F84" w:rsidP="005B22B2">
      <w:pPr>
        <w:spacing w:after="0" w:line="240" w:lineRule="auto"/>
        <w:rPr>
          <w:rFonts w:ascii="Times New Roman" w:hAnsi="Times New Roman"/>
          <w:sz w:val="24"/>
          <w:szCs w:val="24"/>
        </w:rPr>
      </w:pPr>
    </w:p>
    <w:p w14:paraId="604B522B" w14:textId="77777777" w:rsidR="00533F84" w:rsidRPr="003A1D53" w:rsidRDefault="00533F84" w:rsidP="005B22B2">
      <w:pPr>
        <w:pStyle w:val="Titre4"/>
        <w:numPr>
          <w:ilvl w:val="3"/>
          <w:numId w:val="4"/>
        </w:numPr>
        <w:spacing w:before="0" w:line="240" w:lineRule="auto"/>
        <w:rPr>
          <w:rFonts w:ascii="Times New Roman" w:hAnsi="Times New Roman"/>
          <w:i w:val="0"/>
          <w:color w:val="auto"/>
          <w:sz w:val="24"/>
          <w:szCs w:val="24"/>
        </w:rPr>
      </w:pPr>
      <w:r w:rsidRPr="003A1D53">
        <w:rPr>
          <w:rFonts w:ascii="Times New Roman" w:hAnsi="Times New Roman"/>
          <w:i w:val="0"/>
          <w:color w:val="auto"/>
          <w:sz w:val="24"/>
          <w:szCs w:val="24"/>
        </w:rPr>
        <w:t>Résultats obtenus par le pays dans le domaine et dans la période sous revue</w:t>
      </w:r>
    </w:p>
    <w:p w14:paraId="604B522C" w14:textId="77777777" w:rsidR="00562DA0" w:rsidRPr="003A1D53" w:rsidRDefault="00562DA0" w:rsidP="005B22B2">
      <w:pPr>
        <w:spacing w:after="0" w:line="240" w:lineRule="auto"/>
        <w:ind w:left="720"/>
        <w:jc w:val="both"/>
        <w:rPr>
          <w:rFonts w:ascii="Times New Roman" w:hAnsi="Times New Roman"/>
          <w:sz w:val="24"/>
          <w:szCs w:val="24"/>
        </w:rPr>
      </w:pPr>
    </w:p>
    <w:p w14:paraId="604B522D" w14:textId="77777777" w:rsidR="00533F84" w:rsidRPr="003A1D53" w:rsidRDefault="0048539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D5438C" w:rsidRPr="003A1D53">
        <w:rPr>
          <w:rFonts w:ascii="Times New Roman" w:hAnsi="Times New Roman"/>
          <w:sz w:val="24"/>
          <w:szCs w:val="24"/>
        </w:rPr>
        <w:t>21</w:t>
      </w:r>
      <w:r w:rsidRPr="003A1D53">
        <w:rPr>
          <w:rFonts w:ascii="Times New Roman" w:hAnsi="Times New Roman"/>
          <w:sz w:val="24"/>
          <w:szCs w:val="24"/>
        </w:rPr>
        <w:t>.</w:t>
      </w:r>
      <w:r w:rsidR="00B76361" w:rsidRPr="003A1D53">
        <w:rPr>
          <w:rFonts w:ascii="Times New Roman" w:hAnsi="Times New Roman"/>
          <w:sz w:val="24"/>
          <w:szCs w:val="24"/>
        </w:rPr>
        <w:tab/>
        <w:t>L’état du pays relativement à l’Effet 5, "</w:t>
      </w:r>
      <w:r w:rsidR="00B76361" w:rsidRPr="003A1D53">
        <w:rPr>
          <w:rFonts w:ascii="Times New Roman" w:hAnsi="Times New Roman"/>
          <w:i/>
          <w:sz w:val="24"/>
          <w:szCs w:val="24"/>
        </w:rPr>
        <w:t>Les populations défavorisées particulièrement les femmes et les jeunes, bénéficient de capacités et d’opportunités productives accrues, dans un environnement sain et durable, favorable à la réduction de la pauvreté</w:t>
      </w:r>
      <w:r w:rsidR="00B76361" w:rsidRPr="003A1D53">
        <w:rPr>
          <w:rFonts w:ascii="Times New Roman" w:hAnsi="Times New Roman"/>
          <w:sz w:val="24"/>
          <w:szCs w:val="24"/>
        </w:rPr>
        <w:t>.", devait se mesurer à travers 4 indicateurs : taux d’insécurité alimentaire ; taux de chômage ; taux de croissance économique ; et taux de pauvreté.</w:t>
      </w:r>
    </w:p>
    <w:p w14:paraId="604B522E" w14:textId="77777777" w:rsidR="008F3842" w:rsidRPr="003A1D53" w:rsidRDefault="008F3842" w:rsidP="005B22B2">
      <w:pPr>
        <w:spacing w:after="0" w:line="240" w:lineRule="auto"/>
        <w:jc w:val="both"/>
        <w:rPr>
          <w:rFonts w:ascii="Times New Roman" w:hAnsi="Times New Roman"/>
          <w:sz w:val="24"/>
          <w:szCs w:val="24"/>
        </w:rPr>
      </w:pPr>
    </w:p>
    <w:p w14:paraId="604B522F" w14:textId="77777777" w:rsidR="00B76361" w:rsidRPr="003A1D53" w:rsidRDefault="0048539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D5438C" w:rsidRPr="003A1D53">
        <w:rPr>
          <w:rFonts w:ascii="Times New Roman" w:hAnsi="Times New Roman"/>
          <w:sz w:val="24"/>
          <w:szCs w:val="24"/>
        </w:rPr>
        <w:t>22</w:t>
      </w:r>
      <w:r w:rsidRPr="003A1D53">
        <w:rPr>
          <w:rFonts w:ascii="Times New Roman" w:hAnsi="Times New Roman"/>
          <w:sz w:val="24"/>
          <w:szCs w:val="24"/>
        </w:rPr>
        <w:t>.</w:t>
      </w:r>
      <w:r w:rsidR="00B76361" w:rsidRPr="003A1D53">
        <w:rPr>
          <w:rFonts w:ascii="Times New Roman" w:hAnsi="Times New Roman"/>
          <w:sz w:val="24"/>
          <w:szCs w:val="24"/>
        </w:rPr>
        <w:tab/>
        <w:t>Les performances du Mali à ces différents égards sont plutôt en dégradation, à l’exception de la croissance économique où 75% de la cible a été réalisé en fin 2016, avec un taux de variation du PIB de 5,3%, contre un objectif final de 7% en 2019. L’insécurité alimentaire s’est très faiblement améliorée, avec 2 point</w:t>
      </w:r>
      <w:r w:rsidR="00824D21" w:rsidRPr="003A1D53">
        <w:rPr>
          <w:rFonts w:ascii="Times New Roman" w:hAnsi="Times New Roman"/>
          <w:sz w:val="24"/>
          <w:szCs w:val="24"/>
        </w:rPr>
        <w:t>s</w:t>
      </w:r>
      <w:r w:rsidR="00B76361" w:rsidRPr="003A1D53">
        <w:rPr>
          <w:rFonts w:ascii="Times New Roman" w:hAnsi="Times New Roman"/>
          <w:sz w:val="24"/>
          <w:szCs w:val="24"/>
        </w:rPr>
        <w:t xml:space="preserve"> de pourcentage gagné</w:t>
      </w:r>
      <w:r w:rsidR="00824D21" w:rsidRPr="003A1D53">
        <w:rPr>
          <w:rFonts w:ascii="Times New Roman" w:hAnsi="Times New Roman"/>
          <w:sz w:val="24"/>
          <w:szCs w:val="24"/>
        </w:rPr>
        <w:t>s</w:t>
      </w:r>
      <w:r w:rsidR="00B76361" w:rsidRPr="003A1D53">
        <w:rPr>
          <w:rFonts w:ascii="Times New Roman" w:hAnsi="Times New Roman"/>
          <w:sz w:val="24"/>
          <w:szCs w:val="24"/>
        </w:rPr>
        <w:t xml:space="preserve"> contre 10 projeté</w:t>
      </w:r>
      <w:r w:rsidR="008F3842" w:rsidRPr="003A1D53">
        <w:rPr>
          <w:rFonts w:ascii="Times New Roman" w:hAnsi="Times New Roman"/>
          <w:sz w:val="24"/>
          <w:szCs w:val="24"/>
        </w:rPr>
        <w:t>s</w:t>
      </w:r>
      <w:r w:rsidR="00B76361" w:rsidRPr="003A1D53">
        <w:rPr>
          <w:rFonts w:ascii="Times New Roman" w:hAnsi="Times New Roman"/>
          <w:sz w:val="24"/>
          <w:szCs w:val="24"/>
        </w:rPr>
        <w:t xml:space="preserve"> en fin de cycle</w:t>
      </w:r>
      <w:r w:rsidR="008F3842" w:rsidRPr="003A1D53">
        <w:rPr>
          <w:rFonts w:ascii="Times New Roman" w:hAnsi="Times New Roman"/>
          <w:sz w:val="24"/>
          <w:szCs w:val="24"/>
        </w:rPr>
        <w:t xml:space="preserve">. Le taux de chômage </w:t>
      </w:r>
      <w:r w:rsidR="00824D21" w:rsidRPr="003A1D53">
        <w:rPr>
          <w:rFonts w:ascii="Times New Roman" w:hAnsi="Times New Roman"/>
          <w:sz w:val="24"/>
          <w:szCs w:val="24"/>
        </w:rPr>
        <w:t>augmente</w:t>
      </w:r>
      <w:r w:rsidR="008F3842" w:rsidRPr="003A1D53">
        <w:rPr>
          <w:rFonts w:ascii="Times New Roman" w:hAnsi="Times New Roman"/>
          <w:sz w:val="24"/>
          <w:szCs w:val="24"/>
        </w:rPr>
        <w:t>, et ne se rapproche donc pas de la cible assignée. L’incidence de pauvreté, elle aussi</w:t>
      </w:r>
      <w:r w:rsidR="00824D21" w:rsidRPr="003A1D53">
        <w:rPr>
          <w:rFonts w:ascii="Times New Roman" w:hAnsi="Times New Roman"/>
          <w:sz w:val="24"/>
          <w:szCs w:val="24"/>
        </w:rPr>
        <w:t>,</w:t>
      </w:r>
      <w:r w:rsidR="008F3842" w:rsidRPr="003A1D53">
        <w:rPr>
          <w:rFonts w:ascii="Times New Roman" w:hAnsi="Times New Roman"/>
          <w:sz w:val="24"/>
          <w:szCs w:val="24"/>
        </w:rPr>
        <w:t xml:space="preserve"> s’est </w:t>
      </w:r>
      <w:r w:rsidR="00824D21" w:rsidRPr="003A1D53">
        <w:rPr>
          <w:rFonts w:ascii="Times New Roman" w:hAnsi="Times New Roman"/>
          <w:sz w:val="24"/>
          <w:szCs w:val="24"/>
        </w:rPr>
        <w:t>aggravée</w:t>
      </w:r>
      <w:r w:rsidR="008F3842" w:rsidRPr="003A1D53">
        <w:rPr>
          <w:rFonts w:ascii="Times New Roman" w:hAnsi="Times New Roman"/>
          <w:sz w:val="24"/>
          <w:szCs w:val="24"/>
        </w:rPr>
        <w:t xml:space="preserve"> de plus de 3 points entre 2013 et 2015 (dernière année renseignée). Naturellement</w:t>
      </w:r>
      <w:r w:rsidR="00824D21" w:rsidRPr="003A1D53">
        <w:rPr>
          <w:rFonts w:ascii="Times New Roman" w:hAnsi="Times New Roman"/>
          <w:sz w:val="24"/>
          <w:szCs w:val="24"/>
        </w:rPr>
        <w:t>,</w:t>
      </w:r>
      <w:r w:rsidR="008F3842" w:rsidRPr="003A1D53">
        <w:rPr>
          <w:rFonts w:ascii="Times New Roman" w:hAnsi="Times New Roman"/>
          <w:sz w:val="24"/>
          <w:szCs w:val="24"/>
        </w:rPr>
        <w:t xml:space="preserve"> la crise continue de peser sur l’ensemble de ces indicateurs, y compris sur la croissance : même assez robuste sur une </w:t>
      </w:r>
      <w:r w:rsidR="00824D21" w:rsidRPr="003A1D53">
        <w:rPr>
          <w:rFonts w:ascii="Times New Roman" w:hAnsi="Times New Roman"/>
          <w:sz w:val="24"/>
          <w:szCs w:val="24"/>
        </w:rPr>
        <w:t xml:space="preserve">période significative,  </w:t>
      </w:r>
      <w:r w:rsidR="008F3842" w:rsidRPr="003A1D53">
        <w:rPr>
          <w:rFonts w:ascii="Times New Roman" w:hAnsi="Times New Roman"/>
          <w:sz w:val="24"/>
          <w:szCs w:val="24"/>
        </w:rPr>
        <w:t xml:space="preserve">les pertes de capacités </w:t>
      </w:r>
      <w:r w:rsidR="00824D21" w:rsidRPr="003A1D53">
        <w:rPr>
          <w:rFonts w:ascii="Times New Roman" w:hAnsi="Times New Roman"/>
          <w:sz w:val="24"/>
          <w:szCs w:val="24"/>
        </w:rPr>
        <w:t xml:space="preserve">en en qualité </w:t>
      </w:r>
      <w:r w:rsidR="008F3842" w:rsidRPr="003A1D53">
        <w:rPr>
          <w:rFonts w:ascii="Times New Roman" w:hAnsi="Times New Roman"/>
          <w:sz w:val="24"/>
          <w:szCs w:val="24"/>
        </w:rPr>
        <w:t xml:space="preserve">de gouvernance </w:t>
      </w:r>
      <w:r w:rsidR="00824D21" w:rsidRPr="003A1D53">
        <w:rPr>
          <w:rFonts w:ascii="Times New Roman" w:hAnsi="Times New Roman"/>
          <w:sz w:val="24"/>
          <w:szCs w:val="24"/>
        </w:rPr>
        <w:t>l’</w:t>
      </w:r>
      <w:r w:rsidR="008F3842" w:rsidRPr="003A1D53">
        <w:rPr>
          <w:rFonts w:ascii="Times New Roman" w:hAnsi="Times New Roman"/>
          <w:sz w:val="24"/>
          <w:szCs w:val="24"/>
        </w:rPr>
        <w:t>empêche</w:t>
      </w:r>
      <w:r w:rsidR="00824D21" w:rsidRPr="003A1D53">
        <w:rPr>
          <w:rFonts w:ascii="Times New Roman" w:hAnsi="Times New Roman"/>
          <w:sz w:val="24"/>
          <w:szCs w:val="24"/>
        </w:rPr>
        <w:t>nt</w:t>
      </w:r>
      <w:r w:rsidR="008F3842" w:rsidRPr="003A1D53">
        <w:rPr>
          <w:rFonts w:ascii="Times New Roman" w:hAnsi="Times New Roman"/>
          <w:sz w:val="24"/>
          <w:szCs w:val="24"/>
        </w:rPr>
        <w:t xml:space="preserve"> d’impacter l’incidence de pauvreté à la mesure de son dynamisme. </w:t>
      </w:r>
    </w:p>
    <w:p w14:paraId="604B5230" w14:textId="77777777" w:rsidR="008F3842" w:rsidRPr="003A1D53" w:rsidRDefault="008F3842" w:rsidP="005B22B2">
      <w:pPr>
        <w:pStyle w:val="Titre1"/>
        <w:spacing w:before="0" w:line="240" w:lineRule="auto"/>
        <w:rPr>
          <w:rFonts w:ascii="Times New Roman" w:hAnsi="Times New Roman"/>
          <w:b w:val="0"/>
          <w:color w:val="auto"/>
          <w:sz w:val="24"/>
          <w:szCs w:val="24"/>
        </w:rPr>
      </w:pPr>
      <w:bookmarkStart w:id="216" w:name="_Toc500967728"/>
      <w:bookmarkStart w:id="217" w:name="_Toc500970104"/>
    </w:p>
    <w:bookmarkEnd w:id="216"/>
    <w:bookmarkEnd w:id="217"/>
    <w:p w14:paraId="604B5231" w14:textId="77777777" w:rsidR="00533F84" w:rsidRPr="003A1D53" w:rsidRDefault="00334A1A" w:rsidP="005B22B2">
      <w:pPr>
        <w:pStyle w:val="Titre4"/>
        <w:numPr>
          <w:ilvl w:val="3"/>
          <w:numId w:val="4"/>
        </w:numPr>
        <w:spacing w:before="0" w:line="240" w:lineRule="auto"/>
        <w:rPr>
          <w:rFonts w:ascii="Times New Roman" w:hAnsi="Times New Roman"/>
          <w:i w:val="0"/>
          <w:color w:val="auto"/>
          <w:sz w:val="24"/>
          <w:szCs w:val="24"/>
        </w:rPr>
      </w:pPr>
      <w:r w:rsidRPr="003A1D53">
        <w:rPr>
          <w:rFonts w:ascii="Times New Roman" w:hAnsi="Times New Roman"/>
          <w:i w:val="0"/>
          <w:color w:val="auto"/>
          <w:sz w:val="24"/>
          <w:szCs w:val="24"/>
        </w:rPr>
        <w:t xml:space="preserve">Effet 5 : </w:t>
      </w:r>
      <w:r w:rsidR="00533F84" w:rsidRPr="003A1D53">
        <w:rPr>
          <w:rFonts w:ascii="Times New Roman" w:hAnsi="Times New Roman"/>
          <w:i w:val="0"/>
          <w:color w:val="auto"/>
          <w:sz w:val="24"/>
          <w:szCs w:val="24"/>
        </w:rPr>
        <w:t xml:space="preserve">Contributions du </w:t>
      </w:r>
      <w:r w:rsidR="00BD274E" w:rsidRPr="003A1D53">
        <w:rPr>
          <w:rFonts w:ascii="Times New Roman" w:hAnsi="Times New Roman"/>
          <w:i w:val="0"/>
          <w:color w:val="auto"/>
          <w:sz w:val="24"/>
          <w:szCs w:val="24"/>
        </w:rPr>
        <w:t>Système/Programme</w:t>
      </w:r>
      <w:r w:rsidR="00533F84" w:rsidRPr="003A1D53">
        <w:rPr>
          <w:rFonts w:ascii="Times New Roman" w:hAnsi="Times New Roman"/>
          <w:i w:val="0"/>
          <w:color w:val="auto"/>
          <w:sz w:val="24"/>
          <w:szCs w:val="24"/>
        </w:rPr>
        <w:t xml:space="preserve"> aux résultats du pays dans le domaine</w:t>
      </w:r>
    </w:p>
    <w:p w14:paraId="604B5232" w14:textId="77777777" w:rsidR="00E30E29" w:rsidRPr="003A1D53" w:rsidRDefault="00E30E29" w:rsidP="005B22B2">
      <w:pPr>
        <w:spacing w:after="0" w:line="240" w:lineRule="auto"/>
        <w:jc w:val="both"/>
        <w:rPr>
          <w:rFonts w:ascii="Times New Roman" w:hAnsi="Times New Roman"/>
          <w:sz w:val="24"/>
          <w:szCs w:val="24"/>
        </w:rPr>
      </w:pPr>
    </w:p>
    <w:p w14:paraId="604B5233" w14:textId="77777777" w:rsidR="00E30E29" w:rsidRDefault="007E34BC" w:rsidP="005B22B2">
      <w:pPr>
        <w:spacing w:after="0" w:line="240" w:lineRule="auto"/>
        <w:jc w:val="both"/>
        <w:rPr>
          <w:rFonts w:ascii="Times New Roman" w:hAnsi="Times New Roman"/>
          <w:sz w:val="24"/>
          <w:szCs w:val="24"/>
        </w:rPr>
      </w:pPr>
      <w:r w:rsidRPr="003A1D53">
        <w:rPr>
          <w:rFonts w:ascii="Times New Roman" w:hAnsi="Times New Roman"/>
          <w:sz w:val="24"/>
          <w:szCs w:val="24"/>
        </w:rPr>
        <w:t>12</w:t>
      </w:r>
      <w:r w:rsidR="00D5438C" w:rsidRPr="003A1D53">
        <w:rPr>
          <w:rFonts w:ascii="Times New Roman" w:hAnsi="Times New Roman"/>
          <w:sz w:val="24"/>
          <w:szCs w:val="24"/>
        </w:rPr>
        <w:t>3</w:t>
      </w:r>
      <w:r w:rsidR="0048539E" w:rsidRPr="003A1D53">
        <w:rPr>
          <w:rFonts w:ascii="Times New Roman" w:hAnsi="Times New Roman"/>
          <w:sz w:val="24"/>
          <w:szCs w:val="24"/>
        </w:rPr>
        <w:t>.</w:t>
      </w:r>
      <w:r w:rsidR="00E30E29" w:rsidRPr="003A1D53">
        <w:rPr>
          <w:rFonts w:ascii="Times New Roman" w:hAnsi="Times New Roman"/>
          <w:sz w:val="24"/>
          <w:szCs w:val="24"/>
        </w:rPr>
        <w:tab/>
        <w:t xml:space="preserve">Les contributions du programme à l’Effet 5 sont organisées dans le cadre de six produits : </w:t>
      </w:r>
      <w:r w:rsidR="00824D21" w:rsidRPr="003A1D53">
        <w:rPr>
          <w:rFonts w:ascii="Times New Roman" w:hAnsi="Times New Roman"/>
          <w:sz w:val="24"/>
          <w:szCs w:val="24"/>
        </w:rPr>
        <w:t>(i) l</w:t>
      </w:r>
      <w:r w:rsidR="004D61BE" w:rsidRPr="003A1D53">
        <w:rPr>
          <w:rFonts w:ascii="Times New Roman" w:hAnsi="Times New Roman"/>
          <w:sz w:val="24"/>
          <w:szCs w:val="24"/>
        </w:rPr>
        <w:t>es populations défavo</w:t>
      </w:r>
      <w:r w:rsidR="004D61BE" w:rsidRPr="00836832">
        <w:rPr>
          <w:rFonts w:ascii="Times New Roman" w:hAnsi="Times New Roman"/>
          <w:sz w:val="24"/>
          <w:szCs w:val="24"/>
        </w:rPr>
        <w:t>risées et les exploitations familiales bénéficient de compétences techniques, de moyens et d’activités génératrices de revenus pour améliorer la sécurité alimentaire et nutritionnelle</w:t>
      </w:r>
      <w:r w:rsidR="00E30E29" w:rsidRPr="00836832">
        <w:rPr>
          <w:rFonts w:ascii="Times New Roman" w:hAnsi="Times New Roman"/>
          <w:sz w:val="24"/>
          <w:szCs w:val="24"/>
        </w:rPr>
        <w:t xml:space="preserve"> ; </w:t>
      </w:r>
      <w:r w:rsidR="00824D21">
        <w:rPr>
          <w:rFonts w:ascii="Times New Roman" w:hAnsi="Times New Roman"/>
          <w:sz w:val="24"/>
          <w:szCs w:val="24"/>
        </w:rPr>
        <w:t>(ii) l</w:t>
      </w:r>
      <w:r w:rsidR="002B6C68" w:rsidRPr="00836832">
        <w:rPr>
          <w:rFonts w:ascii="Times New Roman" w:hAnsi="Times New Roman"/>
          <w:sz w:val="24"/>
          <w:szCs w:val="24"/>
        </w:rPr>
        <w:t xml:space="preserve">es structures étatiques, le secteur privé, la diaspora et la société civile disposent de compétences techniques et de moyens pour améliorer les capacités productives et commerciales pour impulser une croissance verte et inclusive ; </w:t>
      </w:r>
      <w:r w:rsidR="00824D21">
        <w:rPr>
          <w:rFonts w:ascii="Times New Roman" w:hAnsi="Times New Roman"/>
          <w:sz w:val="24"/>
          <w:szCs w:val="24"/>
        </w:rPr>
        <w:t>(iii) l</w:t>
      </w:r>
      <w:r w:rsidR="00E30E29" w:rsidRPr="00836832">
        <w:rPr>
          <w:rFonts w:ascii="Times New Roman" w:hAnsi="Times New Roman"/>
          <w:sz w:val="24"/>
          <w:szCs w:val="24"/>
        </w:rPr>
        <w:t>es populations vulnérables bénéficient d’un meilleur cadre de vie à travers un accès durable à l’eau et un assainissement adéquat</w:t>
      </w:r>
      <w:r w:rsidR="0019510D" w:rsidRPr="00836832">
        <w:rPr>
          <w:rFonts w:ascii="Times New Roman" w:hAnsi="Times New Roman"/>
          <w:sz w:val="24"/>
          <w:szCs w:val="24"/>
        </w:rPr>
        <w:t xml:space="preserve"> ; </w:t>
      </w:r>
      <w:r w:rsidR="00824D21">
        <w:rPr>
          <w:rFonts w:ascii="Times New Roman" w:hAnsi="Times New Roman"/>
          <w:sz w:val="24"/>
          <w:szCs w:val="24"/>
        </w:rPr>
        <w:t>(iv) l</w:t>
      </w:r>
      <w:r w:rsidR="00E30E29" w:rsidRPr="00836832">
        <w:rPr>
          <w:rFonts w:ascii="Times New Roman" w:hAnsi="Times New Roman"/>
          <w:sz w:val="24"/>
          <w:szCs w:val="24"/>
        </w:rPr>
        <w:t>a mise en œuvre des politiques nationales de création d’emplois et d’entreprenariat féminin favorise une meilleure insertion socio-économique des jeunes et des femmes</w:t>
      </w:r>
      <w:r w:rsidR="0019510D" w:rsidRPr="00836832">
        <w:rPr>
          <w:rFonts w:ascii="Times New Roman" w:hAnsi="Times New Roman"/>
          <w:sz w:val="24"/>
          <w:szCs w:val="24"/>
        </w:rPr>
        <w:t> ; </w:t>
      </w:r>
      <w:r w:rsidR="00824D21">
        <w:rPr>
          <w:rFonts w:ascii="Times New Roman" w:hAnsi="Times New Roman"/>
          <w:sz w:val="24"/>
          <w:szCs w:val="24"/>
        </w:rPr>
        <w:t>(v) l</w:t>
      </w:r>
      <w:r w:rsidR="002B6C68" w:rsidRPr="00836832">
        <w:rPr>
          <w:rFonts w:ascii="Times New Roman" w:hAnsi="Times New Roman"/>
          <w:sz w:val="24"/>
          <w:szCs w:val="24"/>
        </w:rPr>
        <w:t>a résilience des populations face aux changements climatiques est renforcée par la mise en œuvre des politiques de promotion de l’utilisation accrue des énergies nouvelles et renouvelables, l’efficacité énergétique par des mesures d’adaptation aux changements climatiques et de réduction des risques de catastrophes </w:t>
      </w:r>
      <w:r w:rsidR="0019510D" w:rsidRPr="00836832">
        <w:rPr>
          <w:rFonts w:ascii="Times New Roman" w:hAnsi="Times New Roman"/>
          <w:sz w:val="24"/>
          <w:szCs w:val="24"/>
        </w:rPr>
        <w:t>;</w:t>
      </w:r>
      <w:r w:rsidR="002B6C68" w:rsidRPr="00836832">
        <w:rPr>
          <w:rFonts w:ascii="Times New Roman" w:hAnsi="Times New Roman"/>
          <w:sz w:val="24"/>
          <w:szCs w:val="24"/>
        </w:rPr>
        <w:t xml:space="preserve"> </w:t>
      </w:r>
      <w:r w:rsidR="00824D21">
        <w:rPr>
          <w:rFonts w:ascii="Times New Roman" w:hAnsi="Times New Roman"/>
          <w:sz w:val="24"/>
          <w:szCs w:val="24"/>
        </w:rPr>
        <w:t>et (vi) l</w:t>
      </w:r>
      <w:r w:rsidR="002B6C68" w:rsidRPr="00836832">
        <w:rPr>
          <w:rFonts w:ascii="Times New Roman" w:hAnsi="Times New Roman"/>
          <w:sz w:val="24"/>
          <w:szCs w:val="24"/>
        </w:rPr>
        <w:t xml:space="preserve">es populations et </w:t>
      </w:r>
      <w:r w:rsidR="002B6C68" w:rsidRPr="00836832">
        <w:rPr>
          <w:rFonts w:ascii="Times New Roman" w:hAnsi="Times New Roman"/>
          <w:sz w:val="24"/>
          <w:szCs w:val="24"/>
        </w:rPr>
        <w:lastRenderedPageBreak/>
        <w:t>les autres acteurs affectés par la désertification et la déforestation bénéficient de capacités accrues pour gérer de manière durable les ressources</w:t>
      </w:r>
      <w:r w:rsidR="002B6C68" w:rsidRPr="00E30E29">
        <w:rPr>
          <w:rFonts w:ascii="Times New Roman" w:hAnsi="Times New Roman"/>
          <w:sz w:val="24"/>
          <w:szCs w:val="24"/>
        </w:rPr>
        <w:t xml:space="preserve"> naturelles et protéger la biodiversité et les écosystèmes</w:t>
      </w:r>
      <w:r w:rsidR="0019510D">
        <w:rPr>
          <w:rFonts w:ascii="Times New Roman" w:hAnsi="Times New Roman"/>
          <w:sz w:val="24"/>
          <w:szCs w:val="24"/>
        </w:rPr>
        <w:t>.</w:t>
      </w:r>
    </w:p>
    <w:p w14:paraId="604B5234" w14:textId="77777777" w:rsidR="0019510D" w:rsidRDefault="0019510D" w:rsidP="005B22B2">
      <w:pPr>
        <w:spacing w:after="0" w:line="240" w:lineRule="auto"/>
        <w:jc w:val="both"/>
        <w:rPr>
          <w:rFonts w:ascii="Times New Roman" w:hAnsi="Times New Roman"/>
          <w:sz w:val="24"/>
          <w:szCs w:val="24"/>
        </w:rPr>
      </w:pPr>
    </w:p>
    <w:p w14:paraId="604B5235" w14:textId="77777777" w:rsidR="0019510D" w:rsidRDefault="0048539E" w:rsidP="005B22B2">
      <w:pPr>
        <w:spacing w:after="0" w:line="240" w:lineRule="auto"/>
        <w:jc w:val="both"/>
        <w:rPr>
          <w:rFonts w:ascii="Times New Roman" w:hAnsi="Times New Roman"/>
          <w:sz w:val="24"/>
          <w:szCs w:val="24"/>
        </w:rPr>
      </w:pPr>
      <w:r>
        <w:rPr>
          <w:rFonts w:ascii="Times New Roman" w:hAnsi="Times New Roman"/>
          <w:sz w:val="24"/>
          <w:szCs w:val="24"/>
        </w:rPr>
        <w:t>1</w:t>
      </w:r>
      <w:r w:rsidR="007E34BC">
        <w:rPr>
          <w:rFonts w:ascii="Times New Roman" w:hAnsi="Times New Roman"/>
          <w:sz w:val="24"/>
          <w:szCs w:val="24"/>
        </w:rPr>
        <w:t>2</w:t>
      </w:r>
      <w:r w:rsidR="00D5438C">
        <w:rPr>
          <w:rFonts w:ascii="Times New Roman" w:hAnsi="Times New Roman"/>
          <w:sz w:val="24"/>
          <w:szCs w:val="24"/>
        </w:rPr>
        <w:t>4</w:t>
      </w:r>
      <w:r>
        <w:rPr>
          <w:rFonts w:ascii="Times New Roman" w:hAnsi="Times New Roman"/>
          <w:sz w:val="24"/>
          <w:szCs w:val="24"/>
        </w:rPr>
        <w:t>.</w:t>
      </w:r>
      <w:r w:rsidR="0019510D">
        <w:rPr>
          <w:rFonts w:ascii="Times New Roman" w:hAnsi="Times New Roman"/>
          <w:sz w:val="24"/>
          <w:szCs w:val="24"/>
        </w:rPr>
        <w:tab/>
        <w:t>Au titre de la sécurité alimentaire, l</w:t>
      </w:r>
      <w:r w:rsidR="00824D21">
        <w:rPr>
          <w:rFonts w:ascii="Times New Roman" w:hAnsi="Times New Roman"/>
          <w:sz w:val="24"/>
          <w:szCs w:val="24"/>
        </w:rPr>
        <w:t>e nombre de</w:t>
      </w:r>
      <w:r w:rsidR="0019510D">
        <w:rPr>
          <w:rFonts w:ascii="Times New Roman" w:hAnsi="Times New Roman"/>
          <w:sz w:val="24"/>
          <w:szCs w:val="24"/>
        </w:rPr>
        <w:t xml:space="preserve"> femmes et de enfants en besoin d’assistance </w:t>
      </w:r>
      <w:r w:rsidR="00824D21">
        <w:rPr>
          <w:rFonts w:ascii="Times New Roman" w:hAnsi="Times New Roman"/>
          <w:sz w:val="24"/>
          <w:szCs w:val="24"/>
        </w:rPr>
        <w:t>a</w:t>
      </w:r>
      <w:r w:rsidR="0019510D">
        <w:rPr>
          <w:rFonts w:ascii="Times New Roman" w:hAnsi="Times New Roman"/>
          <w:sz w:val="24"/>
          <w:szCs w:val="24"/>
        </w:rPr>
        <w:t xml:space="preserve"> diminué au-delà de ce qui était anticipé</w:t>
      </w:r>
      <w:r w:rsidR="00F53B04">
        <w:rPr>
          <w:rFonts w:ascii="Times New Roman" w:hAnsi="Times New Roman"/>
          <w:sz w:val="24"/>
          <w:szCs w:val="24"/>
        </w:rPr>
        <w:t xml:space="preserve"> dans le programme</w:t>
      </w:r>
      <w:r w:rsidR="0019510D">
        <w:rPr>
          <w:rFonts w:ascii="Times New Roman" w:hAnsi="Times New Roman"/>
          <w:sz w:val="24"/>
          <w:szCs w:val="24"/>
        </w:rPr>
        <w:t xml:space="preserve">. Dans le même temps, l’appui aux activités génératrices de revenus a fortement progressé, dans une bonne logique de migration de l’urgence vers le développement : près de 150 000 personnes ont bénéficié d’AGR, en lieu et place des 10.000 qui sont programmées pour l’indicateur. </w:t>
      </w:r>
      <w:r w:rsidR="00AE52DC">
        <w:rPr>
          <w:rFonts w:ascii="Times New Roman" w:hAnsi="Times New Roman"/>
          <w:sz w:val="24"/>
          <w:szCs w:val="24"/>
        </w:rPr>
        <w:t>L’appui au secteur marchand traditionnel a également enregistré des résultats significatifs : un cadre de dialogue avec le secteur privé est opérationnalisé ; les réformes dans l’environnement des affaires et le développement de plans de croissance verte et inclusive dans les structures publi</w:t>
      </w:r>
      <w:r w:rsidR="00F53B04">
        <w:rPr>
          <w:rFonts w:ascii="Times New Roman" w:hAnsi="Times New Roman"/>
          <w:sz w:val="24"/>
          <w:szCs w:val="24"/>
        </w:rPr>
        <w:t>ques et privées, sont conduites à 60% et 67%</w:t>
      </w:r>
      <w:r w:rsidR="00AE52DC">
        <w:rPr>
          <w:rFonts w:ascii="Times New Roman" w:hAnsi="Times New Roman"/>
          <w:sz w:val="24"/>
          <w:szCs w:val="24"/>
        </w:rPr>
        <w:t xml:space="preserve"> des objectifs assignés</w:t>
      </w:r>
      <w:r w:rsidR="00F53B04">
        <w:rPr>
          <w:rFonts w:ascii="Times New Roman" w:hAnsi="Times New Roman"/>
          <w:sz w:val="24"/>
          <w:szCs w:val="24"/>
        </w:rPr>
        <w:t>,</w:t>
      </w:r>
      <w:r w:rsidR="00AE52DC">
        <w:rPr>
          <w:rFonts w:ascii="Times New Roman" w:hAnsi="Times New Roman"/>
          <w:sz w:val="24"/>
          <w:szCs w:val="24"/>
        </w:rPr>
        <w:t> </w:t>
      </w:r>
      <w:r w:rsidR="00F53B04">
        <w:rPr>
          <w:rFonts w:ascii="Times New Roman" w:hAnsi="Times New Roman"/>
          <w:sz w:val="24"/>
          <w:szCs w:val="24"/>
        </w:rPr>
        <w:t>respectivement</w:t>
      </w:r>
      <w:r w:rsidR="00AE52DC">
        <w:rPr>
          <w:rFonts w:ascii="Times New Roman" w:hAnsi="Times New Roman"/>
          <w:sz w:val="24"/>
          <w:szCs w:val="24"/>
        </w:rPr>
        <w:t xml:space="preserve">; les exportations d’agrumes ont été portées à </w:t>
      </w:r>
      <w:r w:rsidR="00AE52DC" w:rsidRPr="00AE52DC">
        <w:rPr>
          <w:rFonts w:ascii="Times New Roman" w:hAnsi="Times New Roman"/>
          <w:sz w:val="24"/>
          <w:szCs w:val="24"/>
        </w:rPr>
        <w:t>43</w:t>
      </w:r>
      <w:r w:rsidR="00AE52DC">
        <w:rPr>
          <w:rFonts w:ascii="Times New Roman" w:hAnsi="Times New Roman"/>
          <w:sz w:val="24"/>
          <w:szCs w:val="24"/>
        </w:rPr>
        <w:t> </w:t>
      </w:r>
      <w:r w:rsidR="00AE52DC" w:rsidRPr="00AE52DC">
        <w:rPr>
          <w:rFonts w:ascii="Times New Roman" w:hAnsi="Times New Roman"/>
          <w:sz w:val="24"/>
          <w:szCs w:val="24"/>
        </w:rPr>
        <w:t>854</w:t>
      </w:r>
      <w:r w:rsidR="00AE52DC">
        <w:rPr>
          <w:rFonts w:ascii="Times New Roman" w:hAnsi="Times New Roman"/>
          <w:sz w:val="24"/>
          <w:szCs w:val="24"/>
        </w:rPr>
        <w:t xml:space="preserve"> tonnes en 2016, soit plus de 2 fois le </w:t>
      </w:r>
      <w:r w:rsidR="00F53B04">
        <w:rPr>
          <w:rFonts w:ascii="Times New Roman" w:hAnsi="Times New Roman"/>
          <w:sz w:val="24"/>
          <w:szCs w:val="24"/>
        </w:rPr>
        <w:t xml:space="preserve">volume </w:t>
      </w:r>
      <w:r w:rsidR="00BA00C2">
        <w:rPr>
          <w:rFonts w:ascii="Times New Roman" w:hAnsi="Times New Roman"/>
          <w:sz w:val="24"/>
          <w:szCs w:val="24"/>
        </w:rPr>
        <w:t xml:space="preserve">initialement fixé. L’entreprenariat féminin a été spécifiquement ciblé dans ce cadre, même si les prévisions paraissent avoir été très modestes, expliquant que leur ratio de mise en œuvre s’approche artificiellement des 1000% pour une valeur absolue </w:t>
      </w:r>
      <w:r w:rsidR="00F53B04">
        <w:rPr>
          <w:rFonts w:ascii="Times New Roman" w:hAnsi="Times New Roman"/>
          <w:sz w:val="24"/>
          <w:szCs w:val="24"/>
        </w:rPr>
        <w:t xml:space="preserve">de </w:t>
      </w:r>
      <w:r w:rsidR="00BA00C2">
        <w:rPr>
          <w:rFonts w:ascii="Times New Roman" w:hAnsi="Times New Roman"/>
          <w:sz w:val="24"/>
          <w:szCs w:val="24"/>
        </w:rPr>
        <w:t>12 000 sujets.</w:t>
      </w:r>
    </w:p>
    <w:p w14:paraId="604B5236" w14:textId="77777777" w:rsidR="00BA00C2" w:rsidRDefault="00BA00C2" w:rsidP="005B22B2">
      <w:pPr>
        <w:spacing w:after="0" w:line="240" w:lineRule="auto"/>
        <w:jc w:val="both"/>
        <w:rPr>
          <w:rFonts w:ascii="Times New Roman" w:hAnsi="Times New Roman"/>
          <w:sz w:val="24"/>
          <w:szCs w:val="24"/>
        </w:rPr>
      </w:pPr>
    </w:p>
    <w:p w14:paraId="604B5237" w14:textId="77777777" w:rsidR="00BA00C2" w:rsidRDefault="0048539E" w:rsidP="005B22B2">
      <w:pPr>
        <w:spacing w:after="0" w:line="240" w:lineRule="auto"/>
        <w:jc w:val="both"/>
        <w:rPr>
          <w:rFonts w:ascii="Times New Roman" w:hAnsi="Times New Roman"/>
          <w:sz w:val="24"/>
          <w:szCs w:val="24"/>
        </w:rPr>
      </w:pPr>
      <w:r>
        <w:rPr>
          <w:rFonts w:ascii="Times New Roman" w:hAnsi="Times New Roman"/>
          <w:sz w:val="24"/>
          <w:szCs w:val="24"/>
        </w:rPr>
        <w:t>1</w:t>
      </w:r>
      <w:r w:rsidR="007E34BC">
        <w:rPr>
          <w:rFonts w:ascii="Times New Roman" w:hAnsi="Times New Roman"/>
          <w:sz w:val="24"/>
          <w:szCs w:val="24"/>
        </w:rPr>
        <w:t>2</w:t>
      </w:r>
      <w:r w:rsidR="00D5438C">
        <w:rPr>
          <w:rFonts w:ascii="Times New Roman" w:hAnsi="Times New Roman"/>
          <w:sz w:val="24"/>
          <w:szCs w:val="24"/>
        </w:rPr>
        <w:t>5</w:t>
      </w:r>
      <w:r>
        <w:rPr>
          <w:rFonts w:ascii="Times New Roman" w:hAnsi="Times New Roman"/>
          <w:sz w:val="24"/>
          <w:szCs w:val="24"/>
        </w:rPr>
        <w:t>.</w:t>
      </w:r>
      <w:r w:rsidR="00BA00C2">
        <w:rPr>
          <w:rFonts w:ascii="Times New Roman" w:hAnsi="Times New Roman"/>
          <w:sz w:val="24"/>
          <w:szCs w:val="24"/>
        </w:rPr>
        <w:tab/>
        <w:t>L’accès à l’eau et à l’assainissement enregistre de très bonne</w:t>
      </w:r>
      <w:r w:rsidR="000228C8">
        <w:rPr>
          <w:rFonts w:ascii="Times New Roman" w:hAnsi="Times New Roman"/>
          <w:sz w:val="24"/>
          <w:szCs w:val="24"/>
        </w:rPr>
        <w:t>s</w:t>
      </w:r>
      <w:r w:rsidR="00BA00C2">
        <w:rPr>
          <w:rFonts w:ascii="Times New Roman" w:hAnsi="Times New Roman"/>
          <w:sz w:val="24"/>
          <w:szCs w:val="24"/>
        </w:rPr>
        <w:t xml:space="preserve"> performances sur trois indicateurs à propos desquels les objectifs sont de fin de programme sont déjà dépassés</w:t>
      </w:r>
      <w:r w:rsidR="00A63150">
        <w:rPr>
          <w:rFonts w:ascii="Times New Roman" w:hAnsi="Times New Roman"/>
          <w:sz w:val="24"/>
          <w:szCs w:val="24"/>
        </w:rPr>
        <w:t> : l’</w:t>
      </w:r>
      <w:r w:rsidR="00A63150" w:rsidRPr="00A63150">
        <w:rPr>
          <w:rFonts w:ascii="Times New Roman" w:hAnsi="Times New Roman"/>
          <w:sz w:val="24"/>
          <w:szCs w:val="24"/>
        </w:rPr>
        <w:t>accès à une source d’eau améliorée</w:t>
      </w:r>
      <w:r w:rsidR="00A63150">
        <w:rPr>
          <w:rFonts w:ascii="Times New Roman" w:hAnsi="Times New Roman"/>
          <w:sz w:val="24"/>
          <w:szCs w:val="24"/>
        </w:rPr>
        <w:t> ; l’</w:t>
      </w:r>
      <w:r w:rsidR="00A63150" w:rsidRPr="00A63150">
        <w:rPr>
          <w:rFonts w:ascii="Times New Roman" w:hAnsi="Times New Roman"/>
          <w:sz w:val="24"/>
          <w:szCs w:val="24"/>
        </w:rPr>
        <w:t>accès à des infrastructures sanitaires améliorées</w:t>
      </w:r>
      <w:r w:rsidR="00A63150">
        <w:rPr>
          <w:rFonts w:ascii="Times New Roman" w:hAnsi="Times New Roman"/>
          <w:sz w:val="24"/>
          <w:szCs w:val="24"/>
        </w:rPr>
        <w:t> ; et la disponibilité d</w:t>
      </w:r>
      <w:r w:rsidR="00A63150" w:rsidRPr="00A63150">
        <w:rPr>
          <w:rFonts w:ascii="Times New Roman" w:hAnsi="Times New Roman"/>
          <w:sz w:val="24"/>
          <w:szCs w:val="24"/>
        </w:rPr>
        <w:t>’un contenant pour les déchets solides dans les régions de Gao, Tombouctou et Kidal</w:t>
      </w:r>
      <w:r w:rsidR="00A63150">
        <w:rPr>
          <w:rFonts w:ascii="Times New Roman" w:hAnsi="Times New Roman"/>
          <w:sz w:val="24"/>
          <w:szCs w:val="24"/>
        </w:rPr>
        <w:t>. Un cinquième indicateur sur la défécation en milieu ouvert est très avancé, puisque les réalisations y atteignent déjà, en deux années de mise en œuvre, 69% de l’objectif. Trois indicateurs d</w:t>
      </w:r>
      <w:r w:rsidR="00F53B04">
        <w:rPr>
          <w:rFonts w:ascii="Times New Roman" w:hAnsi="Times New Roman"/>
          <w:sz w:val="24"/>
          <w:szCs w:val="24"/>
        </w:rPr>
        <w:t>u</w:t>
      </w:r>
      <w:r w:rsidR="00A63150">
        <w:rPr>
          <w:rFonts w:ascii="Times New Roman" w:hAnsi="Times New Roman"/>
          <w:sz w:val="24"/>
          <w:szCs w:val="24"/>
        </w:rPr>
        <w:t xml:space="preserve"> produit ne sont pas </w:t>
      </w:r>
      <w:r w:rsidR="00F53B04">
        <w:rPr>
          <w:rFonts w:ascii="Times New Roman" w:hAnsi="Times New Roman"/>
          <w:sz w:val="24"/>
          <w:szCs w:val="24"/>
        </w:rPr>
        <w:t>renseignés</w:t>
      </w:r>
      <w:r w:rsidR="00A63150">
        <w:rPr>
          <w:rFonts w:ascii="Times New Roman" w:hAnsi="Times New Roman"/>
          <w:sz w:val="24"/>
          <w:szCs w:val="24"/>
        </w:rPr>
        <w:t xml:space="preserve"> </w:t>
      </w:r>
      <w:r w:rsidR="00F53B04">
        <w:rPr>
          <w:rFonts w:ascii="Times New Roman" w:hAnsi="Times New Roman"/>
          <w:sz w:val="24"/>
          <w:szCs w:val="24"/>
        </w:rPr>
        <w:t xml:space="preserve">par </w:t>
      </w:r>
      <w:r w:rsidR="00A63150">
        <w:rPr>
          <w:rFonts w:ascii="Times New Roman" w:hAnsi="Times New Roman"/>
          <w:sz w:val="24"/>
          <w:szCs w:val="24"/>
        </w:rPr>
        <w:t>les données disponibles.</w:t>
      </w:r>
    </w:p>
    <w:p w14:paraId="604B5238" w14:textId="77777777" w:rsidR="00DF4D36" w:rsidRDefault="00DF4D36" w:rsidP="005B22B2">
      <w:pPr>
        <w:spacing w:after="0" w:line="240" w:lineRule="auto"/>
        <w:jc w:val="both"/>
        <w:rPr>
          <w:rFonts w:ascii="Times New Roman" w:hAnsi="Times New Roman"/>
          <w:sz w:val="24"/>
          <w:szCs w:val="24"/>
        </w:rPr>
      </w:pPr>
    </w:p>
    <w:p w14:paraId="604B5239" w14:textId="77777777" w:rsidR="00A63150" w:rsidRDefault="0048539E" w:rsidP="005B22B2">
      <w:pPr>
        <w:spacing w:after="0" w:line="240" w:lineRule="auto"/>
        <w:jc w:val="both"/>
        <w:rPr>
          <w:rFonts w:ascii="Times New Roman" w:hAnsi="Times New Roman"/>
          <w:sz w:val="24"/>
          <w:szCs w:val="24"/>
        </w:rPr>
      </w:pPr>
      <w:r>
        <w:rPr>
          <w:rFonts w:ascii="Times New Roman" w:hAnsi="Times New Roman"/>
          <w:sz w:val="24"/>
          <w:szCs w:val="24"/>
        </w:rPr>
        <w:t>1</w:t>
      </w:r>
      <w:r w:rsidR="007E34BC">
        <w:rPr>
          <w:rFonts w:ascii="Times New Roman" w:hAnsi="Times New Roman"/>
          <w:sz w:val="24"/>
          <w:szCs w:val="24"/>
        </w:rPr>
        <w:t>2</w:t>
      </w:r>
      <w:r w:rsidR="00D5438C">
        <w:rPr>
          <w:rFonts w:ascii="Times New Roman" w:hAnsi="Times New Roman"/>
          <w:sz w:val="24"/>
          <w:szCs w:val="24"/>
        </w:rPr>
        <w:t>6</w:t>
      </w:r>
      <w:r>
        <w:rPr>
          <w:rFonts w:ascii="Times New Roman" w:hAnsi="Times New Roman"/>
          <w:sz w:val="24"/>
          <w:szCs w:val="24"/>
        </w:rPr>
        <w:t>.</w:t>
      </w:r>
      <w:r w:rsidR="00A63150">
        <w:rPr>
          <w:rFonts w:ascii="Times New Roman" w:hAnsi="Times New Roman"/>
          <w:sz w:val="24"/>
          <w:szCs w:val="24"/>
        </w:rPr>
        <w:tab/>
        <w:t>En matière de résilience environnementale, des</w:t>
      </w:r>
      <w:r w:rsidR="00DF4D36">
        <w:rPr>
          <w:rFonts w:ascii="Times New Roman" w:hAnsi="Times New Roman"/>
          <w:sz w:val="24"/>
          <w:szCs w:val="24"/>
        </w:rPr>
        <w:t xml:space="preserve"> performances qui égalent ou dépassent les cibles correspondantes sont enregistrées </w:t>
      </w:r>
      <w:r w:rsidR="00F53B04">
        <w:rPr>
          <w:rFonts w:ascii="Times New Roman" w:hAnsi="Times New Roman"/>
          <w:sz w:val="24"/>
          <w:szCs w:val="24"/>
        </w:rPr>
        <w:t xml:space="preserve">sur </w:t>
      </w:r>
      <w:r w:rsidR="00DF4D36">
        <w:rPr>
          <w:rFonts w:ascii="Times New Roman" w:hAnsi="Times New Roman"/>
          <w:sz w:val="24"/>
          <w:szCs w:val="24"/>
        </w:rPr>
        <w:t>cinq indicateurs : la diffusion des technologies d’énergie solaire dans les villages ; la diffusion auprès des agriculteurs de variétés, de technologies de maîtrise de l’eau et de gestion des terres, a</w:t>
      </w:r>
      <w:r w:rsidR="00A63150" w:rsidRPr="00A63150">
        <w:rPr>
          <w:rFonts w:ascii="Times New Roman" w:hAnsi="Times New Roman"/>
          <w:sz w:val="24"/>
          <w:szCs w:val="24"/>
        </w:rPr>
        <w:t>daptées aux changements climatiques</w:t>
      </w:r>
      <w:r w:rsidR="00DF4D36">
        <w:rPr>
          <w:rFonts w:ascii="Times New Roman" w:hAnsi="Times New Roman"/>
          <w:sz w:val="24"/>
          <w:szCs w:val="24"/>
        </w:rPr>
        <w:t> </w:t>
      </w:r>
      <w:r w:rsidR="00A63150" w:rsidRPr="00A63150">
        <w:rPr>
          <w:rFonts w:ascii="Times New Roman" w:hAnsi="Times New Roman"/>
          <w:sz w:val="24"/>
          <w:szCs w:val="24"/>
        </w:rPr>
        <w:t>;</w:t>
      </w:r>
      <w:r w:rsidR="00DF4D36">
        <w:rPr>
          <w:rFonts w:ascii="Times New Roman" w:hAnsi="Times New Roman"/>
          <w:sz w:val="24"/>
          <w:szCs w:val="24"/>
        </w:rPr>
        <w:t xml:space="preserve"> l’opérationnalisation de l</w:t>
      </w:r>
      <w:r w:rsidR="00A63150" w:rsidRPr="00A63150">
        <w:rPr>
          <w:rFonts w:ascii="Times New Roman" w:hAnsi="Times New Roman"/>
          <w:sz w:val="24"/>
          <w:szCs w:val="24"/>
        </w:rPr>
        <w:t>a plateforme d</w:t>
      </w:r>
      <w:r w:rsidR="00F53B04">
        <w:rPr>
          <w:rFonts w:ascii="Times New Roman" w:hAnsi="Times New Roman"/>
          <w:sz w:val="24"/>
          <w:szCs w:val="24"/>
        </w:rPr>
        <w:t>e gestion des catastrophes</w:t>
      </w:r>
      <w:r w:rsidR="00DF4D36">
        <w:rPr>
          <w:rFonts w:ascii="Times New Roman" w:hAnsi="Times New Roman"/>
          <w:sz w:val="24"/>
          <w:szCs w:val="24"/>
        </w:rPr>
        <w:t xml:space="preserve"> ; et l’intégration de </w:t>
      </w:r>
      <w:r w:rsidR="00A63150" w:rsidRPr="00A63150">
        <w:rPr>
          <w:rFonts w:ascii="Times New Roman" w:hAnsi="Times New Roman"/>
          <w:sz w:val="24"/>
          <w:szCs w:val="24"/>
        </w:rPr>
        <w:t>la Réduction des Risques de Catastrophes</w:t>
      </w:r>
      <w:r w:rsidR="00DF4D36">
        <w:rPr>
          <w:rFonts w:ascii="Times New Roman" w:hAnsi="Times New Roman"/>
          <w:sz w:val="24"/>
          <w:szCs w:val="24"/>
        </w:rPr>
        <w:t xml:space="preserve"> </w:t>
      </w:r>
      <w:r w:rsidR="00880645">
        <w:rPr>
          <w:rFonts w:ascii="Times New Roman" w:hAnsi="Times New Roman"/>
          <w:sz w:val="24"/>
          <w:szCs w:val="24"/>
        </w:rPr>
        <w:t xml:space="preserve">(RRC) </w:t>
      </w:r>
      <w:r w:rsidR="00DF4D36">
        <w:rPr>
          <w:rFonts w:ascii="Times New Roman" w:hAnsi="Times New Roman"/>
          <w:sz w:val="24"/>
          <w:szCs w:val="24"/>
        </w:rPr>
        <w:t xml:space="preserve">dans les outils de planification. </w:t>
      </w:r>
      <w:r w:rsidR="00880645">
        <w:rPr>
          <w:rFonts w:ascii="Times New Roman" w:hAnsi="Times New Roman"/>
          <w:sz w:val="24"/>
          <w:szCs w:val="24"/>
        </w:rPr>
        <w:t xml:space="preserve">La mise en place et l’opérationnalisation </w:t>
      </w:r>
      <w:r w:rsidR="00880645" w:rsidRPr="00880645">
        <w:rPr>
          <w:rFonts w:ascii="Times New Roman" w:hAnsi="Times New Roman"/>
          <w:sz w:val="24"/>
          <w:szCs w:val="24"/>
        </w:rPr>
        <w:t xml:space="preserve">de comités communaux et locaux de RRC </w:t>
      </w:r>
      <w:r w:rsidR="00880645">
        <w:rPr>
          <w:rFonts w:ascii="Times New Roman" w:hAnsi="Times New Roman"/>
          <w:sz w:val="24"/>
          <w:szCs w:val="24"/>
        </w:rPr>
        <w:t xml:space="preserve">est, en revanche, à 13%, </w:t>
      </w:r>
      <w:r w:rsidR="00F53B04">
        <w:rPr>
          <w:rFonts w:ascii="Times New Roman" w:hAnsi="Times New Roman"/>
          <w:sz w:val="24"/>
          <w:szCs w:val="24"/>
        </w:rPr>
        <w:t xml:space="preserve">sont </w:t>
      </w:r>
      <w:r w:rsidR="00880645">
        <w:rPr>
          <w:rFonts w:ascii="Times New Roman" w:hAnsi="Times New Roman"/>
          <w:sz w:val="24"/>
          <w:szCs w:val="24"/>
        </w:rPr>
        <w:t>très en retard sur l’objectif fixé.</w:t>
      </w:r>
    </w:p>
    <w:p w14:paraId="604B523A" w14:textId="77777777" w:rsidR="002B6C68" w:rsidRDefault="002B6C68" w:rsidP="005B22B2">
      <w:pPr>
        <w:spacing w:after="0" w:line="240" w:lineRule="auto"/>
        <w:jc w:val="both"/>
        <w:rPr>
          <w:rFonts w:ascii="Times New Roman" w:hAnsi="Times New Roman"/>
          <w:sz w:val="24"/>
          <w:szCs w:val="24"/>
        </w:rPr>
      </w:pPr>
    </w:p>
    <w:p w14:paraId="604B523B" w14:textId="77777777" w:rsidR="002B6C68" w:rsidRDefault="0048539E" w:rsidP="005B22B2">
      <w:pPr>
        <w:spacing w:after="0" w:line="240" w:lineRule="auto"/>
        <w:jc w:val="both"/>
        <w:rPr>
          <w:rFonts w:ascii="Times New Roman" w:hAnsi="Times New Roman"/>
          <w:sz w:val="24"/>
          <w:szCs w:val="24"/>
        </w:rPr>
      </w:pPr>
      <w:r>
        <w:rPr>
          <w:rFonts w:ascii="Times New Roman" w:hAnsi="Times New Roman"/>
          <w:sz w:val="24"/>
          <w:szCs w:val="24"/>
        </w:rPr>
        <w:t>1</w:t>
      </w:r>
      <w:r w:rsidR="007E34BC">
        <w:rPr>
          <w:rFonts w:ascii="Times New Roman" w:hAnsi="Times New Roman"/>
          <w:sz w:val="24"/>
          <w:szCs w:val="24"/>
        </w:rPr>
        <w:t>2</w:t>
      </w:r>
      <w:r w:rsidR="00D5438C">
        <w:rPr>
          <w:rFonts w:ascii="Times New Roman" w:hAnsi="Times New Roman"/>
          <w:sz w:val="24"/>
          <w:szCs w:val="24"/>
        </w:rPr>
        <w:t>7</w:t>
      </w:r>
      <w:r>
        <w:rPr>
          <w:rFonts w:ascii="Times New Roman" w:hAnsi="Times New Roman"/>
          <w:sz w:val="24"/>
          <w:szCs w:val="24"/>
        </w:rPr>
        <w:t>.</w:t>
      </w:r>
      <w:r w:rsidR="002B6C68">
        <w:rPr>
          <w:rFonts w:ascii="Times New Roman" w:hAnsi="Times New Roman"/>
          <w:sz w:val="24"/>
          <w:szCs w:val="24"/>
        </w:rPr>
        <w:tab/>
        <w:t xml:space="preserve">Au titre de la préservation de la biodiversité et </w:t>
      </w:r>
      <w:r w:rsidR="00F53B04">
        <w:rPr>
          <w:rFonts w:ascii="Times New Roman" w:hAnsi="Times New Roman"/>
          <w:sz w:val="24"/>
          <w:szCs w:val="24"/>
        </w:rPr>
        <w:t xml:space="preserve">de </w:t>
      </w:r>
      <w:r w:rsidR="002B6C68">
        <w:rPr>
          <w:rFonts w:ascii="Times New Roman" w:hAnsi="Times New Roman"/>
          <w:sz w:val="24"/>
          <w:szCs w:val="24"/>
        </w:rPr>
        <w:t xml:space="preserve">la lutte contre la déforestation et la désertification, le bilan carbone représente plus de trois fois l’objectif retenu sur l’ensemble du cycle, tandis que </w:t>
      </w:r>
      <w:r w:rsidR="00846C93">
        <w:rPr>
          <w:rFonts w:ascii="Times New Roman" w:hAnsi="Times New Roman"/>
          <w:sz w:val="24"/>
          <w:szCs w:val="24"/>
        </w:rPr>
        <w:t xml:space="preserve">les cibles en matière d’aires protégées sont </w:t>
      </w:r>
      <w:r w:rsidR="00F53B04">
        <w:rPr>
          <w:rFonts w:ascii="Times New Roman" w:hAnsi="Times New Roman"/>
          <w:sz w:val="24"/>
          <w:szCs w:val="24"/>
        </w:rPr>
        <w:t xml:space="preserve">déjà </w:t>
      </w:r>
      <w:r w:rsidR="00846C93">
        <w:rPr>
          <w:rFonts w:ascii="Times New Roman" w:hAnsi="Times New Roman"/>
          <w:sz w:val="24"/>
          <w:szCs w:val="24"/>
        </w:rPr>
        <w:t>atteintes</w:t>
      </w:r>
      <w:r w:rsidR="00F53B04">
        <w:rPr>
          <w:rFonts w:ascii="Times New Roman" w:hAnsi="Times New Roman"/>
          <w:sz w:val="24"/>
          <w:szCs w:val="24"/>
        </w:rPr>
        <w:t xml:space="preserve"> </w:t>
      </w:r>
      <w:r w:rsidR="00846C93">
        <w:rPr>
          <w:rFonts w:ascii="Times New Roman" w:hAnsi="Times New Roman"/>
          <w:sz w:val="24"/>
          <w:szCs w:val="24"/>
        </w:rPr>
        <w:t>à 76%, le tout au bout de deux années de programmation. A 8% de l’objectif, les réalisations par rapport à l’indicateur sur le n</w:t>
      </w:r>
      <w:r w:rsidR="00846C93" w:rsidRPr="00846C93">
        <w:rPr>
          <w:rFonts w:ascii="Times New Roman" w:hAnsi="Times New Roman"/>
          <w:sz w:val="24"/>
          <w:szCs w:val="24"/>
        </w:rPr>
        <w:t>ombre de projets mis en œuvre à travers le Fonds Climat Mali</w:t>
      </w:r>
      <w:r w:rsidR="00846C93">
        <w:rPr>
          <w:rFonts w:ascii="Times New Roman" w:hAnsi="Times New Roman"/>
          <w:sz w:val="24"/>
          <w:szCs w:val="24"/>
        </w:rPr>
        <w:t>, restent très faibles, en revanche.</w:t>
      </w:r>
    </w:p>
    <w:p w14:paraId="604B523C" w14:textId="77777777" w:rsidR="00F53B04" w:rsidRDefault="00F53B04" w:rsidP="005B22B2">
      <w:pPr>
        <w:spacing w:after="0" w:line="240" w:lineRule="auto"/>
        <w:jc w:val="both"/>
        <w:rPr>
          <w:rFonts w:ascii="Times New Roman" w:hAnsi="Times New Roman"/>
          <w:sz w:val="24"/>
          <w:szCs w:val="24"/>
        </w:rPr>
      </w:pPr>
    </w:p>
    <w:p w14:paraId="604B523D" w14:textId="77777777" w:rsidR="00F53B04" w:rsidRPr="003A1D53" w:rsidRDefault="007E34BC" w:rsidP="005B22B2">
      <w:pPr>
        <w:spacing w:after="0" w:line="240" w:lineRule="auto"/>
        <w:jc w:val="both"/>
        <w:rPr>
          <w:rFonts w:ascii="Times New Roman" w:hAnsi="Times New Roman"/>
          <w:sz w:val="24"/>
          <w:szCs w:val="24"/>
        </w:rPr>
      </w:pPr>
      <w:r>
        <w:rPr>
          <w:rFonts w:ascii="Times New Roman" w:hAnsi="Times New Roman"/>
          <w:sz w:val="24"/>
          <w:szCs w:val="24"/>
        </w:rPr>
        <w:t>12</w:t>
      </w:r>
      <w:r w:rsidR="00D5438C">
        <w:rPr>
          <w:rFonts w:ascii="Times New Roman" w:hAnsi="Times New Roman"/>
          <w:sz w:val="24"/>
          <w:szCs w:val="24"/>
        </w:rPr>
        <w:t>8</w:t>
      </w:r>
      <w:r>
        <w:rPr>
          <w:rFonts w:ascii="Times New Roman" w:hAnsi="Times New Roman"/>
          <w:sz w:val="24"/>
          <w:szCs w:val="24"/>
        </w:rPr>
        <w:t>.</w:t>
      </w:r>
      <w:r w:rsidR="009C5E40">
        <w:rPr>
          <w:rFonts w:ascii="Times New Roman" w:hAnsi="Times New Roman"/>
          <w:sz w:val="24"/>
          <w:szCs w:val="24"/>
        </w:rPr>
        <w:tab/>
      </w:r>
      <w:r w:rsidR="00A53D60" w:rsidRPr="003A1D53">
        <w:rPr>
          <w:rFonts w:ascii="Times New Roman" w:hAnsi="Times New Roman"/>
          <w:sz w:val="24"/>
          <w:szCs w:val="24"/>
        </w:rPr>
        <w:t>L</w:t>
      </w:r>
      <w:r w:rsidR="009C5E40" w:rsidRPr="003A1D53">
        <w:rPr>
          <w:rFonts w:ascii="Times New Roman" w:hAnsi="Times New Roman"/>
          <w:sz w:val="24"/>
          <w:szCs w:val="24"/>
        </w:rPr>
        <w:t>es contributions ci-dessus du programme ciblaient l’Effet 5 intitulé : "</w:t>
      </w:r>
      <w:r w:rsidR="009C5E40" w:rsidRPr="003A1D53">
        <w:rPr>
          <w:rFonts w:ascii="Times New Roman" w:hAnsi="Times New Roman"/>
          <w:i/>
          <w:sz w:val="24"/>
          <w:szCs w:val="24"/>
        </w:rPr>
        <w:t>Les populations défavorisées particulièrement les femmes et les jeunes, bénéficient de capacités et d’opportunités productives accrues, dans un environnement sain et durable, favorable à la réduction de la pauvreté</w:t>
      </w:r>
      <w:r w:rsidR="009C5E40" w:rsidRPr="003A1D53">
        <w:rPr>
          <w:rFonts w:ascii="Times New Roman" w:hAnsi="Times New Roman"/>
          <w:sz w:val="24"/>
          <w:szCs w:val="24"/>
        </w:rPr>
        <w:t>."</w:t>
      </w:r>
      <w:r w:rsidR="00B05CB9" w:rsidRPr="003A1D53">
        <w:rPr>
          <w:rFonts w:ascii="Times New Roman" w:hAnsi="Times New Roman"/>
          <w:sz w:val="24"/>
          <w:szCs w:val="24"/>
        </w:rPr>
        <w:t xml:space="preserve"> En termes de produits livrés au milieu dans ce cadre, le programme a été très performant dans l’ensemble et de manière diversifiée : eau et assainissement, activités génératrices de revenus, relance des expo</w:t>
      </w:r>
      <w:r w:rsidR="00463F28" w:rsidRPr="003A1D53">
        <w:rPr>
          <w:rFonts w:ascii="Times New Roman" w:hAnsi="Times New Roman"/>
          <w:sz w:val="24"/>
          <w:szCs w:val="24"/>
        </w:rPr>
        <w:t>r</w:t>
      </w:r>
      <w:r w:rsidR="00B05CB9" w:rsidRPr="003A1D53">
        <w:rPr>
          <w:rFonts w:ascii="Times New Roman" w:hAnsi="Times New Roman"/>
          <w:sz w:val="24"/>
          <w:szCs w:val="24"/>
        </w:rPr>
        <w:t>tations d’</w:t>
      </w:r>
      <w:r w:rsidR="00463F28" w:rsidRPr="003A1D53">
        <w:rPr>
          <w:rFonts w:ascii="Times New Roman" w:hAnsi="Times New Roman"/>
          <w:sz w:val="24"/>
          <w:szCs w:val="24"/>
        </w:rPr>
        <w:t>agrumes, diffusi</w:t>
      </w:r>
      <w:r w:rsidR="00B05CB9" w:rsidRPr="003A1D53">
        <w:rPr>
          <w:rFonts w:ascii="Times New Roman" w:hAnsi="Times New Roman"/>
          <w:sz w:val="24"/>
          <w:szCs w:val="24"/>
        </w:rPr>
        <w:t>on</w:t>
      </w:r>
      <w:r w:rsidR="00463F28" w:rsidRPr="003A1D53">
        <w:rPr>
          <w:rFonts w:ascii="Times New Roman" w:hAnsi="Times New Roman"/>
          <w:sz w:val="24"/>
          <w:szCs w:val="24"/>
        </w:rPr>
        <w:t>s des é</w:t>
      </w:r>
      <w:r w:rsidR="00B05CB9" w:rsidRPr="003A1D53">
        <w:rPr>
          <w:rFonts w:ascii="Times New Roman" w:hAnsi="Times New Roman"/>
          <w:sz w:val="24"/>
          <w:szCs w:val="24"/>
        </w:rPr>
        <w:t>nergies</w:t>
      </w:r>
      <w:r w:rsidR="00463F28" w:rsidRPr="003A1D53">
        <w:rPr>
          <w:rFonts w:ascii="Times New Roman" w:hAnsi="Times New Roman"/>
          <w:sz w:val="24"/>
          <w:szCs w:val="24"/>
        </w:rPr>
        <w:t xml:space="preserve"> renouvelables. Ces acquis programmatiques sont certes en phase avec la progression significative qu’a connue le PIB du Mali dans la période (5,3% comme indiqué dans la section </w:t>
      </w:r>
      <w:r w:rsidR="00463F28" w:rsidRPr="003A1D53">
        <w:rPr>
          <w:rFonts w:ascii="Times New Roman" w:hAnsi="Times New Roman"/>
          <w:sz w:val="24"/>
          <w:szCs w:val="24"/>
        </w:rPr>
        <w:lastRenderedPageBreak/>
        <w:t xml:space="preserve">précédente). Malheureusement, </w:t>
      </w:r>
      <w:r w:rsidR="001A0B2B" w:rsidRPr="003A1D53">
        <w:rPr>
          <w:rFonts w:ascii="Times New Roman" w:hAnsi="Times New Roman"/>
          <w:sz w:val="24"/>
          <w:szCs w:val="24"/>
        </w:rPr>
        <w:t xml:space="preserve">ils </w:t>
      </w:r>
      <w:r w:rsidR="00463F28" w:rsidRPr="003A1D53">
        <w:rPr>
          <w:rFonts w:ascii="Times New Roman" w:hAnsi="Times New Roman"/>
          <w:sz w:val="24"/>
          <w:szCs w:val="24"/>
        </w:rPr>
        <w:t xml:space="preserve">n’ont pas </w:t>
      </w:r>
      <w:r w:rsidR="001A0B2B" w:rsidRPr="003A1D53">
        <w:rPr>
          <w:rFonts w:ascii="Times New Roman" w:hAnsi="Times New Roman"/>
          <w:sz w:val="24"/>
          <w:szCs w:val="24"/>
        </w:rPr>
        <w:t xml:space="preserve">une échelle de masse qui permettrait, aux côté d’autres valeurs ajoutées, de </w:t>
      </w:r>
      <w:r w:rsidR="00463F28" w:rsidRPr="003A1D53">
        <w:rPr>
          <w:rFonts w:ascii="Times New Roman" w:hAnsi="Times New Roman"/>
          <w:sz w:val="24"/>
          <w:szCs w:val="24"/>
        </w:rPr>
        <w:t xml:space="preserve">faire bouger les lignes sur des indicateurs moins conjoncturels comme : l’insécurité alimentaire, le taux de chômage et </w:t>
      </w:r>
      <w:r w:rsidR="00751FC1" w:rsidRPr="003A1D53">
        <w:rPr>
          <w:rFonts w:ascii="Times New Roman" w:hAnsi="Times New Roman"/>
          <w:sz w:val="24"/>
          <w:szCs w:val="24"/>
        </w:rPr>
        <w:t>surtout l’incidence de pauvreté.</w:t>
      </w:r>
    </w:p>
    <w:p w14:paraId="604B523E" w14:textId="77777777" w:rsidR="00A53D60" w:rsidRPr="003A1D53" w:rsidRDefault="00A53D60" w:rsidP="005B22B2">
      <w:pPr>
        <w:spacing w:after="0" w:line="240" w:lineRule="auto"/>
        <w:jc w:val="both"/>
        <w:rPr>
          <w:rFonts w:ascii="Times New Roman" w:hAnsi="Times New Roman"/>
          <w:sz w:val="24"/>
          <w:szCs w:val="24"/>
        </w:rPr>
      </w:pPr>
    </w:p>
    <w:p w14:paraId="604B523F" w14:textId="77777777" w:rsidR="00A53D60" w:rsidRPr="003A1D53" w:rsidRDefault="007E34BC" w:rsidP="005B22B2">
      <w:pPr>
        <w:spacing w:after="0" w:line="240" w:lineRule="auto"/>
        <w:jc w:val="both"/>
        <w:rPr>
          <w:rFonts w:ascii="Times New Roman" w:hAnsi="Times New Roman"/>
          <w:sz w:val="24"/>
          <w:szCs w:val="24"/>
        </w:rPr>
      </w:pPr>
      <w:r w:rsidRPr="003A1D53">
        <w:rPr>
          <w:rFonts w:ascii="Times New Roman" w:hAnsi="Times New Roman"/>
          <w:sz w:val="24"/>
          <w:szCs w:val="24"/>
        </w:rPr>
        <w:t>12</w:t>
      </w:r>
      <w:r w:rsidR="00D5438C" w:rsidRPr="003A1D53">
        <w:rPr>
          <w:rFonts w:ascii="Times New Roman" w:hAnsi="Times New Roman"/>
          <w:sz w:val="24"/>
          <w:szCs w:val="24"/>
        </w:rPr>
        <w:t>9</w:t>
      </w:r>
      <w:r w:rsidRPr="003A1D53">
        <w:rPr>
          <w:rFonts w:ascii="Times New Roman" w:hAnsi="Times New Roman"/>
          <w:sz w:val="24"/>
          <w:szCs w:val="24"/>
        </w:rPr>
        <w:t>.</w:t>
      </w:r>
      <w:r w:rsidR="00A53D60" w:rsidRPr="003A1D53">
        <w:rPr>
          <w:rFonts w:ascii="Times New Roman" w:hAnsi="Times New Roman"/>
          <w:sz w:val="24"/>
          <w:szCs w:val="24"/>
        </w:rPr>
        <w:tab/>
        <w:t>En direction des Objectifs de Développement Durable, les contributions du programme sous l’Effet 5 résonnent principalement sur les objectifs de lutte contre la pauvreté, de croissance inclusive, d’accès à l’énergie et de résilience environnementale : (ODD 1,2,3,6,7,8,13,15), tout en servant indirectement d’autres Objectifs comme la promotion de la paix (16) et l’égalité des sexes (5).</w:t>
      </w:r>
    </w:p>
    <w:p w14:paraId="604B5240" w14:textId="77777777" w:rsidR="00846C93" w:rsidRPr="003A1D53" w:rsidRDefault="00846C93" w:rsidP="005B22B2">
      <w:pPr>
        <w:spacing w:after="0" w:line="240" w:lineRule="auto"/>
        <w:jc w:val="both"/>
        <w:rPr>
          <w:rFonts w:ascii="Times New Roman" w:hAnsi="Times New Roman"/>
          <w:sz w:val="24"/>
          <w:szCs w:val="24"/>
        </w:rPr>
      </w:pPr>
    </w:p>
    <w:p w14:paraId="604B5241" w14:textId="77777777" w:rsidR="007E3885" w:rsidRPr="003A1D53" w:rsidRDefault="000228C8" w:rsidP="005B22B2">
      <w:pPr>
        <w:pStyle w:val="Titre4"/>
        <w:numPr>
          <w:ilvl w:val="3"/>
          <w:numId w:val="4"/>
        </w:numPr>
        <w:spacing w:before="0" w:line="240" w:lineRule="auto"/>
        <w:rPr>
          <w:rFonts w:ascii="Times New Roman" w:hAnsi="Times New Roman"/>
          <w:i w:val="0"/>
          <w:color w:val="auto"/>
          <w:sz w:val="24"/>
          <w:szCs w:val="24"/>
        </w:rPr>
      </w:pPr>
      <w:r w:rsidRPr="003A1D53">
        <w:rPr>
          <w:rFonts w:ascii="Times New Roman" w:hAnsi="Times New Roman"/>
          <w:i w:val="0"/>
          <w:color w:val="auto"/>
          <w:sz w:val="24"/>
          <w:szCs w:val="24"/>
        </w:rPr>
        <w:t>Facteurs explicatifs : forces et faiblesses de la mise en œuvre de</w:t>
      </w:r>
      <w:r w:rsidR="001A0B2B" w:rsidRPr="003A1D53">
        <w:rPr>
          <w:rFonts w:ascii="Times New Roman" w:hAnsi="Times New Roman"/>
          <w:i w:val="0"/>
          <w:color w:val="auto"/>
          <w:sz w:val="24"/>
          <w:szCs w:val="24"/>
        </w:rPr>
        <w:t>s</w:t>
      </w:r>
      <w:r w:rsidRPr="003A1D53">
        <w:rPr>
          <w:rFonts w:ascii="Times New Roman" w:hAnsi="Times New Roman"/>
          <w:i w:val="0"/>
          <w:color w:val="auto"/>
          <w:sz w:val="24"/>
          <w:szCs w:val="24"/>
        </w:rPr>
        <w:t xml:space="preserve"> contributions sous l’Effet </w:t>
      </w:r>
      <w:r w:rsidR="007E3885" w:rsidRPr="003A1D53">
        <w:rPr>
          <w:rFonts w:ascii="Times New Roman" w:hAnsi="Times New Roman"/>
          <w:i w:val="0"/>
          <w:color w:val="auto"/>
          <w:sz w:val="24"/>
          <w:szCs w:val="24"/>
        </w:rPr>
        <w:t>5</w:t>
      </w:r>
    </w:p>
    <w:p w14:paraId="604B5242" w14:textId="77777777" w:rsidR="001A0B2B" w:rsidRPr="003A1D53" w:rsidRDefault="001A0B2B" w:rsidP="001A0B2B">
      <w:pPr>
        <w:spacing w:after="0" w:line="240" w:lineRule="auto"/>
        <w:jc w:val="both"/>
        <w:rPr>
          <w:rFonts w:ascii="Times New Roman" w:eastAsia="Arial" w:hAnsi="Times New Roman"/>
          <w:b/>
          <w:sz w:val="24"/>
          <w:szCs w:val="24"/>
          <w:lang w:eastAsia="fr-FR"/>
        </w:rPr>
      </w:pPr>
    </w:p>
    <w:p w14:paraId="604B5243" w14:textId="77777777" w:rsidR="001A0B2B" w:rsidRPr="003A1D53" w:rsidRDefault="00D5438C" w:rsidP="00A16791">
      <w:pPr>
        <w:spacing w:after="0" w:line="240" w:lineRule="auto"/>
        <w:jc w:val="both"/>
        <w:rPr>
          <w:rFonts w:ascii="Times New Roman" w:eastAsia="Arial" w:hAnsi="Times New Roman"/>
          <w:sz w:val="24"/>
          <w:szCs w:val="24"/>
          <w:lang w:eastAsia="fr-FR"/>
        </w:rPr>
      </w:pPr>
      <w:r w:rsidRPr="003A1D53">
        <w:rPr>
          <w:rFonts w:ascii="Times New Roman" w:eastAsia="Arial" w:hAnsi="Times New Roman"/>
          <w:sz w:val="24"/>
          <w:szCs w:val="24"/>
          <w:lang w:eastAsia="fr-FR"/>
        </w:rPr>
        <w:t>130</w:t>
      </w:r>
      <w:r w:rsidR="007E34BC" w:rsidRPr="003A1D53">
        <w:rPr>
          <w:rFonts w:ascii="Times New Roman" w:eastAsia="Arial" w:hAnsi="Times New Roman"/>
          <w:sz w:val="24"/>
          <w:szCs w:val="24"/>
          <w:lang w:eastAsia="fr-FR"/>
        </w:rPr>
        <w:t>.</w:t>
      </w:r>
      <w:r w:rsidR="00A16791" w:rsidRPr="003A1D53">
        <w:rPr>
          <w:rFonts w:ascii="Times New Roman" w:eastAsia="Arial" w:hAnsi="Times New Roman"/>
          <w:sz w:val="24"/>
          <w:szCs w:val="24"/>
          <w:lang w:eastAsia="fr-FR"/>
        </w:rPr>
        <w:tab/>
        <w:t>En termes d’environnement propice, la mise en œuvre des activités dédiées aux produits liés à l’Effet 5 a surtout bénéficié de l’existence d’un tissu associatif de niveau intermédiaire (ONG) et à la base (organisations de femmes, de jeunes et de petits producteurs) qui ont su relayer l’action du programme sur le terrain. Le programme a également su trouver les stratégies appropriées pour créer de la profitabilité pour les populations, en particulier les plus vulnérables</w:t>
      </w:r>
      <w:r w:rsidR="009B7FEF" w:rsidRPr="003A1D53">
        <w:rPr>
          <w:rFonts w:ascii="Times New Roman" w:eastAsia="Arial" w:hAnsi="Times New Roman"/>
          <w:sz w:val="24"/>
          <w:szCs w:val="24"/>
          <w:lang w:eastAsia="fr-FR"/>
        </w:rPr>
        <w:t> : approches à haute intensité de main d’œuvre dans le cadre de chantiers d’infrastructures communautaires, revitalisation de vallées humides</w:t>
      </w:r>
      <w:r w:rsidR="00A16791" w:rsidRPr="003A1D53">
        <w:rPr>
          <w:rFonts w:ascii="Times New Roman" w:eastAsia="Arial" w:hAnsi="Times New Roman"/>
          <w:sz w:val="24"/>
          <w:szCs w:val="24"/>
          <w:lang w:eastAsia="fr-FR"/>
        </w:rPr>
        <w:t>,</w:t>
      </w:r>
      <w:r w:rsidR="009B7FEF" w:rsidRPr="003A1D53">
        <w:rPr>
          <w:rFonts w:ascii="Times New Roman" w:eastAsia="Arial" w:hAnsi="Times New Roman"/>
          <w:sz w:val="24"/>
          <w:szCs w:val="24"/>
          <w:lang w:eastAsia="fr-FR"/>
        </w:rPr>
        <w:t xml:space="preserve"> relance de filières agro-sylvo-pastorales et halieutiques porteuses, renouvellement du modèle énergétique à la base, etc.</w:t>
      </w:r>
    </w:p>
    <w:p w14:paraId="604B5244" w14:textId="77777777" w:rsidR="00D5438C" w:rsidRPr="003A1D53" w:rsidRDefault="00D5438C" w:rsidP="00AF6BB5">
      <w:pPr>
        <w:spacing w:after="0" w:line="240" w:lineRule="auto"/>
        <w:jc w:val="both"/>
        <w:rPr>
          <w:rFonts w:ascii="Times New Roman" w:eastAsia="Arial" w:hAnsi="Times New Roman"/>
          <w:sz w:val="24"/>
          <w:szCs w:val="24"/>
          <w:lang w:eastAsia="fr-FR"/>
        </w:rPr>
      </w:pPr>
    </w:p>
    <w:p w14:paraId="604B5245" w14:textId="77777777" w:rsidR="00AF6BB5" w:rsidRPr="003A1D53" w:rsidRDefault="00D5438C" w:rsidP="00AF6BB5">
      <w:pPr>
        <w:spacing w:after="0" w:line="240" w:lineRule="auto"/>
        <w:jc w:val="both"/>
        <w:rPr>
          <w:rFonts w:ascii="Times New Roman" w:eastAsia="Arial" w:hAnsi="Times New Roman"/>
          <w:bCs/>
          <w:sz w:val="24"/>
          <w:szCs w:val="24"/>
          <w:lang w:eastAsia="fr-FR"/>
        </w:rPr>
      </w:pPr>
      <w:r w:rsidRPr="003A1D53">
        <w:rPr>
          <w:rFonts w:ascii="Times New Roman" w:eastAsia="Arial" w:hAnsi="Times New Roman"/>
          <w:sz w:val="24"/>
          <w:szCs w:val="24"/>
          <w:lang w:eastAsia="fr-FR"/>
        </w:rPr>
        <w:t>131</w:t>
      </w:r>
      <w:r w:rsidR="007E34BC" w:rsidRPr="003A1D53">
        <w:rPr>
          <w:rFonts w:ascii="Times New Roman" w:eastAsia="Arial" w:hAnsi="Times New Roman"/>
          <w:sz w:val="24"/>
          <w:szCs w:val="24"/>
          <w:lang w:eastAsia="fr-FR"/>
        </w:rPr>
        <w:t>.</w:t>
      </w:r>
      <w:r w:rsidR="009B7FEF" w:rsidRPr="003A1D53">
        <w:rPr>
          <w:rFonts w:ascii="Times New Roman" w:eastAsia="Arial" w:hAnsi="Times New Roman"/>
          <w:sz w:val="24"/>
          <w:szCs w:val="24"/>
          <w:lang w:eastAsia="fr-FR"/>
        </w:rPr>
        <w:tab/>
        <w:t>Le premier des déterminants défavorables est encore l</w:t>
      </w:r>
      <w:r w:rsidR="00AF6BB5" w:rsidRPr="003A1D53">
        <w:rPr>
          <w:rFonts w:ascii="Times New Roman" w:eastAsia="Arial" w:hAnsi="Times New Roman"/>
          <w:sz w:val="24"/>
          <w:szCs w:val="24"/>
          <w:lang w:eastAsia="fr-FR"/>
        </w:rPr>
        <w:t xml:space="preserve">’insécurité dans </w:t>
      </w:r>
      <w:r w:rsidR="001A0B2B" w:rsidRPr="003A1D53">
        <w:rPr>
          <w:rFonts w:ascii="Times New Roman" w:eastAsia="Arial" w:hAnsi="Times New Roman"/>
          <w:sz w:val="24"/>
          <w:szCs w:val="24"/>
          <w:lang w:eastAsia="fr-FR"/>
        </w:rPr>
        <w:t>les régions du nord, de la région de Mopti et de certaines parties de la région de Ségou</w:t>
      </w:r>
      <w:r w:rsidR="00AF6BB5" w:rsidRPr="003A1D53">
        <w:rPr>
          <w:rFonts w:ascii="Times New Roman" w:eastAsia="Arial" w:hAnsi="Times New Roman"/>
          <w:sz w:val="24"/>
          <w:szCs w:val="24"/>
          <w:lang w:eastAsia="fr-FR"/>
        </w:rPr>
        <w:t>. Le programme a également souffert de la difficulté à mobiliser les importantes ressources qu’appellent certaines activités d’aménagement. L</w:t>
      </w:r>
      <w:r w:rsidR="001A0B2B" w:rsidRPr="003A1D53">
        <w:rPr>
          <w:rFonts w:ascii="Times New Roman" w:eastAsia="Arial" w:hAnsi="Times New Roman"/>
          <w:sz w:val="24"/>
          <w:szCs w:val="24"/>
          <w:lang w:eastAsia="fr-FR"/>
        </w:rPr>
        <w:t>e faible niveau d’instruction des</w:t>
      </w:r>
      <w:r w:rsidR="00AF6BB5" w:rsidRPr="003A1D53">
        <w:rPr>
          <w:rFonts w:ascii="Times New Roman" w:eastAsia="Arial" w:hAnsi="Times New Roman"/>
          <w:sz w:val="24"/>
          <w:szCs w:val="24"/>
          <w:lang w:eastAsia="fr-FR"/>
        </w:rPr>
        <w:t xml:space="preserve"> bénéficiaires de microprojets est aussi ressorti comme une contrainte, tandis que la f</w:t>
      </w:r>
      <w:r w:rsidR="001A0B2B" w:rsidRPr="003A1D53">
        <w:rPr>
          <w:rFonts w:ascii="Times New Roman" w:eastAsia="Arial" w:hAnsi="Times New Roman"/>
          <w:bCs/>
          <w:sz w:val="24"/>
          <w:szCs w:val="24"/>
          <w:lang w:eastAsia="fr-FR"/>
        </w:rPr>
        <w:t>aible pénétration des institutions de micro finance dans beaucoup de localités des régions du nord et du centre</w:t>
      </w:r>
      <w:r w:rsidR="00AF6BB5" w:rsidRPr="003A1D53">
        <w:rPr>
          <w:rFonts w:ascii="Times New Roman" w:eastAsia="Arial" w:hAnsi="Times New Roman"/>
          <w:bCs/>
          <w:sz w:val="24"/>
          <w:szCs w:val="24"/>
          <w:lang w:eastAsia="fr-FR"/>
        </w:rPr>
        <w:t xml:space="preserve">, n’a pas favorisé davantage la fluidité des activités économiques promues par le programme. Il est noté par ailleurs des </w:t>
      </w:r>
      <w:r w:rsidR="001A0B2B" w:rsidRPr="003A1D53">
        <w:rPr>
          <w:rFonts w:ascii="Times New Roman" w:eastAsia="Arial" w:hAnsi="Times New Roman"/>
          <w:sz w:val="24"/>
          <w:szCs w:val="24"/>
          <w:lang w:eastAsia="fr-FR"/>
        </w:rPr>
        <w:t>l</w:t>
      </w:r>
      <w:r w:rsidR="00AF6BB5" w:rsidRPr="003A1D53">
        <w:rPr>
          <w:rFonts w:ascii="Times New Roman" w:eastAsia="Arial" w:hAnsi="Times New Roman"/>
          <w:sz w:val="24"/>
          <w:szCs w:val="24"/>
          <w:lang w:eastAsia="fr-FR"/>
        </w:rPr>
        <w:t>lourdeurs</w:t>
      </w:r>
      <w:r w:rsidR="001A0B2B" w:rsidRPr="003A1D53">
        <w:rPr>
          <w:rFonts w:ascii="Times New Roman" w:eastAsia="Arial" w:hAnsi="Times New Roman"/>
          <w:sz w:val="24"/>
          <w:szCs w:val="24"/>
          <w:lang w:eastAsia="fr-FR"/>
        </w:rPr>
        <w:t xml:space="preserve"> administratives dans le</w:t>
      </w:r>
      <w:r w:rsidR="00AF6BB5" w:rsidRPr="003A1D53">
        <w:rPr>
          <w:rFonts w:ascii="Times New Roman" w:eastAsia="Arial" w:hAnsi="Times New Roman"/>
          <w:sz w:val="24"/>
          <w:szCs w:val="24"/>
          <w:lang w:eastAsia="fr-FR"/>
        </w:rPr>
        <w:t>s</w:t>
      </w:r>
      <w:r w:rsidR="001A0B2B" w:rsidRPr="003A1D53">
        <w:rPr>
          <w:rFonts w:ascii="Times New Roman" w:eastAsia="Arial" w:hAnsi="Times New Roman"/>
          <w:sz w:val="24"/>
          <w:szCs w:val="24"/>
          <w:lang w:eastAsia="fr-FR"/>
        </w:rPr>
        <w:t xml:space="preserve"> processus de passation des marchés publics</w:t>
      </w:r>
      <w:r w:rsidR="00AF6BB5" w:rsidRPr="003A1D53">
        <w:rPr>
          <w:rFonts w:ascii="Times New Roman" w:eastAsia="Arial" w:hAnsi="Times New Roman"/>
          <w:sz w:val="24"/>
          <w:szCs w:val="24"/>
          <w:lang w:eastAsia="fr-FR"/>
        </w:rPr>
        <w:t>. Plus globalement le programme a surtout souffert de faibles opportunités de ressources sous l’Effet 5. Alors que la planification budgétaire ex ante en faisait le réceptacle de ressources le plus important, compte tenu justement du potentiel qu’il a là à amorcer la transition de l’humanitaire vers le relèvement et le développement, cet Effet est à mi-parcours celui qui en mobilise le moins.</w:t>
      </w:r>
      <w:r w:rsidR="00EA4797" w:rsidRPr="003A1D53">
        <w:rPr>
          <w:rFonts w:ascii="Times New Roman" w:eastAsia="Arial" w:hAnsi="Times New Roman"/>
          <w:sz w:val="24"/>
          <w:szCs w:val="24"/>
          <w:lang w:eastAsia="fr-FR"/>
        </w:rPr>
        <w:t xml:space="preserve"> 146 millions ont été rendus disponibles sur 589 anticipés dans le cadre de résultats du programme, correspondent à un modeste taux de mobilsiation de ressources de 25%. </w:t>
      </w:r>
    </w:p>
    <w:p w14:paraId="604B5246" w14:textId="77777777" w:rsidR="007E3885" w:rsidRPr="003A1D53" w:rsidRDefault="007E3885" w:rsidP="005B22B2">
      <w:pPr>
        <w:spacing w:after="0" w:line="240" w:lineRule="auto"/>
        <w:jc w:val="both"/>
        <w:rPr>
          <w:rFonts w:ascii="Times New Roman" w:hAnsi="Times New Roman"/>
          <w:sz w:val="20"/>
          <w:szCs w:val="20"/>
          <w:u w:val="single"/>
        </w:rPr>
      </w:pPr>
    </w:p>
    <w:p w14:paraId="604B5247" w14:textId="77777777" w:rsidR="00AF24B5" w:rsidRPr="003A1D53" w:rsidRDefault="002A6E0C" w:rsidP="005B22B2">
      <w:pPr>
        <w:pStyle w:val="Titre2"/>
        <w:numPr>
          <w:ilvl w:val="1"/>
          <w:numId w:val="4"/>
        </w:numPr>
        <w:spacing w:before="0"/>
        <w:rPr>
          <w:color w:val="auto"/>
        </w:rPr>
      </w:pPr>
      <w:bookmarkStart w:id="218" w:name="_Toc499211620"/>
      <w:bookmarkStart w:id="219" w:name="_Toc500974552"/>
      <w:bookmarkStart w:id="220" w:name="_Toc502863907"/>
      <w:bookmarkStart w:id="221" w:name="_Toc505758482"/>
      <w:bookmarkStart w:id="222" w:name="_Toc506201574"/>
      <w:r w:rsidRPr="003A1D53">
        <w:rPr>
          <w:color w:val="auto"/>
        </w:rPr>
        <w:t>Efficacité sur le t</w:t>
      </w:r>
      <w:r w:rsidR="00B116D2" w:rsidRPr="003A1D53">
        <w:rPr>
          <w:color w:val="auto"/>
        </w:rPr>
        <w:t>hématiques transversales</w:t>
      </w:r>
      <w:bookmarkEnd w:id="218"/>
      <w:bookmarkEnd w:id="219"/>
      <w:bookmarkEnd w:id="220"/>
      <w:bookmarkEnd w:id="221"/>
      <w:bookmarkEnd w:id="222"/>
    </w:p>
    <w:p w14:paraId="604B5248" w14:textId="77777777" w:rsidR="002E71CA" w:rsidRPr="003A1D53" w:rsidRDefault="002E71CA" w:rsidP="005B22B2">
      <w:pPr>
        <w:spacing w:after="0" w:line="240" w:lineRule="auto"/>
        <w:jc w:val="both"/>
        <w:rPr>
          <w:rFonts w:ascii="Times New Roman" w:hAnsi="Times New Roman"/>
          <w:sz w:val="24"/>
          <w:szCs w:val="24"/>
        </w:rPr>
      </w:pPr>
    </w:p>
    <w:p w14:paraId="604B5249" w14:textId="77777777" w:rsidR="002E71CA" w:rsidRPr="003A1D53" w:rsidRDefault="00D5438C" w:rsidP="005B22B2">
      <w:pPr>
        <w:spacing w:after="0" w:line="240" w:lineRule="auto"/>
        <w:jc w:val="both"/>
        <w:rPr>
          <w:rFonts w:ascii="Times New Roman" w:hAnsi="Times New Roman"/>
          <w:sz w:val="24"/>
          <w:szCs w:val="24"/>
        </w:rPr>
      </w:pPr>
      <w:r w:rsidRPr="003A1D53">
        <w:rPr>
          <w:rFonts w:ascii="Times New Roman" w:hAnsi="Times New Roman"/>
          <w:bCs/>
          <w:sz w:val="24"/>
          <w:szCs w:val="24"/>
        </w:rPr>
        <w:t>132</w:t>
      </w:r>
      <w:r w:rsidR="00AF24B5" w:rsidRPr="003A1D53">
        <w:rPr>
          <w:rFonts w:ascii="Times New Roman" w:hAnsi="Times New Roman"/>
          <w:bCs/>
          <w:sz w:val="24"/>
          <w:szCs w:val="24"/>
        </w:rPr>
        <w:t>.</w:t>
      </w:r>
      <w:r w:rsidR="00AF24B5" w:rsidRPr="003A1D53">
        <w:rPr>
          <w:rFonts w:ascii="Times New Roman" w:hAnsi="Times New Roman"/>
          <w:bCs/>
          <w:sz w:val="24"/>
          <w:szCs w:val="24"/>
        </w:rPr>
        <w:tab/>
      </w:r>
      <w:r w:rsidR="00B116D2" w:rsidRPr="003A1D53">
        <w:rPr>
          <w:rFonts w:ascii="Times New Roman" w:hAnsi="Times New Roman"/>
          <w:b/>
          <w:bCs/>
          <w:sz w:val="24"/>
          <w:szCs w:val="24"/>
        </w:rPr>
        <w:t>Genre</w:t>
      </w:r>
      <w:r w:rsidR="00B116D2" w:rsidRPr="003A1D53">
        <w:rPr>
          <w:rFonts w:ascii="Times New Roman" w:hAnsi="Times New Roman"/>
          <w:bCs/>
          <w:sz w:val="24"/>
          <w:szCs w:val="24"/>
        </w:rPr>
        <w:t xml:space="preserve"> : </w:t>
      </w:r>
      <w:r w:rsidR="00AF24B5" w:rsidRPr="003A1D53">
        <w:rPr>
          <w:rFonts w:ascii="Times New Roman" w:hAnsi="Times New Roman"/>
          <w:bCs/>
          <w:sz w:val="24"/>
          <w:szCs w:val="24"/>
        </w:rPr>
        <w:t xml:space="preserve">La problématique du genre dans le programme s’appréhende à plusieurs niveaux : les provisions insérées dans le cadre des résultats et des ressources, d’abord, le positionnement global du </w:t>
      </w:r>
      <w:r w:rsidR="00B116D2" w:rsidRPr="003A1D53">
        <w:rPr>
          <w:rFonts w:ascii="Times New Roman" w:hAnsi="Times New Roman"/>
          <w:bCs/>
          <w:sz w:val="24"/>
          <w:szCs w:val="24"/>
        </w:rPr>
        <w:t xml:space="preserve">Système </w:t>
      </w:r>
      <w:r w:rsidR="00AF24B5" w:rsidRPr="003A1D53">
        <w:rPr>
          <w:rFonts w:ascii="Times New Roman" w:hAnsi="Times New Roman"/>
          <w:bCs/>
          <w:sz w:val="24"/>
          <w:szCs w:val="24"/>
        </w:rPr>
        <w:t>par rapport à la thématique, ensuite, les extrants générés su</w:t>
      </w:r>
      <w:r w:rsidR="00D57C56" w:rsidRPr="003A1D53">
        <w:rPr>
          <w:rFonts w:ascii="Times New Roman" w:hAnsi="Times New Roman"/>
          <w:bCs/>
          <w:sz w:val="24"/>
          <w:szCs w:val="24"/>
        </w:rPr>
        <w:t>r</w:t>
      </w:r>
      <w:r w:rsidR="00AF24B5" w:rsidRPr="003A1D53">
        <w:rPr>
          <w:rFonts w:ascii="Times New Roman" w:hAnsi="Times New Roman"/>
          <w:bCs/>
          <w:sz w:val="24"/>
          <w:szCs w:val="24"/>
        </w:rPr>
        <w:t xml:space="preserve"> le terrain opérationnel, enfin. La mise en œuvre de la transversalité du genre commence par son insertion systématique dans le cadre logique du programme. Qu’en est-il du cycle sous revue ? </w:t>
      </w:r>
      <w:r w:rsidR="002E71CA" w:rsidRPr="003A1D53">
        <w:rPr>
          <w:rFonts w:ascii="Times New Roman" w:hAnsi="Times New Roman"/>
          <w:sz w:val="24"/>
          <w:szCs w:val="24"/>
        </w:rPr>
        <w:t xml:space="preserve">La sensibilité au genre comme dimension structurelle de programmation pour le Système des Nations Unies </w:t>
      </w:r>
      <w:r w:rsidR="009178ED" w:rsidRPr="003A1D53">
        <w:rPr>
          <w:rFonts w:ascii="Times New Roman" w:hAnsi="Times New Roman"/>
          <w:sz w:val="24"/>
          <w:szCs w:val="24"/>
        </w:rPr>
        <w:t xml:space="preserve">est </w:t>
      </w:r>
      <w:r w:rsidR="002E71CA" w:rsidRPr="003A1D53">
        <w:rPr>
          <w:rFonts w:ascii="Times New Roman" w:hAnsi="Times New Roman"/>
          <w:sz w:val="24"/>
          <w:szCs w:val="24"/>
        </w:rPr>
        <w:t>très faible dans la matrice</w:t>
      </w:r>
      <w:r w:rsidR="00B116D2" w:rsidRPr="003A1D53">
        <w:rPr>
          <w:rFonts w:ascii="Times New Roman" w:hAnsi="Times New Roman"/>
          <w:sz w:val="24"/>
          <w:szCs w:val="24"/>
        </w:rPr>
        <w:t xml:space="preserve"> de l’UNDAF</w:t>
      </w:r>
      <w:r w:rsidR="009178ED" w:rsidRPr="003A1D53">
        <w:rPr>
          <w:rFonts w:ascii="Times New Roman" w:hAnsi="Times New Roman"/>
          <w:sz w:val="24"/>
          <w:szCs w:val="24"/>
          <w:vertAlign w:val="superscript"/>
        </w:rPr>
        <w:t>+</w:t>
      </w:r>
      <w:r w:rsidR="00C84296" w:rsidRPr="003A1D53">
        <w:rPr>
          <w:rFonts w:ascii="Times New Roman" w:hAnsi="Times New Roman"/>
          <w:sz w:val="24"/>
          <w:szCs w:val="24"/>
        </w:rPr>
        <w:t xml:space="preserve"> </w:t>
      </w:r>
      <w:r w:rsidR="009178ED" w:rsidRPr="003A1D53">
        <w:rPr>
          <w:rFonts w:ascii="Times New Roman" w:hAnsi="Times New Roman"/>
          <w:sz w:val="24"/>
          <w:szCs w:val="24"/>
        </w:rPr>
        <w:t xml:space="preserve">(voir </w:t>
      </w:r>
      <w:r w:rsidR="00C84296" w:rsidRPr="003A1D53">
        <w:rPr>
          <w:rFonts w:ascii="Times New Roman" w:hAnsi="Times New Roman"/>
          <w:sz w:val="24"/>
          <w:szCs w:val="24"/>
        </w:rPr>
        <w:t>tableaux 3-12 des annexes analysant la</w:t>
      </w:r>
      <w:r w:rsidR="009178ED" w:rsidRPr="003A1D53">
        <w:rPr>
          <w:rFonts w:ascii="Times New Roman" w:hAnsi="Times New Roman"/>
          <w:sz w:val="24"/>
          <w:szCs w:val="24"/>
        </w:rPr>
        <w:t xml:space="preserve"> pertinence logique</w:t>
      </w:r>
      <w:r w:rsidR="00C84296" w:rsidRPr="003A1D53">
        <w:rPr>
          <w:rFonts w:ascii="Times New Roman" w:hAnsi="Times New Roman"/>
          <w:sz w:val="24"/>
          <w:szCs w:val="24"/>
        </w:rPr>
        <w:t xml:space="preserve"> du programme</w:t>
      </w:r>
      <w:r w:rsidR="009178ED" w:rsidRPr="003A1D53">
        <w:rPr>
          <w:rFonts w:ascii="Times New Roman" w:hAnsi="Times New Roman"/>
          <w:sz w:val="24"/>
          <w:szCs w:val="24"/>
        </w:rPr>
        <w:t>).</w:t>
      </w:r>
    </w:p>
    <w:p w14:paraId="604B524A" w14:textId="77777777" w:rsidR="002D48B0" w:rsidRPr="003A1D53" w:rsidRDefault="002D48B0" w:rsidP="005B22B2">
      <w:pPr>
        <w:spacing w:after="0" w:line="240" w:lineRule="auto"/>
        <w:jc w:val="both"/>
        <w:rPr>
          <w:rFonts w:ascii="Times New Roman" w:hAnsi="Times New Roman"/>
          <w:bCs/>
          <w:sz w:val="24"/>
          <w:szCs w:val="24"/>
        </w:rPr>
      </w:pPr>
    </w:p>
    <w:p w14:paraId="604B524B" w14:textId="77777777" w:rsidR="00AF24B5" w:rsidRPr="003A1D53" w:rsidRDefault="0048539E" w:rsidP="005B22B2">
      <w:pPr>
        <w:spacing w:after="0" w:line="240" w:lineRule="auto"/>
        <w:jc w:val="both"/>
        <w:rPr>
          <w:rFonts w:ascii="Times New Roman" w:hAnsi="Times New Roman"/>
          <w:bCs/>
          <w:sz w:val="24"/>
          <w:szCs w:val="24"/>
        </w:rPr>
      </w:pPr>
      <w:r w:rsidRPr="003A1D53">
        <w:rPr>
          <w:rFonts w:ascii="Times New Roman" w:hAnsi="Times New Roman"/>
          <w:bCs/>
          <w:sz w:val="24"/>
          <w:szCs w:val="24"/>
        </w:rPr>
        <w:t>1</w:t>
      </w:r>
      <w:r w:rsidR="00D5438C" w:rsidRPr="003A1D53">
        <w:rPr>
          <w:rFonts w:ascii="Times New Roman" w:hAnsi="Times New Roman"/>
          <w:bCs/>
          <w:sz w:val="24"/>
          <w:szCs w:val="24"/>
        </w:rPr>
        <w:t>33</w:t>
      </w:r>
      <w:r w:rsidR="00836832" w:rsidRPr="003A1D53">
        <w:rPr>
          <w:rFonts w:ascii="Times New Roman" w:hAnsi="Times New Roman"/>
          <w:bCs/>
          <w:sz w:val="24"/>
          <w:szCs w:val="24"/>
        </w:rPr>
        <w:t>.</w:t>
      </w:r>
      <w:r w:rsidR="00836832" w:rsidRPr="003A1D53">
        <w:rPr>
          <w:rFonts w:ascii="Times New Roman" w:hAnsi="Times New Roman"/>
          <w:bCs/>
          <w:sz w:val="24"/>
          <w:szCs w:val="24"/>
        </w:rPr>
        <w:tab/>
        <w:t xml:space="preserve">La résonnance du programme </w:t>
      </w:r>
      <w:r w:rsidR="009178ED" w:rsidRPr="003A1D53">
        <w:rPr>
          <w:rFonts w:ascii="Times New Roman" w:hAnsi="Times New Roman"/>
          <w:bCs/>
          <w:sz w:val="24"/>
          <w:szCs w:val="24"/>
        </w:rPr>
        <w:t xml:space="preserve">sur </w:t>
      </w:r>
      <w:r w:rsidR="00836832" w:rsidRPr="003A1D53">
        <w:rPr>
          <w:rFonts w:ascii="Times New Roman" w:hAnsi="Times New Roman"/>
          <w:bCs/>
          <w:sz w:val="24"/>
          <w:szCs w:val="24"/>
        </w:rPr>
        <w:t>la problématique</w:t>
      </w:r>
      <w:r w:rsidR="002D48B0" w:rsidRPr="003A1D53">
        <w:rPr>
          <w:rFonts w:ascii="Times New Roman" w:hAnsi="Times New Roman"/>
          <w:bCs/>
          <w:sz w:val="24"/>
          <w:szCs w:val="24"/>
        </w:rPr>
        <w:t xml:space="preserve"> </w:t>
      </w:r>
      <w:r w:rsidR="00AF24B5" w:rsidRPr="003A1D53">
        <w:rPr>
          <w:rFonts w:ascii="Times New Roman" w:hAnsi="Times New Roman"/>
          <w:bCs/>
          <w:sz w:val="24"/>
          <w:szCs w:val="24"/>
        </w:rPr>
        <w:t xml:space="preserve">ne reflète heureusement pas systématiquement les lacunes ci-dessus. </w:t>
      </w:r>
      <w:r w:rsidR="00872EB4" w:rsidRPr="003A1D53">
        <w:rPr>
          <w:rFonts w:ascii="Times New Roman" w:hAnsi="Times New Roman"/>
          <w:bCs/>
          <w:sz w:val="24"/>
          <w:szCs w:val="24"/>
        </w:rPr>
        <w:t xml:space="preserve">Bien </w:t>
      </w:r>
      <w:r w:rsidR="00C84296" w:rsidRPr="003A1D53">
        <w:rPr>
          <w:rFonts w:ascii="Times New Roman" w:hAnsi="Times New Roman"/>
          <w:bCs/>
          <w:sz w:val="24"/>
          <w:szCs w:val="24"/>
        </w:rPr>
        <w:t>d</w:t>
      </w:r>
      <w:r w:rsidR="00872EB4" w:rsidRPr="003A1D53">
        <w:rPr>
          <w:rFonts w:ascii="Times New Roman" w:hAnsi="Times New Roman"/>
          <w:bCs/>
          <w:sz w:val="24"/>
          <w:szCs w:val="24"/>
        </w:rPr>
        <w:t xml:space="preserve">es segments d’activités </w:t>
      </w:r>
      <w:r w:rsidR="00AF24B5" w:rsidRPr="003A1D53">
        <w:rPr>
          <w:rFonts w:ascii="Times New Roman" w:hAnsi="Times New Roman"/>
          <w:bCs/>
          <w:sz w:val="24"/>
          <w:szCs w:val="24"/>
        </w:rPr>
        <w:t xml:space="preserve">montrent même un </w:t>
      </w:r>
      <w:r w:rsidR="00AF24B5" w:rsidRPr="003A1D53">
        <w:rPr>
          <w:rFonts w:ascii="Times New Roman" w:hAnsi="Times New Roman"/>
          <w:bCs/>
          <w:sz w:val="24"/>
          <w:szCs w:val="24"/>
        </w:rPr>
        <w:lastRenderedPageBreak/>
        <w:t xml:space="preserve">tropisme </w:t>
      </w:r>
      <w:r w:rsidR="00C84296" w:rsidRPr="003A1D53">
        <w:rPr>
          <w:rFonts w:ascii="Times New Roman" w:hAnsi="Times New Roman"/>
          <w:bCs/>
          <w:sz w:val="24"/>
          <w:szCs w:val="24"/>
        </w:rPr>
        <w:t xml:space="preserve">élevé en faveur du </w:t>
      </w:r>
      <w:r w:rsidR="00AF24B5" w:rsidRPr="003A1D53">
        <w:rPr>
          <w:rFonts w:ascii="Times New Roman" w:hAnsi="Times New Roman"/>
          <w:bCs/>
          <w:sz w:val="24"/>
          <w:szCs w:val="24"/>
        </w:rPr>
        <w:t>genre. En matière de résilience et de relèvement économique et social à la base, les femmes sont souvent bénéficiaires principales des interventions</w:t>
      </w:r>
      <w:r w:rsidR="00872EB4" w:rsidRPr="003A1D53">
        <w:rPr>
          <w:rFonts w:ascii="Times New Roman" w:hAnsi="Times New Roman"/>
          <w:bCs/>
          <w:sz w:val="24"/>
          <w:szCs w:val="24"/>
        </w:rPr>
        <w:t xml:space="preserve">. </w:t>
      </w:r>
      <w:r w:rsidR="00AF24B5" w:rsidRPr="003A1D53">
        <w:rPr>
          <w:rFonts w:ascii="Times New Roman" w:hAnsi="Times New Roman"/>
          <w:bCs/>
          <w:sz w:val="24"/>
          <w:szCs w:val="24"/>
        </w:rPr>
        <w:t>Les activités génératrices de revenus leur profitent essentiellement, au côté de la cible jeune, dont une partie importante est aussi féminine. Les renforcements de capacités articulés autour des stratégie</w:t>
      </w:r>
      <w:r w:rsidR="00C84296" w:rsidRPr="003A1D53">
        <w:rPr>
          <w:rFonts w:ascii="Times New Roman" w:hAnsi="Times New Roman"/>
          <w:bCs/>
          <w:sz w:val="24"/>
          <w:szCs w:val="24"/>
        </w:rPr>
        <w:t xml:space="preserve">s de résilience leur profitent </w:t>
      </w:r>
      <w:r w:rsidR="00AF24B5" w:rsidRPr="003A1D53">
        <w:rPr>
          <w:rFonts w:ascii="Times New Roman" w:hAnsi="Times New Roman"/>
          <w:bCs/>
          <w:sz w:val="24"/>
          <w:szCs w:val="24"/>
        </w:rPr>
        <w:t>d</w:t>
      </w:r>
      <w:r w:rsidR="00C84296" w:rsidRPr="003A1D53">
        <w:rPr>
          <w:rFonts w:ascii="Times New Roman" w:hAnsi="Times New Roman"/>
          <w:bCs/>
          <w:sz w:val="24"/>
          <w:szCs w:val="24"/>
        </w:rPr>
        <w:t>ans une grande mesure</w:t>
      </w:r>
      <w:r w:rsidR="00AF24B5" w:rsidRPr="003A1D53">
        <w:rPr>
          <w:rFonts w:ascii="Times New Roman" w:hAnsi="Times New Roman"/>
          <w:bCs/>
          <w:sz w:val="24"/>
          <w:szCs w:val="24"/>
        </w:rPr>
        <w:t>.</w:t>
      </w:r>
      <w:r w:rsidR="00872EB4" w:rsidRPr="003A1D53">
        <w:rPr>
          <w:rFonts w:ascii="Times New Roman" w:hAnsi="Times New Roman"/>
          <w:bCs/>
          <w:sz w:val="24"/>
          <w:szCs w:val="24"/>
        </w:rPr>
        <w:t xml:space="preserve"> Dans le domaine de la </w:t>
      </w:r>
      <w:r w:rsidR="00AF24B5" w:rsidRPr="003A1D53">
        <w:rPr>
          <w:rFonts w:ascii="Times New Roman" w:hAnsi="Times New Roman"/>
          <w:bCs/>
          <w:sz w:val="24"/>
          <w:szCs w:val="24"/>
        </w:rPr>
        <w:t>promotion des droits</w:t>
      </w:r>
      <w:r w:rsidR="00872EB4" w:rsidRPr="003A1D53">
        <w:rPr>
          <w:rFonts w:ascii="Times New Roman" w:hAnsi="Times New Roman"/>
          <w:bCs/>
          <w:sz w:val="24"/>
          <w:szCs w:val="24"/>
        </w:rPr>
        <w:t xml:space="preserve">, </w:t>
      </w:r>
      <w:r w:rsidR="00AF24B5" w:rsidRPr="003A1D53">
        <w:rPr>
          <w:rFonts w:ascii="Times New Roman" w:hAnsi="Times New Roman"/>
          <w:bCs/>
          <w:sz w:val="24"/>
          <w:szCs w:val="24"/>
        </w:rPr>
        <w:t xml:space="preserve">la lutte contre les violences basées sur le genre, touchent </w:t>
      </w:r>
      <w:r w:rsidR="00872EB4" w:rsidRPr="003A1D53">
        <w:rPr>
          <w:rFonts w:ascii="Times New Roman" w:hAnsi="Times New Roman"/>
          <w:bCs/>
          <w:sz w:val="24"/>
          <w:szCs w:val="24"/>
        </w:rPr>
        <w:t>spécifiquement</w:t>
      </w:r>
      <w:r w:rsidR="00C84296" w:rsidRPr="003A1D53">
        <w:rPr>
          <w:rFonts w:ascii="Times New Roman" w:hAnsi="Times New Roman"/>
          <w:bCs/>
          <w:sz w:val="24"/>
          <w:szCs w:val="24"/>
        </w:rPr>
        <w:t xml:space="preserve"> </w:t>
      </w:r>
      <w:r w:rsidR="00872EB4" w:rsidRPr="003A1D53">
        <w:rPr>
          <w:rFonts w:ascii="Times New Roman" w:hAnsi="Times New Roman"/>
          <w:bCs/>
          <w:sz w:val="24"/>
          <w:szCs w:val="24"/>
        </w:rPr>
        <w:t>les femmes</w:t>
      </w:r>
      <w:r w:rsidR="00AF24B5" w:rsidRPr="003A1D53">
        <w:rPr>
          <w:rFonts w:ascii="Times New Roman" w:hAnsi="Times New Roman"/>
          <w:bCs/>
          <w:sz w:val="24"/>
          <w:szCs w:val="24"/>
        </w:rPr>
        <w:t>. Enf</w:t>
      </w:r>
      <w:r w:rsidR="00872EB4" w:rsidRPr="003A1D53">
        <w:rPr>
          <w:rFonts w:ascii="Times New Roman" w:hAnsi="Times New Roman"/>
          <w:bCs/>
          <w:sz w:val="24"/>
          <w:szCs w:val="24"/>
        </w:rPr>
        <w:t xml:space="preserve">in, en matière de santé aussi, des stratégies de grande inclusion développées </w:t>
      </w:r>
      <w:r w:rsidR="00836832" w:rsidRPr="003A1D53">
        <w:rPr>
          <w:rFonts w:ascii="Times New Roman" w:hAnsi="Times New Roman"/>
          <w:bCs/>
          <w:sz w:val="24"/>
          <w:szCs w:val="24"/>
        </w:rPr>
        <w:t>par les agences ayant un mandat de santé</w:t>
      </w:r>
      <w:r w:rsidR="00C84296" w:rsidRPr="003A1D53">
        <w:rPr>
          <w:rFonts w:ascii="Times New Roman" w:hAnsi="Times New Roman"/>
          <w:bCs/>
          <w:sz w:val="24"/>
          <w:szCs w:val="24"/>
        </w:rPr>
        <w:t>,</w:t>
      </w:r>
      <w:r w:rsidR="00836832" w:rsidRPr="003A1D53">
        <w:rPr>
          <w:rFonts w:ascii="Times New Roman" w:hAnsi="Times New Roman"/>
          <w:bCs/>
          <w:sz w:val="24"/>
          <w:szCs w:val="24"/>
        </w:rPr>
        <w:t xml:space="preserve"> touchent massivement les femmes</w:t>
      </w:r>
      <w:r w:rsidR="002D48B0" w:rsidRPr="003A1D53">
        <w:rPr>
          <w:rFonts w:ascii="Times New Roman" w:hAnsi="Times New Roman"/>
          <w:bCs/>
          <w:sz w:val="24"/>
          <w:szCs w:val="24"/>
        </w:rPr>
        <w:t xml:space="preserve">. </w:t>
      </w:r>
      <w:r w:rsidR="00C84296" w:rsidRPr="003A1D53">
        <w:rPr>
          <w:rFonts w:ascii="Times New Roman" w:hAnsi="Times New Roman"/>
          <w:bCs/>
          <w:sz w:val="24"/>
          <w:szCs w:val="24"/>
        </w:rPr>
        <w:t>Les tableaux 13 et suivants valant cadre de revue de performance font aussi le point sur les cibles féminines concernés par les différents produits, lorsque l’information est collectée.</w:t>
      </w:r>
    </w:p>
    <w:p w14:paraId="604B524C" w14:textId="77777777" w:rsidR="00A738CD" w:rsidRPr="003A1D53" w:rsidRDefault="00A738CD" w:rsidP="005B22B2">
      <w:pPr>
        <w:spacing w:after="0" w:line="240" w:lineRule="auto"/>
        <w:jc w:val="both"/>
        <w:rPr>
          <w:rFonts w:ascii="Times New Roman" w:hAnsi="Times New Roman"/>
          <w:bCs/>
          <w:sz w:val="24"/>
          <w:szCs w:val="24"/>
        </w:rPr>
      </w:pPr>
    </w:p>
    <w:p w14:paraId="604B524D" w14:textId="77777777" w:rsidR="00A738CD" w:rsidRPr="003A1D53" w:rsidRDefault="00D5438C" w:rsidP="005B22B2">
      <w:pPr>
        <w:spacing w:after="0" w:line="240" w:lineRule="auto"/>
        <w:jc w:val="both"/>
        <w:rPr>
          <w:rFonts w:ascii="Times New Roman" w:hAnsi="Times New Roman"/>
          <w:sz w:val="24"/>
          <w:szCs w:val="24"/>
        </w:rPr>
      </w:pPr>
      <w:r w:rsidRPr="003A1D53">
        <w:rPr>
          <w:rFonts w:ascii="Times New Roman" w:hAnsi="Times New Roman"/>
          <w:bCs/>
          <w:sz w:val="24"/>
          <w:szCs w:val="24"/>
        </w:rPr>
        <w:t>134</w:t>
      </w:r>
      <w:r w:rsidR="00A738CD" w:rsidRPr="003A1D53">
        <w:rPr>
          <w:rFonts w:ascii="Times New Roman" w:hAnsi="Times New Roman"/>
          <w:bCs/>
          <w:sz w:val="24"/>
          <w:szCs w:val="24"/>
        </w:rPr>
        <w:t>.</w:t>
      </w:r>
      <w:r w:rsidR="00A738CD" w:rsidRPr="003A1D53">
        <w:rPr>
          <w:rFonts w:ascii="Times New Roman" w:hAnsi="Times New Roman"/>
          <w:bCs/>
          <w:sz w:val="24"/>
          <w:szCs w:val="24"/>
        </w:rPr>
        <w:tab/>
        <w:t xml:space="preserve">Cependant tous ces impacts féminins sont moins le fait d’un ciblage stratégique que le programme n’a pas pu faire, que la résultante du positionnement économique et sociologique des femmes dans les sociétés maliennes. </w:t>
      </w:r>
      <w:r w:rsidR="00A738CD" w:rsidRPr="003A1D53">
        <w:rPr>
          <w:rFonts w:ascii="Times New Roman" w:hAnsi="Times New Roman"/>
          <w:sz w:val="24"/>
          <w:szCs w:val="24"/>
        </w:rPr>
        <w:t>Or même si les femmes sont fortement représentées parmi les bénéficiaires des outils de développement mis en place par le programme, cela ne les met pas forcément dans des positions de leadership</w:t>
      </w:r>
      <w:r w:rsidR="000E103B" w:rsidRPr="003A1D53">
        <w:rPr>
          <w:rFonts w:ascii="Times New Roman" w:hAnsi="Times New Roman"/>
          <w:sz w:val="24"/>
          <w:szCs w:val="24"/>
        </w:rPr>
        <w:t>,</w:t>
      </w:r>
      <w:r w:rsidR="00A738CD" w:rsidRPr="003A1D53">
        <w:rPr>
          <w:rFonts w:ascii="Times New Roman" w:hAnsi="Times New Roman"/>
          <w:sz w:val="24"/>
          <w:szCs w:val="24"/>
        </w:rPr>
        <w:t xml:space="preserve"> </w:t>
      </w:r>
      <w:r w:rsidR="000E103B" w:rsidRPr="003A1D53">
        <w:rPr>
          <w:rFonts w:ascii="Times New Roman" w:hAnsi="Times New Roman"/>
          <w:sz w:val="24"/>
          <w:szCs w:val="24"/>
        </w:rPr>
        <w:t xml:space="preserve">ou même d’autonomie, </w:t>
      </w:r>
      <w:r w:rsidR="00A738CD" w:rsidRPr="003A1D53">
        <w:rPr>
          <w:rFonts w:ascii="Times New Roman" w:hAnsi="Times New Roman"/>
          <w:sz w:val="24"/>
          <w:szCs w:val="24"/>
        </w:rPr>
        <w:t xml:space="preserve">au sein des superstructures sociales qui organisent et gèrent leur environnement de cibles. Le fait est donc que même en présence de </w:t>
      </w:r>
      <w:r w:rsidR="000E103B" w:rsidRPr="003A1D53">
        <w:rPr>
          <w:rFonts w:ascii="Times New Roman" w:hAnsi="Times New Roman"/>
          <w:sz w:val="24"/>
          <w:szCs w:val="24"/>
        </w:rPr>
        <w:t>bénéficiaires</w:t>
      </w:r>
      <w:r w:rsidR="00A738CD" w:rsidRPr="003A1D53">
        <w:rPr>
          <w:rFonts w:ascii="Times New Roman" w:hAnsi="Times New Roman"/>
          <w:sz w:val="24"/>
          <w:szCs w:val="24"/>
        </w:rPr>
        <w:t xml:space="preserve"> massivement féminines, il y a malgré tout </w:t>
      </w:r>
      <w:r w:rsidR="000E103B" w:rsidRPr="003A1D53">
        <w:rPr>
          <w:rFonts w:ascii="Times New Roman" w:hAnsi="Times New Roman"/>
          <w:sz w:val="24"/>
          <w:szCs w:val="24"/>
        </w:rPr>
        <w:t xml:space="preserve">besoin </w:t>
      </w:r>
      <w:r w:rsidR="00A738CD" w:rsidRPr="003A1D53">
        <w:rPr>
          <w:rFonts w:ascii="Times New Roman" w:hAnsi="Times New Roman"/>
          <w:sz w:val="24"/>
          <w:szCs w:val="24"/>
        </w:rPr>
        <w:t xml:space="preserve">de </w:t>
      </w:r>
      <w:r w:rsidR="000E103B" w:rsidRPr="003A1D53">
        <w:rPr>
          <w:rFonts w:ascii="Times New Roman" w:hAnsi="Times New Roman"/>
          <w:sz w:val="24"/>
          <w:szCs w:val="24"/>
        </w:rPr>
        <w:t>bâtir</w:t>
      </w:r>
      <w:r w:rsidR="00A738CD" w:rsidRPr="003A1D53">
        <w:rPr>
          <w:rFonts w:ascii="Times New Roman" w:hAnsi="Times New Roman"/>
          <w:sz w:val="24"/>
          <w:szCs w:val="24"/>
        </w:rPr>
        <w:t xml:space="preserve"> les stratégies appropriées pour identifier et prendre en charge les questions genre qui vont bien au-delà de l’inclusion formelle.</w:t>
      </w:r>
    </w:p>
    <w:p w14:paraId="604B524E" w14:textId="77777777" w:rsidR="00A738CD" w:rsidRPr="003A1D53" w:rsidRDefault="00A738CD" w:rsidP="005B22B2">
      <w:pPr>
        <w:spacing w:after="0" w:line="240" w:lineRule="auto"/>
        <w:jc w:val="both"/>
        <w:rPr>
          <w:rFonts w:ascii="Times New Roman" w:hAnsi="Times New Roman"/>
          <w:sz w:val="24"/>
          <w:szCs w:val="24"/>
        </w:rPr>
      </w:pPr>
    </w:p>
    <w:p w14:paraId="604B524F" w14:textId="77777777" w:rsidR="00A738CD" w:rsidRPr="003A1D53" w:rsidRDefault="00D5438C" w:rsidP="005B22B2">
      <w:pPr>
        <w:spacing w:after="0" w:line="240" w:lineRule="auto"/>
        <w:jc w:val="both"/>
        <w:rPr>
          <w:rFonts w:ascii="Times New Roman" w:hAnsi="Times New Roman"/>
          <w:bCs/>
          <w:sz w:val="24"/>
          <w:szCs w:val="24"/>
        </w:rPr>
      </w:pPr>
      <w:r w:rsidRPr="003A1D53">
        <w:rPr>
          <w:rFonts w:ascii="Times New Roman" w:hAnsi="Times New Roman"/>
          <w:sz w:val="24"/>
          <w:szCs w:val="24"/>
        </w:rPr>
        <w:t>135</w:t>
      </w:r>
      <w:r w:rsidR="0048539E" w:rsidRPr="003A1D53">
        <w:rPr>
          <w:rFonts w:ascii="Times New Roman" w:hAnsi="Times New Roman"/>
          <w:sz w:val="24"/>
          <w:szCs w:val="24"/>
        </w:rPr>
        <w:t>.</w:t>
      </w:r>
      <w:r w:rsidR="00A738CD" w:rsidRPr="003A1D53">
        <w:rPr>
          <w:rFonts w:ascii="Times New Roman" w:hAnsi="Times New Roman"/>
          <w:sz w:val="24"/>
          <w:szCs w:val="24"/>
        </w:rPr>
        <w:tab/>
        <w:t xml:space="preserve">La difficulté à construire de telles stratégies dans la matrice logique </w:t>
      </w:r>
      <w:r w:rsidR="000E103B" w:rsidRPr="003A1D53">
        <w:rPr>
          <w:rFonts w:ascii="Times New Roman" w:hAnsi="Times New Roman"/>
          <w:sz w:val="24"/>
          <w:szCs w:val="24"/>
        </w:rPr>
        <w:t>du programme</w:t>
      </w:r>
      <w:r w:rsidR="00A738CD" w:rsidRPr="003A1D53">
        <w:rPr>
          <w:rFonts w:ascii="Times New Roman" w:hAnsi="Times New Roman"/>
          <w:sz w:val="24"/>
          <w:szCs w:val="24"/>
        </w:rPr>
        <w:t xml:space="preserve"> venait sans d</w:t>
      </w:r>
      <w:r w:rsidR="000E103B" w:rsidRPr="003A1D53">
        <w:rPr>
          <w:rFonts w:ascii="Times New Roman" w:hAnsi="Times New Roman"/>
          <w:sz w:val="24"/>
          <w:szCs w:val="24"/>
        </w:rPr>
        <w:t>oute d</w:t>
      </w:r>
      <w:r w:rsidR="00A738CD" w:rsidRPr="003A1D53">
        <w:rPr>
          <w:rFonts w:ascii="Times New Roman" w:hAnsi="Times New Roman"/>
          <w:sz w:val="24"/>
          <w:szCs w:val="24"/>
        </w:rPr>
        <w:t>e la faiblesse des analyses pré</w:t>
      </w:r>
      <w:r w:rsidR="000E103B" w:rsidRPr="003A1D53">
        <w:rPr>
          <w:rFonts w:ascii="Times New Roman" w:hAnsi="Times New Roman"/>
          <w:sz w:val="24"/>
          <w:szCs w:val="24"/>
        </w:rPr>
        <w:t>alables</w:t>
      </w:r>
      <w:r w:rsidR="00A738CD" w:rsidRPr="003A1D53">
        <w:rPr>
          <w:rFonts w:ascii="Times New Roman" w:hAnsi="Times New Roman"/>
          <w:sz w:val="24"/>
          <w:szCs w:val="24"/>
        </w:rPr>
        <w:t>. Pour touc</w:t>
      </w:r>
      <w:r w:rsidR="000E103B" w:rsidRPr="003A1D53">
        <w:rPr>
          <w:rFonts w:ascii="Times New Roman" w:hAnsi="Times New Roman"/>
          <w:sz w:val="24"/>
          <w:szCs w:val="24"/>
        </w:rPr>
        <w:t>her à des moyens d’intervention</w:t>
      </w:r>
      <w:r w:rsidR="00A738CD" w:rsidRPr="003A1D53">
        <w:rPr>
          <w:rFonts w:ascii="Times New Roman" w:hAnsi="Times New Roman"/>
          <w:sz w:val="24"/>
          <w:szCs w:val="24"/>
        </w:rPr>
        <w:t xml:space="preserve"> perti</w:t>
      </w:r>
      <w:r w:rsidR="00647556" w:rsidRPr="003A1D53">
        <w:rPr>
          <w:rFonts w:ascii="Times New Roman" w:hAnsi="Times New Roman"/>
          <w:sz w:val="24"/>
          <w:szCs w:val="24"/>
        </w:rPr>
        <w:t>n</w:t>
      </w:r>
      <w:r w:rsidR="00A738CD" w:rsidRPr="003A1D53">
        <w:rPr>
          <w:rFonts w:ascii="Times New Roman" w:hAnsi="Times New Roman"/>
          <w:sz w:val="24"/>
          <w:szCs w:val="24"/>
        </w:rPr>
        <w:t>ents</w:t>
      </w:r>
      <w:r w:rsidR="000E103B" w:rsidRPr="003A1D53">
        <w:rPr>
          <w:rFonts w:ascii="Times New Roman" w:hAnsi="Times New Roman"/>
          <w:sz w:val="24"/>
          <w:szCs w:val="24"/>
        </w:rPr>
        <w:t>,</w:t>
      </w:r>
      <w:r w:rsidR="00A738CD" w:rsidRPr="003A1D53">
        <w:rPr>
          <w:rFonts w:ascii="Times New Roman" w:hAnsi="Times New Roman"/>
          <w:sz w:val="24"/>
          <w:szCs w:val="24"/>
        </w:rPr>
        <w:t xml:space="preserve"> il faut d’abord partir d’une analyse situationnelle robuste pour faire voir les nœuds de problèmes et les leviers sur lesquel</w:t>
      </w:r>
      <w:r w:rsidR="00647556" w:rsidRPr="003A1D53">
        <w:rPr>
          <w:rFonts w:ascii="Times New Roman" w:hAnsi="Times New Roman"/>
          <w:sz w:val="24"/>
          <w:szCs w:val="24"/>
        </w:rPr>
        <w:t>s</w:t>
      </w:r>
      <w:r w:rsidR="00A738CD" w:rsidRPr="003A1D53">
        <w:rPr>
          <w:rFonts w:ascii="Times New Roman" w:hAnsi="Times New Roman"/>
          <w:sz w:val="24"/>
          <w:szCs w:val="24"/>
        </w:rPr>
        <w:t xml:space="preserve"> il </w:t>
      </w:r>
      <w:r w:rsidR="000E103B" w:rsidRPr="003A1D53">
        <w:rPr>
          <w:rFonts w:ascii="Times New Roman" w:hAnsi="Times New Roman"/>
          <w:sz w:val="24"/>
          <w:szCs w:val="24"/>
        </w:rPr>
        <w:t xml:space="preserve">y a lieu </w:t>
      </w:r>
      <w:r w:rsidR="00A738CD" w:rsidRPr="003A1D53">
        <w:rPr>
          <w:rFonts w:ascii="Times New Roman" w:hAnsi="Times New Roman"/>
          <w:sz w:val="24"/>
          <w:szCs w:val="24"/>
        </w:rPr>
        <w:t>d’articuler de l’action. Cette séquence d’analyse sur le genre a fait défaut au moment de l’élaboration du document.</w:t>
      </w:r>
      <w:r w:rsidR="00647556" w:rsidRPr="003A1D53">
        <w:rPr>
          <w:rFonts w:ascii="Times New Roman" w:hAnsi="Times New Roman"/>
          <w:sz w:val="24"/>
          <w:szCs w:val="24"/>
        </w:rPr>
        <w:t xml:space="preserve"> Le système a lui-même vu cette limite et tenté de la juguler en élaborant une stratégie interne en faveur du genre. Des études thématiques sont venues également renforcer progressivement la préhension de la dimension genre dans l’environnement national, y compris dans les ressorts </w:t>
      </w:r>
      <w:r w:rsidR="000E103B" w:rsidRPr="003A1D53">
        <w:rPr>
          <w:rFonts w:ascii="Times New Roman" w:hAnsi="Times New Roman"/>
          <w:sz w:val="24"/>
          <w:szCs w:val="24"/>
        </w:rPr>
        <w:t xml:space="preserve">des acteurs </w:t>
      </w:r>
      <w:r w:rsidR="00647556" w:rsidRPr="003A1D53">
        <w:rPr>
          <w:rFonts w:ascii="Times New Roman" w:hAnsi="Times New Roman"/>
          <w:sz w:val="24"/>
          <w:szCs w:val="24"/>
        </w:rPr>
        <w:t xml:space="preserve">du conflit. </w:t>
      </w:r>
      <w:r w:rsidR="000E103B" w:rsidRPr="003A1D53">
        <w:rPr>
          <w:rFonts w:ascii="Times New Roman" w:hAnsi="Times New Roman"/>
          <w:sz w:val="24"/>
          <w:szCs w:val="24"/>
        </w:rPr>
        <w:t xml:space="preserve">Des </w:t>
      </w:r>
      <w:r w:rsidR="00647556" w:rsidRPr="003A1D53">
        <w:rPr>
          <w:rFonts w:ascii="Times New Roman" w:hAnsi="Times New Roman"/>
          <w:sz w:val="24"/>
          <w:szCs w:val="24"/>
        </w:rPr>
        <w:t xml:space="preserve">études de motivation sur l’extrêmise radical, </w:t>
      </w:r>
      <w:r w:rsidR="000E103B" w:rsidRPr="003A1D53">
        <w:rPr>
          <w:rFonts w:ascii="Times New Roman" w:hAnsi="Times New Roman"/>
          <w:sz w:val="24"/>
          <w:szCs w:val="24"/>
        </w:rPr>
        <w:t xml:space="preserve">ont montré </w:t>
      </w:r>
      <w:r w:rsidR="00647556" w:rsidRPr="003A1D53">
        <w:rPr>
          <w:rFonts w:ascii="Times New Roman" w:hAnsi="Times New Roman"/>
          <w:sz w:val="24"/>
          <w:szCs w:val="24"/>
        </w:rPr>
        <w:t>qu</w:t>
      </w:r>
      <w:r w:rsidR="000E103B" w:rsidRPr="003A1D53">
        <w:rPr>
          <w:rFonts w:ascii="Times New Roman" w:hAnsi="Times New Roman"/>
          <w:sz w:val="24"/>
          <w:szCs w:val="24"/>
        </w:rPr>
        <w:t xml:space="preserve">e </w:t>
      </w:r>
      <w:r w:rsidR="00647556" w:rsidRPr="003A1D53">
        <w:rPr>
          <w:rFonts w:ascii="Times New Roman" w:hAnsi="Times New Roman"/>
          <w:sz w:val="24"/>
          <w:szCs w:val="24"/>
        </w:rPr>
        <w:t xml:space="preserve">l’influence </w:t>
      </w:r>
      <w:r w:rsidR="000E103B" w:rsidRPr="003A1D53">
        <w:rPr>
          <w:rFonts w:ascii="Times New Roman" w:hAnsi="Times New Roman"/>
          <w:sz w:val="24"/>
          <w:szCs w:val="24"/>
        </w:rPr>
        <w:t xml:space="preserve">de </w:t>
      </w:r>
      <w:r w:rsidR="00647556" w:rsidRPr="003A1D53">
        <w:rPr>
          <w:rFonts w:ascii="Times New Roman" w:hAnsi="Times New Roman"/>
          <w:sz w:val="24"/>
          <w:szCs w:val="24"/>
        </w:rPr>
        <w:t>la mère et celle la sœur</w:t>
      </w:r>
      <w:r w:rsidR="000E103B" w:rsidRPr="003A1D53">
        <w:rPr>
          <w:rFonts w:ascii="Times New Roman" w:hAnsi="Times New Roman"/>
          <w:sz w:val="24"/>
          <w:szCs w:val="24"/>
        </w:rPr>
        <w:t xml:space="preserve">, jouaient un rôle important dans la radicalisation des jeunes. </w:t>
      </w:r>
      <w:r w:rsidR="00647556" w:rsidRPr="003A1D53">
        <w:rPr>
          <w:rFonts w:ascii="Times New Roman" w:hAnsi="Times New Roman"/>
          <w:sz w:val="24"/>
          <w:szCs w:val="24"/>
        </w:rPr>
        <w:t xml:space="preserve">Ces ressorts et quelques autres liés au positionnement même des femmes dans le conflit, </w:t>
      </w:r>
      <w:r w:rsidR="000E103B" w:rsidRPr="003A1D53">
        <w:rPr>
          <w:rFonts w:ascii="Times New Roman" w:hAnsi="Times New Roman"/>
          <w:sz w:val="24"/>
          <w:szCs w:val="24"/>
        </w:rPr>
        <w:t xml:space="preserve">d’ordinaire </w:t>
      </w:r>
      <w:r w:rsidR="00647556" w:rsidRPr="003A1D53">
        <w:rPr>
          <w:rFonts w:ascii="Times New Roman" w:hAnsi="Times New Roman"/>
          <w:sz w:val="24"/>
          <w:szCs w:val="24"/>
        </w:rPr>
        <w:t xml:space="preserve">plutôt insoupçonnés, n’auraient pas suffisamment été internalisés dans les stratégies de sortie de crise auxquelles le programme est partie prenante.  </w:t>
      </w:r>
    </w:p>
    <w:p w14:paraId="604B5250" w14:textId="77777777" w:rsidR="00A738CD" w:rsidRPr="003A1D53" w:rsidRDefault="00A738CD" w:rsidP="005B22B2">
      <w:pPr>
        <w:spacing w:after="0" w:line="240" w:lineRule="auto"/>
        <w:jc w:val="both"/>
        <w:rPr>
          <w:rFonts w:ascii="Times New Roman" w:hAnsi="Times New Roman"/>
          <w:bCs/>
          <w:sz w:val="24"/>
          <w:szCs w:val="24"/>
        </w:rPr>
      </w:pPr>
    </w:p>
    <w:p w14:paraId="604B5251" w14:textId="77777777" w:rsidR="00A738CD" w:rsidRPr="009927C4" w:rsidRDefault="00D5438C" w:rsidP="005B22B2">
      <w:pPr>
        <w:spacing w:after="0" w:line="240" w:lineRule="auto"/>
        <w:jc w:val="both"/>
        <w:rPr>
          <w:rFonts w:ascii="Times New Roman" w:hAnsi="Times New Roman"/>
          <w:bCs/>
          <w:sz w:val="24"/>
          <w:szCs w:val="24"/>
        </w:rPr>
      </w:pPr>
      <w:r w:rsidRPr="003A1D53">
        <w:rPr>
          <w:rFonts w:ascii="Times New Roman" w:hAnsi="Times New Roman"/>
          <w:bCs/>
          <w:sz w:val="24"/>
          <w:szCs w:val="24"/>
        </w:rPr>
        <w:t>136</w:t>
      </w:r>
      <w:r w:rsidR="0048539E" w:rsidRPr="003A1D53">
        <w:rPr>
          <w:rFonts w:ascii="Times New Roman" w:hAnsi="Times New Roman"/>
          <w:bCs/>
          <w:sz w:val="24"/>
          <w:szCs w:val="24"/>
        </w:rPr>
        <w:t>.</w:t>
      </w:r>
      <w:r w:rsidR="0042070D" w:rsidRPr="003A1D53">
        <w:rPr>
          <w:rFonts w:ascii="Times New Roman" w:hAnsi="Times New Roman"/>
          <w:bCs/>
          <w:sz w:val="24"/>
          <w:szCs w:val="24"/>
        </w:rPr>
        <w:tab/>
        <w:t xml:space="preserve">Pourvu que le bon diagnostic préalable soit réalisé, des solutions </w:t>
      </w:r>
      <w:r w:rsidR="00A738CD" w:rsidRPr="003A1D53">
        <w:rPr>
          <w:rFonts w:ascii="Times New Roman" w:hAnsi="Times New Roman"/>
          <w:bCs/>
          <w:sz w:val="24"/>
          <w:szCs w:val="24"/>
        </w:rPr>
        <w:t xml:space="preserve">innovantes </w:t>
      </w:r>
      <w:r w:rsidR="0042070D" w:rsidRPr="003A1D53">
        <w:rPr>
          <w:rFonts w:ascii="Times New Roman" w:hAnsi="Times New Roman"/>
          <w:bCs/>
          <w:sz w:val="24"/>
          <w:szCs w:val="24"/>
        </w:rPr>
        <w:t xml:space="preserve">peuvent pourtant être trouvées, qui ne </w:t>
      </w:r>
      <w:r w:rsidR="00CF33A0" w:rsidRPr="003A1D53">
        <w:rPr>
          <w:rFonts w:ascii="Times New Roman" w:hAnsi="Times New Roman"/>
          <w:bCs/>
          <w:sz w:val="24"/>
          <w:szCs w:val="24"/>
        </w:rPr>
        <w:t>prennent</w:t>
      </w:r>
      <w:r w:rsidR="00CF33A0">
        <w:rPr>
          <w:rFonts w:ascii="Times New Roman" w:hAnsi="Times New Roman"/>
          <w:bCs/>
          <w:sz w:val="24"/>
          <w:szCs w:val="24"/>
        </w:rPr>
        <w:t xml:space="preserve"> pas </w:t>
      </w:r>
      <w:r w:rsidR="0042070D" w:rsidRPr="009178ED">
        <w:rPr>
          <w:rFonts w:ascii="Times New Roman" w:hAnsi="Times New Roman"/>
          <w:bCs/>
          <w:sz w:val="24"/>
          <w:szCs w:val="24"/>
        </w:rPr>
        <w:t xml:space="preserve">seulement </w:t>
      </w:r>
      <w:r w:rsidR="00CF33A0">
        <w:rPr>
          <w:rFonts w:ascii="Times New Roman" w:hAnsi="Times New Roman"/>
          <w:bCs/>
          <w:sz w:val="24"/>
          <w:szCs w:val="24"/>
        </w:rPr>
        <w:t>en charge la</w:t>
      </w:r>
      <w:r w:rsidR="0042070D" w:rsidRPr="009178ED">
        <w:rPr>
          <w:rFonts w:ascii="Times New Roman" w:hAnsi="Times New Roman"/>
          <w:bCs/>
          <w:sz w:val="24"/>
          <w:szCs w:val="24"/>
        </w:rPr>
        <w:t xml:space="preserve"> représentation </w:t>
      </w:r>
      <w:r w:rsidR="005D2B1B">
        <w:rPr>
          <w:rFonts w:ascii="Times New Roman" w:hAnsi="Times New Roman"/>
          <w:bCs/>
          <w:sz w:val="24"/>
          <w:szCs w:val="24"/>
        </w:rPr>
        <w:t>factuelle</w:t>
      </w:r>
      <w:r w:rsidR="0042070D" w:rsidRPr="009178ED">
        <w:rPr>
          <w:rFonts w:ascii="Times New Roman" w:hAnsi="Times New Roman"/>
          <w:bCs/>
          <w:sz w:val="24"/>
          <w:szCs w:val="24"/>
        </w:rPr>
        <w:t xml:space="preserve"> des femmes dans tel ou tel autre groupe de cibles. Par exemple, </w:t>
      </w:r>
      <w:r w:rsidR="00CF33A0">
        <w:rPr>
          <w:rFonts w:ascii="Times New Roman" w:hAnsi="Times New Roman"/>
          <w:bCs/>
          <w:sz w:val="24"/>
          <w:szCs w:val="24"/>
        </w:rPr>
        <w:t>le Système</w:t>
      </w:r>
      <w:r w:rsidR="0042070D" w:rsidRPr="009178ED">
        <w:rPr>
          <w:rFonts w:ascii="Times New Roman" w:hAnsi="Times New Roman"/>
          <w:bCs/>
          <w:sz w:val="24"/>
          <w:szCs w:val="24"/>
        </w:rPr>
        <w:t xml:space="preserve"> travaille avec le secteur productif national, sur la </w:t>
      </w:r>
      <w:r w:rsidR="00A738CD" w:rsidRPr="009178ED">
        <w:rPr>
          <w:rFonts w:ascii="Times New Roman" w:hAnsi="Times New Roman"/>
          <w:bCs/>
          <w:sz w:val="24"/>
          <w:szCs w:val="24"/>
        </w:rPr>
        <w:t>mise en place d’une certification pro genre pour les produits de consommation</w:t>
      </w:r>
      <w:r w:rsidR="00CF33A0">
        <w:rPr>
          <w:rFonts w:ascii="Times New Roman" w:hAnsi="Times New Roman"/>
          <w:bCs/>
          <w:sz w:val="24"/>
          <w:szCs w:val="24"/>
        </w:rPr>
        <w:t xml:space="preserve"> courante</w:t>
      </w:r>
      <w:r w:rsidR="00A738CD" w:rsidRPr="009178ED">
        <w:rPr>
          <w:rFonts w:ascii="Times New Roman" w:hAnsi="Times New Roman"/>
          <w:bCs/>
          <w:sz w:val="24"/>
          <w:szCs w:val="24"/>
        </w:rPr>
        <w:t xml:space="preserve">, </w:t>
      </w:r>
      <w:r w:rsidR="0042070D" w:rsidRPr="009178ED">
        <w:rPr>
          <w:rFonts w:ascii="Times New Roman" w:hAnsi="Times New Roman"/>
          <w:bCs/>
          <w:sz w:val="24"/>
          <w:szCs w:val="24"/>
        </w:rPr>
        <w:t xml:space="preserve">pour promouvoir </w:t>
      </w:r>
      <w:r w:rsidR="00A738CD" w:rsidRPr="009178ED">
        <w:rPr>
          <w:rFonts w:ascii="Times New Roman" w:hAnsi="Times New Roman"/>
          <w:bCs/>
          <w:sz w:val="24"/>
          <w:szCs w:val="24"/>
        </w:rPr>
        <w:t xml:space="preserve">l’inclusion </w:t>
      </w:r>
      <w:r w:rsidR="0042070D" w:rsidRPr="009178ED">
        <w:rPr>
          <w:rFonts w:ascii="Times New Roman" w:hAnsi="Times New Roman"/>
          <w:bCs/>
          <w:sz w:val="24"/>
          <w:szCs w:val="24"/>
        </w:rPr>
        <w:t xml:space="preserve">et surtout l’entrée en responsabilité des </w:t>
      </w:r>
      <w:r w:rsidR="00A738CD" w:rsidRPr="009178ED">
        <w:rPr>
          <w:rFonts w:ascii="Times New Roman" w:hAnsi="Times New Roman"/>
          <w:bCs/>
          <w:sz w:val="24"/>
          <w:szCs w:val="24"/>
        </w:rPr>
        <w:t>femmes dans les entreprises et autres unités de production de biens et services.</w:t>
      </w:r>
      <w:r w:rsidR="0042070D" w:rsidRPr="009178ED">
        <w:rPr>
          <w:rFonts w:ascii="Times New Roman" w:hAnsi="Times New Roman"/>
          <w:bCs/>
          <w:sz w:val="24"/>
          <w:szCs w:val="24"/>
        </w:rPr>
        <w:t xml:space="preserve"> </w:t>
      </w:r>
      <w:r w:rsidR="00CF33A0">
        <w:rPr>
          <w:rFonts w:ascii="Times New Roman" w:hAnsi="Times New Roman"/>
          <w:bCs/>
          <w:sz w:val="24"/>
          <w:szCs w:val="24"/>
        </w:rPr>
        <w:t>V</w:t>
      </w:r>
      <w:r w:rsidR="0042070D" w:rsidRPr="009178ED">
        <w:rPr>
          <w:rFonts w:ascii="Times New Roman" w:hAnsi="Times New Roman"/>
          <w:bCs/>
          <w:sz w:val="24"/>
          <w:szCs w:val="24"/>
        </w:rPr>
        <w:t>o</w:t>
      </w:r>
      <w:r w:rsidR="00CF33A0">
        <w:rPr>
          <w:rFonts w:ascii="Times New Roman" w:hAnsi="Times New Roman"/>
          <w:bCs/>
          <w:sz w:val="24"/>
          <w:szCs w:val="24"/>
        </w:rPr>
        <w:t>lo</w:t>
      </w:r>
      <w:r w:rsidR="0042070D" w:rsidRPr="009178ED">
        <w:rPr>
          <w:rFonts w:ascii="Times New Roman" w:hAnsi="Times New Roman"/>
          <w:bCs/>
          <w:sz w:val="24"/>
          <w:szCs w:val="24"/>
        </w:rPr>
        <w:t>ntarisme et génie créatif sont nécessaires pour relever les défis du secteur, dans un environnement</w:t>
      </w:r>
      <w:r w:rsidR="00CF33A0">
        <w:rPr>
          <w:rFonts w:ascii="Times New Roman" w:hAnsi="Times New Roman"/>
          <w:bCs/>
          <w:sz w:val="24"/>
          <w:szCs w:val="24"/>
        </w:rPr>
        <w:t xml:space="preserve"> malien</w:t>
      </w:r>
      <w:r w:rsidR="0042070D" w:rsidRPr="009178ED">
        <w:rPr>
          <w:rFonts w:ascii="Times New Roman" w:hAnsi="Times New Roman"/>
          <w:bCs/>
          <w:sz w:val="24"/>
          <w:szCs w:val="24"/>
        </w:rPr>
        <w:t xml:space="preserve"> lourd de ses pesanteurs culturelles et sociologies</w:t>
      </w:r>
      <w:r w:rsidR="00CF33A0">
        <w:rPr>
          <w:rFonts w:ascii="Times New Roman" w:hAnsi="Times New Roman"/>
          <w:bCs/>
          <w:sz w:val="24"/>
          <w:szCs w:val="24"/>
        </w:rPr>
        <w:t xml:space="preserve">. Par exemple, le traitement des violences basées sur le genre </w:t>
      </w:r>
      <w:r w:rsidR="0042070D" w:rsidRPr="009178ED">
        <w:rPr>
          <w:rFonts w:ascii="Times New Roman" w:hAnsi="Times New Roman"/>
          <w:bCs/>
          <w:sz w:val="24"/>
          <w:szCs w:val="24"/>
        </w:rPr>
        <w:t>se complique à mesure que l’âge des victimes descend : la revue des indicateurs a montré que les résultats du programme étaient bons dans la tranche des 14-</w:t>
      </w:r>
      <w:r w:rsidR="00EE58B5" w:rsidRPr="009178ED">
        <w:rPr>
          <w:rFonts w:ascii="Times New Roman" w:hAnsi="Times New Roman"/>
          <w:bCs/>
          <w:sz w:val="24"/>
          <w:szCs w:val="24"/>
        </w:rPr>
        <w:t>49</w:t>
      </w:r>
      <w:r w:rsidR="00CF33A0">
        <w:rPr>
          <w:rFonts w:ascii="Times New Roman" w:hAnsi="Times New Roman"/>
          <w:bCs/>
          <w:sz w:val="24"/>
          <w:szCs w:val="24"/>
        </w:rPr>
        <w:t>,</w:t>
      </w:r>
      <w:r w:rsidR="00EE58B5" w:rsidRPr="009178ED">
        <w:rPr>
          <w:rFonts w:ascii="Times New Roman" w:hAnsi="Times New Roman"/>
          <w:bCs/>
          <w:sz w:val="24"/>
          <w:szCs w:val="24"/>
        </w:rPr>
        <w:t xml:space="preserve"> et mauvais dans la tranche inférieure. Les lignes bougent tout aussi difficilement sur le traitement législatif non </w:t>
      </w:r>
      <w:r w:rsidR="00CF33A0">
        <w:rPr>
          <w:rFonts w:ascii="Times New Roman" w:hAnsi="Times New Roman"/>
          <w:bCs/>
          <w:sz w:val="24"/>
          <w:szCs w:val="24"/>
        </w:rPr>
        <w:t xml:space="preserve">pas </w:t>
      </w:r>
      <w:r w:rsidR="00EE58B5" w:rsidRPr="009178ED">
        <w:rPr>
          <w:rFonts w:ascii="Times New Roman" w:hAnsi="Times New Roman"/>
          <w:bCs/>
          <w:sz w:val="24"/>
          <w:szCs w:val="24"/>
        </w:rPr>
        <w:t>de cette question seulement mais de la problématique du genre plus globalement.</w:t>
      </w:r>
    </w:p>
    <w:p w14:paraId="604B5252" w14:textId="77777777" w:rsidR="00AF24B5" w:rsidRDefault="00AF24B5" w:rsidP="005B22B2">
      <w:pPr>
        <w:spacing w:after="0" w:line="240" w:lineRule="auto"/>
        <w:jc w:val="both"/>
        <w:rPr>
          <w:rFonts w:ascii="Times New Roman" w:hAnsi="Times New Roman"/>
          <w:sz w:val="24"/>
          <w:szCs w:val="24"/>
        </w:rPr>
      </w:pPr>
    </w:p>
    <w:p w14:paraId="604B5253" w14:textId="77777777" w:rsidR="00B30909" w:rsidRPr="003A1D53" w:rsidRDefault="00D5438C" w:rsidP="005B22B2">
      <w:pPr>
        <w:spacing w:after="0" w:line="240" w:lineRule="auto"/>
        <w:jc w:val="both"/>
        <w:rPr>
          <w:rFonts w:ascii="Times New Roman" w:hAnsi="Times New Roman"/>
          <w:sz w:val="24"/>
          <w:szCs w:val="24"/>
        </w:rPr>
      </w:pPr>
      <w:r>
        <w:rPr>
          <w:rFonts w:ascii="Times New Roman" w:hAnsi="Times New Roman"/>
          <w:sz w:val="24"/>
          <w:szCs w:val="24"/>
        </w:rPr>
        <w:lastRenderedPageBreak/>
        <w:t>137</w:t>
      </w:r>
      <w:r w:rsidR="00837111" w:rsidRPr="00766D0D">
        <w:rPr>
          <w:rFonts w:ascii="Times New Roman" w:hAnsi="Times New Roman"/>
          <w:sz w:val="24"/>
          <w:szCs w:val="24"/>
        </w:rPr>
        <w:t>.</w:t>
      </w:r>
      <w:r w:rsidR="00454FDD" w:rsidRPr="00766D0D">
        <w:rPr>
          <w:rFonts w:ascii="Times New Roman" w:hAnsi="Times New Roman"/>
          <w:sz w:val="24"/>
          <w:szCs w:val="24"/>
        </w:rPr>
        <w:tab/>
      </w:r>
      <w:r w:rsidR="00454FDD" w:rsidRPr="00766D0D">
        <w:rPr>
          <w:rFonts w:ascii="Times New Roman" w:hAnsi="Times New Roman"/>
          <w:b/>
          <w:i/>
          <w:sz w:val="24"/>
          <w:szCs w:val="24"/>
        </w:rPr>
        <w:t>Inclusion</w:t>
      </w:r>
      <w:r w:rsidR="00B02613" w:rsidRPr="00766D0D">
        <w:rPr>
          <w:rFonts w:ascii="Times New Roman" w:hAnsi="Times New Roman"/>
          <w:b/>
          <w:i/>
          <w:sz w:val="24"/>
          <w:szCs w:val="24"/>
        </w:rPr>
        <w:t xml:space="preserve">, </w:t>
      </w:r>
      <w:r w:rsidR="00E63443" w:rsidRPr="00766D0D">
        <w:rPr>
          <w:rFonts w:ascii="Times New Roman" w:hAnsi="Times New Roman"/>
          <w:b/>
          <w:i/>
          <w:sz w:val="24"/>
          <w:szCs w:val="24"/>
        </w:rPr>
        <w:t>a</w:t>
      </w:r>
      <w:r w:rsidR="00454FDD" w:rsidRPr="00766D0D">
        <w:rPr>
          <w:rFonts w:ascii="Times New Roman" w:hAnsi="Times New Roman"/>
          <w:b/>
          <w:i/>
          <w:sz w:val="24"/>
          <w:szCs w:val="24"/>
        </w:rPr>
        <w:t>pproche pro-pauvre </w:t>
      </w:r>
      <w:r w:rsidR="006620A9" w:rsidRPr="00766D0D">
        <w:rPr>
          <w:rFonts w:ascii="Times New Roman" w:hAnsi="Times New Roman"/>
          <w:b/>
          <w:i/>
          <w:sz w:val="24"/>
          <w:szCs w:val="24"/>
        </w:rPr>
        <w:t>et droits humains</w:t>
      </w:r>
      <w:r w:rsidR="006620A9" w:rsidRPr="00766D0D">
        <w:rPr>
          <w:rFonts w:ascii="Times New Roman" w:hAnsi="Times New Roman"/>
          <w:sz w:val="24"/>
          <w:szCs w:val="24"/>
        </w:rPr>
        <w:t xml:space="preserve"> </w:t>
      </w:r>
      <w:r w:rsidR="00454FDD" w:rsidRPr="00766D0D">
        <w:rPr>
          <w:rFonts w:ascii="Times New Roman" w:hAnsi="Times New Roman"/>
          <w:sz w:val="24"/>
          <w:szCs w:val="24"/>
        </w:rPr>
        <w:t>: la prise en compte des</w:t>
      </w:r>
      <w:r w:rsidR="00454FDD">
        <w:rPr>
          <w:rFonts w:ascii="Times New Roman" w:hAnsi="Times New Roman"/>
          <w:sz w:val="24"/>
          <w:szCs w:val="24"/>
        </w:rPr>
        <w:t xml:space="preserve"> vulnérable</w:t>
      </w:r>
      <w:r w:rsidR="006620A9">
        <w:rPr>
          <w:rFonts w:ascii="Times New Roman" w:hAnsi="Times New Roman"/>
          <w:sz w:val="24"/>
          <w:szCs w:val="24"/>
        </w:rPr>
        <w:t>s et de leurs droits</w:t>
      </w:r>
      <w:r w:rsidR="00454FDD">
        <w:rPr>
          <w:rFonts w:ascii="Times New Roman" w:hAnsi="Times New Roman"/>
          <w:sz w:val="24"/>
          <w:szCs w:val="24"/>
        </w:rPr>
        <w:t xml:space="preserve"> est un marqueur fort dans la matrice des résultats </w:t>
      </w:r>
      <w:r w:rsidR="00454FDD" w:rsidRPr="003A1D53">
        <w:rPr>
          <w:rFonts w:ascii="Times New Roman" w:hAnsi="Times New Roman"/>
          <w:sz w:val="24"/>
          <w:szCs w:val="24"/>
        </w:rPr>
        <w:t xml:space="preserve">et des ressources, et </w:t>
      </w:r>
      <w:r w:rsidR="00B02613" w:rsidRPr="003A1D53">
        <w:rPr>
          <w:rFonts w:ascii="Times New Roman" w:hAnsi="Times New Roman"/>
          <w:sz w:val="24"/>
          <w:szCs w:val="24"/>
        </w:rPr>
        <w:t xml:space="preserve">connaît </w:t>
      </w:r>
      <w:r w:rsidR="00454FDD" w:rsidRPr="003A1D53">
        <w:rPr>
          <w:rFonts w:ascii="Times New Roman" w:hAnsi="Times New Roman"/>
          <w:sz w:val="24"/>
          <w:szCs w:val="24"/>
        </w:rPr>
        <w:t xml:space="preserve">une expression tangible </w:t>
      </w:r>
      <w:r w:rsidR="00B02613" w:rsidRPr="003A1D53">
        <w:rPr>
          <w:rFonts w:ascii="Times New Roman" w:hAnsi="Times New Roman"/>
          <w:sz w:val="24"/>
          <w:szCs w:val="24"/>
        </w:rPr>
        <w:t xml:space="preserve">dans la mise en œuvre du </w:t>
      </w:r>
      <w:r w:rsidR="00454FDD" w:rsidRPr="003A1D53">
        <w:rPr>
          <w:rFonts w:ascii="Times New Roman" w:hAnsi="Times New Roman"/>
          <w:sz w:val="24"/>
          <w:szCs w:val="24"/>
        </w:rPr>
        <w:t>programme</w:t>
      </w:r>
      <w:r w:rsidR="00B02613" w:rsidRPr="003A1D53">
        <w:rPr>
          <w:rFonts w:ascii="Times New Roman" w:hAnsi="Times New Roman"/>
          <w:sz w:val="24"/>
          <w:szCs w:val="24"/>
        </w:rPr>
        <w:t xml:space="preserve">. </w:t>
      </w:r>
      <w:r w:rsidR="007A52DA" w:rsidRPr="003A1D53">
        <w:rPr>
          <w:rFonts w:ascii="Times New Roman" w:hAnsi="Times New Roman"/>
          <w:sz w:val="24"/>
          <w:szCs w:val="24"/>
        </w:rPr>
        <w:t xml:space="preserve">Deux des </w:t>
      </w:r>
      <w:r w:rsidR="00B30909" w:rsidRPr="003A1D53">
        <w:rPr>
          <w:rFonts w:ascii="Times New Roman" w:hAnsi="Times New Roman"/>
          <w:sz w:val="24"/>
          <w:szCs w:val="24"/>
        </w:rPr>
        <w:t xml:space="preserve">cinq </w:t>
      </w:r>
      <w:r w:rsidR="007A52DA" w:rsidRPr="003A1D53">
        <w:rPr>
          <w:rFonts w:ascii="Times New Roman" w:hAnsi="Times New Roman"/>
          <w:sz w:val="24"/>
          <w:szCs w:val="24"/>
        </w:rPr>
        <w:t>Effets du programme sont explicitement formulés d’une manière sensible au</w:t>
      </w:r>
      <w:r w:rsidR="00B30909" w:rsidRPr="003A1D53">
        <w:rPr>
          <w:rFonts w:ascii="Times New Roman" w:hAnsi="Times New Roman"/>
          <w:sz w:val="24"/>
          <w:szCs w:val="24"/>
        </w:rPr>
        <w:t>x</w:t>
      </w:r>
      <w:r w:rsidR="007A52DA" w:rsidRPr="003A1D53">
        <w:rPr>
          <w:rFonts w:ascii="Times New Roman" w:hAnsi="Times New Roman"/>
          <w:sz w:val="24"/>
          <w:szCs w:val="24"/>
        </w:rPr>
        <w:t xml:space="preserve"> droits humains, cette dimension étant sous-entendue dans le libellé de deux autres, tandis que le cinquième est muet à cet égard. Les groupes vulnérables sont explicitement visés dans deux effets sur cinq, mais potentiellement en mesure d’être impactés par les contenus des trois autres. </w:t>
      </w:r>
      <w:r w:rsidR="00B30909" w:rsidRPr="003A1D53">
        <w:rPr>
          <w:rFonts w:ascii="Times New Roman" w:hAnsi="Times New Roman"/>
          <w:sz w:val="24"/>
          <w:szCs w:val="24"/>
        </w:rPr>
        <w:t>En tout état de cause, la c</w:t>
      </w:r>
      <w:r w:rsidR="00E63443" w:rsidRPr="003A1D53">
        <w:rPr>
          <w:rFonts w:ascii="Times New Roman" w:hAnsi="Times New Roman"/>
          <w:sz w:val="24"/>
          <w:szCs w:val="24"/>
        </w:rPr>
        <w:t xml:space="preserve">haîne des </w:t>
      </w:r>
      <w:r w:rsidR="00B30909" w:rsidRPr="003A1D53">
        <w:rPr>
          <w:rFonts w:ascii="Times New Roman" w:hAnsi="Times New Roman"/>
          <w:sz w:val="24"/>
          <w:szCs w:val="24"/>
        </w:rPr>
        <w:t xml:space="preserve">produits </w:t>
      </w:r>
      <w:r w:rsidR="00E63443" w:rsidRPr="003A1D53">
        <w:rPr>
          <w:rFonts w:ascii="Times New Roman" w:hAnsi="Times New Roman"/>
          <w:sz w:val="24"/>
          <w:szCs w:val="24"/>
        </w:rPr>
        <w:t>fait régulièrement référence aux populations les plus vulnérables</w:t>
      </w:r>
      <w:r w:rsidR="00B30909" w:rsidRPr="003A1D53">
        <w:rPr>
          <w:rFonts w:ascii="Times New Roman" w:hAnsi="Times New Roman"/>
          <w:sz w:val="24"/>
          <w:szCs w:val="24"/>
        </w:rPr>
        <w:t>.</w:t>
      </w:r>
    </w:p>
    <w:p w14:paraId="604B5254" w14:textId="77777777" w:rsidR="00B30909" w:rsidRPr="003A1D53" w:rsidRDefault="00B30909" w:rsidP="005B22B2">
      <w:pPr>
        <w:spacing w:after="0" w:line="240" w:lineRule="auto"/>
        <w:jc w:val="both"/>
        <w:rPr>
          <w:rFonts w:ascii="Times New Roman" w:hAnsi="Times New Roman"/>
          <w:sz w:val="24"/>
          <w:szCs w:val="24"/>
        </w:rPr>
      </w:pPr>
    </w:p>
    <w:p w14:paraId="604B5255" w14:textId="77777777" w:rsidR="0077136E" w:rsidRPr="003A1D53" w:rsidRDefault="00D5438C" w:rsidP="005B22B2">
      <w:pPr>
        <w:spacing w:after="0" w:line="240" w:lineRule="auto"/>
        <w:jc w:val="both"/>
        <w:rPr>
          <w:rFonts w:ascii="Times New Roman" w:hAnsi="Times New Roman"/>
          <w:sz w:val="24"/>
          <w:szCs w:val="24"/>
        </w:rPr>
      </w:pPr>
      <w:r w:rsidRPr="003A1D53">
        <w:rPr>
          <w:rFonts w:ascii="Times New Roman" w:hAnsi="Times New Roman"/>
          <w:sz w:val="24"/>
          <w:szCs w:val="24"/>
        </w:rPr>
        <w:t>138</w:t>
      </w:r>
      <w:r w:rsidR="007E34BC" w:rsidRPr="003A1D53">
        <w:rPr>
          <w:rFonts w:ascii="Times New Roman" w:hAnsi="Times New Roman"/>
          <w:sz w:val="24"/>
          <w:szCs w:val="24"/>
        </w:rPr>
        <w:t>.</w:t>
      </w:r>
      <w:r w:rsidR="00B30909" w:rsidRPr="003A1D53">
        <w:rPr>
          <w:rFonts w:ascii="Times New Roman" w:hAnsi="Times New Roman"/>
          <w:sz w:val="24"/>
          <w:szCs w:val="24"/>
        </w:rPr>
        <w:tab/>
      </w:r>
      <w:r w:rsidR="00B02613" w:rsidRPr="003A1D53">
        <w:rPr>
          <w:rFonts w:ascii="Times New Roman" w:hAnsi="Times New Roman"/>
          <w:sz w:val="24"/>
          <w:szCs w:val="24"/>
        </w:rPr>
        <w:t>Dans la réalité</w:t>
      </w:r>
      <w:r w:rsidR="00B30909" w:rsidRPr="003A1D53">
        <w:rPr>
          <w:rFonts w:ascii="Times New Roman" w:hAnsi="Times New Roman"/>
          <w:sz w:val="24"/>
          <w:szCs w:val="24"/>
        </w:rPr>
        <w:t xml:space="preserve"> du programme aussi</w:t>
      </w:r>
      <w:r w:rsidR="00766D0D" w:rsidRPr="003A1D53">
        <w:rPr>
          <w:rFonts w:ascii="Times New Roman" w:hAnsi="Times New Roman"/>
          <w:sz w:val="24"/>
          <w:szCs w:val="24"/>
        </w:rPr>
        <w:t>,</w:t>
      </w:r>
      <w:r w:rsidR="00B30909" w:rsidRPr="003A1D53">
        <w:rPr>
          <w:rFonts w:ascii="Times New Roman" w:hAnsi="Times New Roman"/>
          <w:sz w:val="24"/>
          <w:szCs w:val="24"/>
        </w:rPr>
        <w:t xml:space="preserve"> les groupes vulnérables </w:t>
      </w:r>
      <w:r w:rsidR="00B02613" w:rsidRPr="003A1D53">
        <w:rPr>
          <w:rFonts w:ascii="Times New Roman" w:hAnsi="Times New Roman"/>
          <w:sz w:val="24"/>
          <w:szCs w:val="24"/>
        </w:rPr>
        <w:t>se</w:t>
      </w:r>
      <w:r w:rsidR="00E63443" w:rsidRPr="003A1D53">
        <w:rPr>
          <w:rFonts w:ascii="Times New Roman" w:hAnsi="Times New Roman"/>
          <w:sz w:val="24"/>
          <w:szCs w:val="24"/>
        </w:rPr>
        <w:t xml:space="preserve"> retrouv</w:t>
      </w:r>
      <w:r w:rsidR="00B02613" w:rsidRPr="003A1D53">
        <w:rPr>
          <w:rFonts w:ascii="Times New Roman" w:hAnsi="Times New Roman"/>
          <w:sz w:val="24"/>
          <w:szCs w:val="24"/>
        </w:rPr>
        <w:t>ent</w:t>
      </w:r>
      <w:r w:rsidR="00E63443" w:rsidRPr="003A1D53">
        <w:rPr>
          <w:rFonts w:ascii="Times New Roman" w:hAnsi="Times New Roman"/>
          <w:sz w:val="24"/>
          <w:szCs w:val="24"/>
        </w:rPr>
        <w:t xml:space="preserve"> au cœur des stratégies déployées par les agences</w:t>
      </w:r>
      <w:r w:rsidR="00766D0D" w:rsidRPr="003A1D53">
        <w:rPr>
          <w:rFonts w:ascii="Times New Roman" w:hAnsi="Times New Roman"/>
          <w:sz w:val="24"/>
          <w:szCs w:val="24"/>
        </w:rPr>
        <w:t xml:space="preserve"> et autres entités</w:t>
      </w:r>
      <w:r w:rsidR="00E63443" w:rsidRPr="003A1D53">
        <w:rPr>
          <w:rFonts w:ascii="Times New Roman" w:hAnsi="Times New Roman"/>
          <w:sz w:val="24"/>
          <w:szCs w:val="24"/>
        </w:rPr>
        <w:t>, notamment les programmes et les fonds à capacité opérationnelle étendue</w:t>
      </w:r>
      <w:r w:rsidR="00766D0D" w:rsidRPr="003A1D53">
        <w:rPr>
          <w:rFonts w:ascii="Times New Roman" w:hAnsi="Times New Roman"/>
          <w:sz w:val="24"/>
          <w:szCs w:val="24"/>
        </w:rPr>
        <w:t xml:space="preserve"> et les composantes de la Mission.</w:t>
      </w:r>
      <w:r w:rsidR="00B30909" w:rsidRPr="003A1D53">
        <w:rPr>
          <w:rFonts w:ascii="Times New Roman" w:hAnsi="Times New Roman"/>
          <w:sz w:val="24"/>
          <w:szCs w:val="24"/>
        </w:rPr>
        <w:t xml:space="preserve"> </w:t>
      </w:r>
      <w:r w:rsidR="00B02613" w:rsidRPr="003A1D53">
        <w:rPr>
          <w:rFonts w:ascii="Times New Roman" w:hAnsi="Times New Roman"/>
          <w:sz w:val="24"/>
          <w:szCs w:val="24"/>
        </w:rPr>
        <w:t>L</w:t>
      </w:r>
      <w:r w:rsidR="00E63443" w:rsidRPr="003A1D53">
        <w:rPr>
          <w:rFonts w:ascii="Times New Roman" w:hAnsi="Times New Roman"/>
          <w:sz w:val="24"/>
          <w:szCs w:val="24"/>
        </w:rPr>
        <w:t xml:space="preserve">’approche d’inclusion des vulnérables </w:t>
      </w:r>
      <w:r w:rsidR="006620A9" w:rsidRPr="003A1D53">
        <w:rPr>
          <w:rFonts w:ascii="Times New Roman" w:hAnsi="Times New Roman"/>
          <w:sz w:val="24"/>
          <w:szCs w:val="24"/>
        </w:rPr>
        <w:t xml:space="preserve">et de restauration de leur accès à des droits élémentaires comme l’alimentation, la santé, la sécurité, l’éducation, notamment, </w:t>
      </w:r>
      <w:r w:rsidR="00E63443" w:rsidRPr="003A1D53">
        <w:rPr>
          <w:rFonts w:ascii="Times New Roman" w:hAnsi="Times New Roman"/>
          <w:sz w:val="24"/>
          <w:szCs w:val="24"/>
        </w:rPr>
        <w:t xml:space="preserve">s’est plutôt amplifiée à la faveur du glissement </w:t>
      </w:r>
      <w:r w:rsidR="00B02613" w:rsidRPr="003A1D53">
        <w:rPr>
          <w:rFonts w:ascii="Times New Roman" w:hAnsi="Times New Roman"/>
          <w:sz w:val="24"/>
          <w:szCs w:val="24"/>
        </w:rPr>
        <w:t xml:space="preserve">de la crise du Nord vers le </w:t>
      </w:r>
      <w:r w:rsidR="00766D0D" w:rsidRPr="003A1D53">
        <w:rPr>
          <w:rFonts w:ascii="Times New Roman" w:hAnsi="Times New Roman"/>
          <w:sz w:val="24"/>
          <w:szCs w:val="24"/>
        </w:rPr>
        <w:t>Centre</w:t>
      </w:r>
      <w:r w:rsidR="00B02613" w:rsidRPr="003A1D53">
        <w:rPr>
          <w:rFonts w:ascii="Times New Roman" w:hAnsi="Times New Roman"/>
          <w:sz w:val="24"/>
          <w:szCs w:val="24"/>
        </w:rPr>
        <w:t xml:space="preserve">. Les cibles de </w:t>
      </w:r>
      <w:r w:rsidR="00E63443" w:rsidRPr="003A1D53">
        <w:rPr>
          <w:rFonts w:ascii="Times New Roman" w:hAnsi="Times New Roman"/>
          <w:sz w:val="24"/>
          <w:szCs w:val="24"/>
        </w:rPr>
        <w:t>l’humanitaire</w:t>
      </w:r>
      <w:r w:rsidR="00B02613" w:rsidRPr="003A1D53">
        <w:rPr>
          <w:rFonts w:ascii="Times New Roman" w:hAnsi="Times New Roman"/>
          <w:sz w:val="24"/>
          <w:szCs w:val="24"/>
        </w:rPr>
        <w:t xml:space="preserve"> sont </w:t>
      </w:r>
      <w:r w:rsidR="00E63443" w:rsidRPr="003A1D53">
        <w:rPr>
          <w:rFonts w:ascii="Times New Roman" w:hAnsi="Times New Roman"/>
          <w:sz w:val="24"/>
          <w:szCs w:val="24"/>
        </w:rPr>
        <w:t>par définition des sujets vulnérables.</w:t>
      </w:r>
    </w:p>
    <w:p w14:paraId="604B5256" w14:textId="77777777" w:rsidR="002A6E0C" w:rsidRPr="003A1D53" w:rsidRDefault="002A6E0C" w:rsidP="005B22B2">
      <w:pPr>
        <w:spacing w:after="0" w:line="240" w:lineRule="auto"/>
        <w:jc w:val="both"/>
        <w:rPr>
          <w:rFonts w:ascii="Times New Roman" w:hAnsi="Times New Roman"/>
          <w:bCs/>
          <w:sz w:val="24"/>
          <w:szCs w:val="24"/>
        </w:rPr>
      </w:pPr>
    </w:p>
    <w:p w14:paraId="604B5257" w14:textId="77777777" w:rsidR="00BA3DC6" w:rsidRPr="003A1D53" w:rsidRDefault="00BA3DC6" w:rsidP="005B22B2">
      <w:pPr>
        <w:pStyle w:val="Titre2"/>
        <w:numPr>
          <w:ilvl w:val="1"/>
          <w:numId w:val="4"/>
        </w:numPr>
        <w:spacing w:before="0"/>
        <w:rPr>
          <w:color w:val="auto"/>
        </w:rPr>
      </w:pPr>
      <w:bookmarkStart w:id="223" w:name="_Toc499211625"/>
      <w:bookmarkStart w:id="224" w:name="_Toc500974554"/>
      <w:bookmarkStart w:id="225" w:name="_Toc502863908"/>
      <w:bookmarkStart w:id="226" w:name="_Toc505758483"/>
      <w:bookmarkStart w:id="227" w:name="_Toc506201575"/>
      <w:r w:rsidRPr="003A1D53">
        <w:rPr>
          <w:color w:val="auto"/>
        </w:rPr>
        <w:t>Efficience</w:t>
      </w:r>
      <w:bookmarkEnd w:id="223"/>
      <w:bookmarkEnd w:id="224"/>
      <w:bookmarkEnd w:id="225"/>
      <w:bookmarkEnd w:id="226"/>
      <w:bookmarkEnd w:id="227"/>
    </w:p>
    <w:p w14:paraId="604B5258" w14:textId="77777777" w:rsidR="00ED4CD5" w:rsidRPr="003A1D53" w:rsidRDefault="00ED4CD5" w:rsidP="005B22B2">
      <w:pPr>
        <w:spacing w:after="0" w:line="240" w:lineRule="auto"/>
        <w:jc w:val="both"/>
        <w:rPr>
          <w:rFonts w:ascii="Times New Roman" w:hAnsi="Times New Roman"/>
          <w:sz w:val="24"/>
          <w:szCs w:val="24"/>
        </w:rPr>
      </w:pPr>
    </w:p>
    <w:p w14:paraId="604B5259" w14:textId="77777777" w:rsidR="00184C37" w:rsidRPr="003A1D53" w:rsidRDefault="0048539E" w:rsidP="005B22B2">
      <w:pPr>
        <w:spacing w:after="0" w:line="240" w:lineRule="auto"/>
        <w:jc w:val="both"/>
        <w:rPr>
          <w:rFonts w:ascii="Times New Roman" w:hAnsi="Times New Roman"/>
          <w:color w:val="000000"/>
          <w:sz w:val="24"/>
          <w:szCs w:val="24"/>
        </w:rPr>
      </w:pPr>
      <w:r w:rsidRPr="003A1D53">
        <w:rPr>
          <w:rFonts w:ascii="Times New Roman" w:hAnsi="Times New Roman"/>
          <w:color w:val="000000"/>
          <w:sz w:val="24"/>
          <w:szCs w:val="24"/>
        </w:rPr>
        <w:t>13</w:t>
      </w:r>
      <w:r w:rsidR="00D5438C" w:rsidRPr="003A1D53">
        <w:rPr>
          <w:rFonts w:ascii="Times New Roman" w:hAnsi="Times New Roman"/>
          <w:color w:val="000000"/>
          <w:sz w:val="24"/>
          <w:szCs w:val="24"/>
        </w:rPr>
        <w:t>9</w:t>
      </w:r>
      <w:r w:rsidR="00E70BA8" w:rsidRPr="003A1D53">
        <w:rPr>
          <w:rFonts w:ascii="Times New Roman" w:hAnsi="Times New Roman"/>
          <w:color w:val="000000"/>
          <w:sz w:val="24"/>
          <w:szCs w:val="24"/>
        </w:rPr>
        <w:t>.</w:t>
      </w:r>
      <w:r w:rsidR="00E70BA8" w:rsidRPr="003A1D53">
        <w:rPr>
          <w:rFonts w:ascii="Times New Roman" w:hAnsi="Times New Roman"/>
          <w:color w:val="000000"/>
          <w:sz w:val="24"/>
          <w:szCs w:val="24"/>
        </w:rPr>
        <w:tab/>
        <w:t>La programmation budgétaire actée dans le cadre des résultats et des ressources, annexé</w:t>
      </w:r>
      <w:r w:rsidR="00B30909" w:rsidRPr="003A1D53">
        <w:rPr>
          <w:rFonts w:ascii="Times New Roman" w:hAnsi="Times New Roman"/>
          <w:color w:val="000000"/>
          <w:sz w:val="24"/>
          <w:szCs w:val="24"/>
        </w:rPr>
        <w:t>e</w:t>
      </w:r>
      <w:r w:rsidR="00E70BA8" w:rsidRPr="003A1D53">
        <w:rPr>
          <w:rFonts w:ascii="Times New Roman" w:hAnsi="Times New Roman"/>
          <w:color w:val="000000"/>
          <w:sz w:val="24"/>
          <w:szCs w:val="24"/>
        </w:rPr>
        <w:t xml:space="preserve"> au </w:t>
      </w:r>
      <w:r w:rsidR="00B30909" w:rsidRPr="003A1D53">
        <w:rPr>
          <w:rFonts w:ascii="Times New Roman" w:hAnsi="Times New Roman"/>
          <w:color w:val="000000"/>
          <w:sz w:val="24"/>
          <w:szCs w:val="24"/>
        </w:rPr>
        <w:t xml:space="preserve">document de </w:t>
      </w:r>
      <w:r w:rsidR="00E70BA8" w:rsidRPr="003A1D53">
        <w:rPr>
          <w:rFonts w:ascii="Times New Roman" w:hAnsi="Times New Roman"/>
          <w:color w:val="000000"/>
          <w:sz w:val="24"/>
          <w:szCs w:val="24"/>
        </w:rPr>
        <w:t xml:space="preserve">programme évalue à </w:t>
      </w:r>
      <w:r w:rsidR="00BF3CA7" w:rsidRPr="003A1D53">
        <w:rPr>
          <w:rFonts w:ascii="Times New Roman" w:hAnsi="Times New Roman"/>
          <w:color w:val="000000"/>
          <w:sz w:val="24"/>
          <w:szCs w:val="24"/>
        </w:rPr>
        <w:t xml:space="preserve">1 137 632 878 </w:t>
      </w:r>
      <w:r w:rsidR="00E70BA8" w:rsidRPr="003A1D53">
        <w:rPr>
          <w:rFonts w:ascii="Times New Roman" w:hAnsi="Times New Roman"/>
          <w:color w:val="000000"/>
          <w:sz w:val="24"/>
          <w:szCs w:val="24"/>
        </w:rPr>
        <w:t>dollar US les ressources nécessaires à la mise en œuvre de l’UNDAF</w:t>
      </w:r>
      <w:r w:rsidR="00BF3CA7" w:rsidRPr="003A1D53">
        <w:rPr>
          <w:rFonts w:ascii="Times New Roman" w:hAnsi="Times New Roman"/>
          <w:color w:val="000000"/>
          <w:sz w:val="24"/>
          <w:szCs w:val="24"/>
        </w:rPr>
        <w:t>+</w:t>
      </w:r>
      <w:r w:rsidR="00E70BA8" w:rsidRPr="003A1D53">
        <w:rPr>
          <w:rFonts w:ascii="Times New Roman" w:hAnsi="Times New Roman"/>
          <w:color w:val="000000"/>
          <w:sz w:val="24"/>
          <w:szCs w:val="24"/>
        </w:rPr>
        <w:t>.</w:t>
      </w:r>
      <w:r w:rsidR="00BF3CA7" w:rsidRPr="003A1D53">
        <w:rPr>
          <w:rFonts w:ascii="Times New Roman" w:hAnsi="Times New Roman"/>
          <w:color w:val="000000"/>
          <w:sz w:val="24"/>
          <w:szCs w:val="24"/>
        </w:rPr>
        <w:t xml:space="preserve"> Plus de la moitié de ce montant (52%) devait être dirigé vers l’Effet 5 ("</w:t>
      </w:r>
      <w:r w:rsidR="00BF3CA7" w:rsidRPr="003A1D53">
        <w:rPr>
          <w:rFonts w:ascii="Times New Roman" w:hAnsi="Times New Roman"/>
          <w:i/>
          <w:color w:val="000000"/>
          <w:sz w:val="24"/>
          <w:szCs w:val="24"/>
        </w:rPr>
        <w:t>Les populations défavorisées</w:t>
      </w:r>
      <w:r w:rsidR="00B30909" w:rsidRPr="003A1D53">
        <w:rPr>
          <w:rFonts w:ascii="Times New Roman" w:hAnsi="Times New Roman"/>
          <w:i/>
          <w:color w:val="000000"/>
          <w:sz w:val="24"/>
          <w:szCs w:val="24"/>
        </w:rPr>
        <w:t>,</w:t>
      </w:r>
      <w:r w:rsidR="00BF3CA7" w:rsidRPr="003A1D53">
        <w:rPr>
          <w:rFonts w:ascii="Times New Roman" w:hAnsi="Times New Roman"/>
          <w:i/>
          <w:color w:val="000000"/>
          <w:sz w:val="24"/>
          <w:szCs w:val="24"/>
        </w:rPr>
        <w:t xml:space="preserve"> particulièrement les femmes et les jeunes, bénéficient de capacités et d’opportunités productives accrues, dans un environnement sain et durable, favorable à la réduction de la pauvreté</w:t>
      </w:r>
      <w:r w:rsidR="00BF3CA7" w:rsidRPr="003A1D53">
        <w:rPr>
          <w:rFonts w:ascii="Times New Roman" w:hAnsi="Times New Roman"/>
          <w:color w:val="000000"/>
          <w:sz w:val="24"/>
          <w:szCs w:val="24"/>
        </w:rPr>
        <w:t xml:space="preserve">."), suivi de loin par les quatre autres en termes d’importance budgétaire. </w:t>
      </w:r>
      <w:r w:rsidR="006B03EB" w:rsidRPr="003A1D53">
        <w:rPr>
          <w:rFonts w:ascii="Times New Roman" w:hAnsi="Times New Roman"/>
          <w:color w:val="000000"/>
          <w:sz w:val="24"/>
          <w:szCs w:val="24"/>
        </w:rPr>
        <w:t>Le détail de l</w:t>
      </w:r>
      <w:r w:rsidR="00304E7E" w:rsidRPr="003A1D53">
        <w:rPr>
          <w:rFonts w:ascii="Times New Roman" w:hAnsi="Times New Roman"/>
          <w:color w:val="000000"/>
          <w:sz w:val="24"/>
          <w:szCs w:val="24"/>
        </w:rPr>
        <w:t>’effort de mobilisation de ressources et les niveaux d’exécution budgétaire par effet sont donnés en annexe dans les tableaux financiers 23 à 25</w:t>
      </w:r>
      <w:r w:rsidR="00BF3CA7" w:rsidRPr="003A1D53">
        <w:rPr>
          <w:rFonts w:ascii="Times New Roman" w:hAnsi="Times New Roman"/>
          <w:color w:val="000000"/>
          <w:sz w:val="24"/>
          <w:szCs w:val="24"/>
        </w:rPr>
        <w:t>.</w:t>
      </w:r>
    </w:p>
    <w:p w14:paraId="604B525A" w14:textId="77777777" w:rsidR="003D48C0" w:rsidRPr="003A1D53" w:rsidRDefault="003D48C0" w:rsidP="005B22B2">
      <w:pPr>
        <w:spacing w:after="0" w:line="240" w:lineRule="auto"/>
        <w:jc w:val="both"/>
        <w:rPr>
          <w:rFonts w:ascii="Times New Roman" w:hAnsi="Times New Roman"/>
          <w:color w:val="000000"/>
          <w:sz w:val="24"/>
          <w:szCs w:val="24"/>
        </w:rPr>
      </w:pPr>
    </w:p>
    <w:p w14:paraId="604B525B" w14:textId="77777777" w:rsidR="00777E9B" w:rsidRPr="00304E7E" w:rsidRDefault="00D5438C" w:rsidP="005B22B2">
      <w:pPr>
        <w:spacing w:after="0" w:line="240" w:lineRule="auto"/>
        <w:jc w:val="both"/>
        <w:rPr>
          <w:rFonts w:ascii="Times New Roman" w:hAnsi="Times New Roman"/>
          <w:sz w:val="24"/>
          <w:szCs w:val="24"/>
        </w:rPr>
      </w:pPr>
      <w:r w:rsidRPr="003A1D53">
        <w:rPr>
          <w:rFonts w:ascii="Times New Roman" w:hAnsi="Times New Roman"/>
          <w:sz w:val="24"/>
          <w:szCs w:val="24"/>
        </w:rPr>
        <w:t>140</w:t>
      </w:r>
      <w:r w:rsidR="00837111" w:rsidRPr="003A1D53">
        <w:rPr>
          <w:rFonts w:ascii="Times New Roman" w:hAnsi="Times New Roman"/>
          <w:sz w:val="24"/>
          <w:szCs w:val="24"/>
        </w:rPr>
        <w:t>.</w:t>
      </w:r>
      <w:r w:rsidR="00E958BA" w:rsidRPr="003A1D53">
        <w:rPr>
          <w:rFonts w:ascii="Times New Roman" w:hAnsi="Times New Roman"/>
          <w:sz w:val="24"/>
          <w:szCs w:val="24"/>
        </w:rPr>
        <w:tab/>
      </w:r>
      <w:r w:rsidR="00B30909" w:rsidRPr="003A1D53">
        <w:rPr>
          <w:rFonts w:ascii="Times New Roman" w:hAnsi="Times New Roman"/>
          <w:sz w:val="24"/>
          <w:szCs w:val="24"/>
        </w:rPr>
        <w:t>A</w:t>
      </w:r>
      <w:r w:rsidR="00083EFE" w:rsidRPr="003A1D53">
        <w:rPr>
          <w:rFonts w:ascii="Times New Roman" w:hAnsi="Times New Roman"/>
          <w:sz w:val="24"/>
          <w:szCs w:val="24"/>
        </w:rPr>
        <w:t xml:space="preserve">u 30 Juin 2017, </w:t>
      </w:r>
      <w:r w:rsidR="00B30909" w:rsidRPr="003A1D53">
        <w:rPr>
          <w:rFonts w:ascii="Times New Roman" w:hAnsi="Times New Roman"/>
          <w:sz w:val="24"/>
          <w:szCs w:val="24"/>
        </w:rPr>
        <w:t xml:space="preserve">précisément à mi-parcours du cycle, </w:t>
      </w:r>
      <w:r w:rsidR="00083EFE" w:rsidRPr="003A1D53">
        <w:rPr>
          <w:rFonts w:ascii="Times New Roman" w:hAnsi="Times New Roman"/>
          <w:sz w:val="24"/>
          <w:szCs w:val="24"/>
        </w:rPr>
        <w:t>sur 1 137 632 878 USD anticipé</w:t>
      </w:r>
      <w:r w:rsidR="00B30909" w:rsidRPr="003A1D53">
        <w:rPr>
          <w:rFonts w:ascii="Times New Roman" w:hAnsi="Times New Roman"/>
          <w:sz w:val="24"/>
          <w:szCs w:val="24"/>
        </w:rPr>
        <w:t>s</w:t>
      </w:r>
      <w:r w:rsidR="00083EFE" w:rsidRPr="003A1D53">
        <w:rPr>
          <w:rFonts w:ascii="Times New Roman" w:hAnsi="Times New Roman"/>
          <w:sz w:val="24"/>
          <w:szCs w:val="24"/>
        </w:rPr>
        <w:t xml:space="preserve"> comme budget de programme à constituer, 459 173 849 USD ont bien été mis à </w:t>
      </w:r>
      <w:r w:rsidR="00777E9B" w:rsidRPr="003A1D53">
        <w:rPr>
          <w:rFonts w:ascii="Times New Roman" w:hAnsi="Times New Roman"/>
          <w:sz w:val="24"/>
          <w:szCs w:val="24"/>
        </w:rPr>
        <w:t>disposition</w:t>
      </w:r>
      <w:r w:rsidR="00083EFE" w:rsidRPr="003A1D53">
        <w:rPr>
          <w:rFonts w:ascii="Times New Roman" w:hAnsi="Times New Roman"/>
          <w:sz w:val="24"/>
          <w:szCs w:val="24"/>
        </w:rPr>
        <w:t xml:space="preserve"> </w:t>
      </w:r>
      <w:r w:rsidR="00777E9B" w:rsidRPr="003A1D53">
        <w:rPr>
          <w:rFonts w:ascii="Times New Roman" w:hAnsi="Times New Roman"/>
          <w:sz w:val="24"/>
          <w:szCs w:val="24"/>
        </w:rPr>
        <w:t>pa</w:t>
      </w:r>
      <w:r w:rsidR="00083EFE" w:rsidRPr="003A1D53">
        <w:rPr>
          <w:rFonts w:ascii="Times New Roman" w:hAnsi="Times New Roman"/>
          <w:sz w:val="24"/>
          <w:szCs w:val="24"/>
        </w:rPr>
        <w:t>r le Système, soit un ratio de mobilisation de ressources de 40%. Lorsque l’on fait le rapport avec le temps déjà vécu p</w:t>
      </w:r>
      <w:r w:rsidR="00777E9B" w:rsidRPr="003A1D53">
        <w:rPr>
          <w:rFonts w:ascii="Times New Roman" w:hAnsi="Times New Roman"/>
          <w:sz w:val="24"/>
          <w:szCs w:val="24"/>
        </w:rPr>
        <w:t>a</w:t>
      </w:r>
      <w:r w:rsidR="00083EFE" w:rsidRPr="003A1D53">
        <w:rPr>
          <w:rFonts w:ascii="Times New Roman" w:hAnsi="Times New Roman"/>
          <w:sz w:val="24"/>
          <w:szCs w:val="24"/>
        </w:rPr>
        <w:t>r le programme, la relation est désavantageuse aux ressources</w:t>
      </w:r>
      <w:r w:rsidR="00777E9B" w:rsidRPr="003A1D53">
        <w:rPr>
          <w:rFonts w:ascii="Times New Roman" w:hAnsi="Times New Roman"/>
          <w:sz w:val="24"/>
          <w:szCs w:val="24"/>
        </w:rPr>
        <w:t xml:space="preserve">, puisque pour 50% du temps programmatique </w:t>
      </w:r>
      <w:r w:rsidR="00B30909" w:rsidRPr="003A1D53">
        <w:rPr>
          <w:rFonts w:ascii="Times New Roman" w:hAnsi="Times New Roman"/>
          <w:sz w:val="24"/>
          <w:szCs w:val="24"/>
        </w:rPr>
        <w:t xml:space="preserve">déjà </w:t>
      </w:r>
      <w:r w:rsidR="00777E9B" w:rsidRPr="003A1D53">
        <w:rPr>
          <w:rFonts w:ascii="Times New Roman" w:hAnsi="Times New Roman"/>
          <w:sz w:val="24"/>
          <w:szCs w:val="24"/>
        </w:rPr>
        <w:t>vécu, seulement 40% des ressources programmatiques sont disponibles. Ce profil générique montre toutefois des disparités importantes d’un secteur à l’autre du portefeuille. L’Effet 5 qui a aussi</w:t>
      </w:r>
      <w:r w:rsidR="00777E9B" w:rsidRPr="00304E7E">
        <w:rPr>
          <w:rFonts w:ascii="Times New Roman" w:hAnsi="Times New Roman"/>
          <w:sz w:val="24"/>
          <w:szCs w:val="24"/>
        </w:rPr>
        <w:t xml:space="preserve"> le poids budgétaire le plus implorant est celui où le rapport au temps est le plus défavorable en termes de mobilisation de ressources, et en valeur relative : un quart des ressources prévues y est mobilisé lorsque la moitié du temps disponible est écoulé. </w:t>
      </w:r>
      <w:r w:rsidR="00DE2E01" w:rsidRPr="00304E7E">
        <w:rPr>
          <w:rFonts w:ascii="Times New Roman" w:hAnsi="Times New Roman"/>
          <w:sz w:val="24"/>
          <w:szCs w:val="24"/>
        </w:rPr>
        <w:t>A l’autre extrême, le Système montre des capacités de mobilisation particulièrement élevées dans l’Effet 4, puisqu’à mi-parcours, déjà</w:t>
      </w:r>
      <w:r w:rsidR="00B30909">
        <w:rPr>
          <w:rFonts w:ascii="Times New Roman" w:hAnsi="Times New Roman"/>
          <w:sz w:val="24"/>
          <w:szCs w:val="24"/>
        </w:rPr>
        <w:t>,</w:t>
      </w:r>
      <w:r w:rsidR="00DE2E01" w:rsidRPr="00304E7E">
        <w:rPr>
          <w:rFonts w:ascii="Times New Roman" w:hAnsi="Times New Roman"/>
          <w:sz w:val="24"/>
          <w:szCs w:val="24"/>
        </w:rPr>
        <w:t xml:space="preserve"> il a été mobilisé plus de ressources qu’il n’en était anticipé pour les cinq années du cycle. </w:t>
      </w:r>
    </w:p>
    <w:p w14:paraId="604B525C" w14:textId="77777777" w:rsidR="00DE2E01" w:rsidRDefault="00DE2E01" w:rsidP="005B22B2">
      <w:pPr>
        <w:spacing w:after="0" w:line="240" w:lineRule="auto"/>
        <w:jc w:val="both"/>
        <w:rPr>
          <w:rFonts w:ascii="Times New Roman" w:hAnsi="Times New Roman"/>
        </w:rPr>
      </w:pPr>
    </w:p>
    <w:p w14:paraId="604B525D" w14:textId="77777777" w:rsidR="0046534E" w:rsidRDefault="0046534E" w:rsidP="005B22B2">
      <w:pPr>
        <w:pStyle w:val="Titre1"/>
        <w:tabs>
          <w:tab w:val="center" w:pos="4535"/>
        </w:tabs>
        <w:spacing w:before="0" w:line="240" w:lineRule="auto"/>
        <w:jc w:val="center"/>
        <w:rPr>
          <w:rFonts w:ascii="Times New Roman" w:hAnsi="Times New Roman"/>
          <w:b w:val="0"/>
          <w:color w:val="auto"/>
          <w:sz w:val="24"/>
          <w:szCs w:val="24"/>
        </w:rPr>
      </w:pPr>
      <w:bookmarkStart w:id="228" w:name="_Toc502863823"/>
      <w:bookmarkStart w:id="229" w:name="_Toc502863910"/>
      <w:bookmarkStart w:id="230" w:name="_Toc505758441"/>
      <w:bookmarkStart w:id="231" w:name="_Toc505758484"/>
      <w:bookmarkStart w:id="232" w:name="_Toc506201576"/>
      <w:r>
        <w:rPr>
          <w:rFonts w:ascii="Times New Roman" w:hAnsi="Times New Roman"/>
          <w:b w:val="0"/>
          <w:color w:val="auto"/>
          <w:sz w:val="24"/>
          <w:szCs w:val="24"/>
        </w:rPr>
        <w:t>Graphe 1</w:t>
      </w:r>
      <w:r w:rsidRPr="00347A29">
        <w:rPr>
          <w:rFonts w:ascii="Times New Roman" w:hAnsi="Times New Roman"/>
          <w:b w:val="0"/>
          <w:color w:val="auto"/>
          <w:sz w:val="24"/>
          <w:szCs w:val="24"/>
        </w:rPr>
        <w:t xml:space="preserve"> : </w:t>
      </w:r>
      <w:r>
        <w:rPr>
          <w:rFonts w:ascii="Times New Roman" w:hAnsi="Times New Roman"/>
          <w:b w:val="0"/>
          <w:color w:val="auto"/>
          <w:sz w:val="24"/>
          <w:szCs w:val="24"/>
        </w:rPr>
        <w:t>Ressources : Programmation initiale vs Mobilisation</w:t>
      </w:r>
      <w:bookmarkEnd w:id="228"/>
      <w:bookmarkEnd w:id="229"/>
      <w:bookmarkEnd w:id="230"/>
      <w:bookmarkEnd w:id="231"/>
      <w:bookmarkEnd w:id="232"/>
    </w:p>
    <w:p w14:paraId="604B525E" w14:textId="77777777" w:rsidR="00DE2E01" w:rsidRDefault="00414327" w:rsidP="005B22B2">
      <w:pPr>
        <w:spacing w:after="0" w:line="240" w:lineRule="auto"/>
        <w:jc w:val="both"/>
        <w:rPr>
          <w:rFonts w:ascii="Times New Roman" w:hAnsi="Times New Roman"/>
        </w:rPr>
      </w:pPr>
      <w:r>
        <w:rPr>
          <w:rFonts w:ascii="Times New Roman" w:hAnsi="Times New Roman"/>
          <w:noProof/>
          <w:lang w:eastAsia="fr-FR"/>
        </w:rPr>
        <mc:AlternateContent>
          <mc:Choice Requires="wps">
            <w:drawing>
              <wp:anchor distT="0" distB="0" distL="114300" distR="114300" simplePos="0" relativeHeight="251672064" behindDoc="0" locked="0" layoutInCell="1" allowOverlap="1" wp14:anchorId="604B53A3" wp14:editId="604B53A4">
                <wp:simplePos x="0" y="0"/>
                <wp:positionH relativeFrom="column">
                  <wp:posOffset>28575</wp:posOffset>
                </wp:positionH>
                <wp:positionV relativeFrom="paragraph">
                  <wp:posOffset>106680</wp:posOffset>
                </wp:positionV>
                <wp:extent cx="5706110" cy="2677160"/>
                <wp:effectExtent l="0" t="0" r="3810" b="317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267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B53C2" w14:textId="77777777" w:rsidR="0021189A" w:rsidRDefault="0021189A">
                            <w:r w:rsidRPr="00DE2E01">
                              <w:rPr>
                                <w:noProof/>
                                <w:lang w:eastAsia="fr-FR"/>
                              </w:rPr>
                              <w:drawing>
                                <wp:inline distT="0" distB="0" distL="0" distR="0" wp14:anchorId="604B53C9" wp14:editId="604B53CA">
                                  <wp:extent cx="5562448" cy="2501799"/>
                                  <wp:effectExtent l="19050" t="0" r="152"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53A3" id="Text Box 81" o:spid="_x0000_s1030" type="#_x0000_t202" style="position:absolute;left:0;text-align:left;margin-left:2.25pt;margin-top:8.4pt;width:449.3pt;height:210.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" stroked="f">
                <v:textbox>
                  <w:txbxContent>
                    <w:p w14:paraId="604B53C2" w14:textId="77777777" w:rsidR="0021189A" w:rsidRDefault="0021189A">
                      <w:r w:rsidRPr="00DE2E01">
                        <w:rPr>
                          <w:noProof/>
                          <w:lang w:eastAsia="fr-FR"/>
                        </w:rPr>
                        <w:drawing>
                          <wp:inline distT="0" distB="0" distL="0" distR="0" wp14:anchorId="604B53C9" wp14:editId="604B53CA">
                            <wp:extent cx="5562448" cy="2501799"/>
                            <wp:effectExtent l="19050" t="0" r="152"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mc:Fallback>
        </mc:AlternateContent>
      </w:r>
    </w:p>
    <w:p w14:paraId="604B525F" w14:textId="77777777" w:rsidR="00DE2E01" w:rsidRDefault="00DE2E01" w:rsidP="005B22B2">
      <w:pPr>
        <w:spacing w:after="0" w:line="240" w:lineRule="auto"/>
        <w:jc w:val="both"/>
        <w:rPr>
          <w:rFonts w:ascii="Times New Roman" w:hAnsi="Times New Roman"/>
        </w:rPr>
      </w:pPr>
    </w:p>
    <w:p w14:paraId="604B5260" w14:textId="77777777" w:rsidR="00E70BA8" w:rsidRPr="00E958BA" w:rsidRDefault="00995C6A" w:rsidP="005B22B2">
      <w:pPr>
        <w:spacing w:after="0" w:line="240" w:lineRule="auto"/>
        <w:jc w:val="both"/>
        <w:rPr>
          <w:rFonts w:ascii="Times New Roman" w:hAnsi="Times New Roman"/>
        </w:rPr>
      </w:pPr>
      <w:r>
        <w:rPr>
          <w:rFonts w:ascii="Times New Roman" w:hAnsi="Times New Roman"/>
        </w:rPr>
        <w:t xml:space="preserve">  </w:t>
      </w:r>
    </w:p>
    <w:p w14:paraId="604B5261" w14:textId="77777777" w:rsidR="00BF3CA7" w:rsidRDefault="00BF3CA7" w:rsidP="005B22B2">
      <w:pPr>
        <w:spacing w:after="0" w:line="240" w:lineRule="auto"/>
        <w:rPr>
          <w:rFonts w:ascii="Times New Roman" w:eastAsia="Times New Roman" w:hAnsi="Times New Roman"/>
          <w:b/>
          <w:bCs/>
          <w:sz w:val="24"/>
          <w:szCs w:val="24"/>
        </w:rPr>
      </w:pPr>
    </w:p>
    <w:p w14:paraId="604B5262" w14:textId="77777777" w:rsidR="00E8073A" w:rsidRDefault="00E8073A" w:rsidP="005B22B2">
      <w:pPr>
        <w:spacing w:after="0" w:line="240" w:lineRule="auto"/>
        <w:rPr>
          <w:rFonts w:ascii="Times New Roman" w:eastAsia="Times New Roman" w:hAnsi="Times New Roman"/>
          <w:b/>
          <w:bCs/>
          <w:sz w:val="24"/>
          <w:szCs w:val="24"/>
        </w:rPr>
      </w:pPr>
    </w:p>
    <w:p w14:paraId="604B5263" w14:textId="77777777" w:rsidR="00E8073A" w:rsidRDefault="00E8073A" w:rsidP="005B22B2">
      <w:pPr>
        <w:spacing w:after="0" w:line="240" w:lineRule="auto"/>
        <w:rPr>
          <w:rFonts w:ascii="Times New Roman" w:eastAsia="Times New Roman" w:hAnsi="Times New Roman"/>
          <w:b/>
          <w:bCs/>
          <w:sz w:val="24"/>
          <w:szCs w:val="24"/>
        </w:rPr>
      </w:pPr>
    </w:p>
    <w:p w14:paraId="604B5264" w14:textId="77777777" w:rsidR="00E8073A" w:rsidRDefault="00E8073A" w:rsidP="005B22B2">
      <w:pPr>
        <w:spacing w:after="0" w:line="240" w:lineRule="auto"/>
        <w:rPr>
          <w:rFonts w:ascii="Times New Roman" w:eastAsia="Times New Roman" w:hAnsi="Times New Roman"/>
          <w:b/>
          <w:bCs/>
          <w:sz w:val="24"/>
          <w:szCs w:val="24"/>
        </w:rPr>
      </w:pPr>
    </w:p>
    <w:p w14:paraId="604B5265" w14:textId="77777777" w:rsidR="00E8073A" w:rsidRDefault="00E8073A" w:rsidP="005B22B2">
      <w:pPr>
        <w:spacing w:after="0" w:line="240" w:lineRule="auto"/>
        <w:rPr>
          <w:rFonts w:ascii="Times New Roman" w:eastAsia="Times New Roman" w:hAnsi="Times New Roman"/>
          <w:b/>
          <w:bCs/>
          <w:sz w:val="24"/>
          <w:szCs w:val="24"/>
        </w:rPr>
      </w:pPr>
    </w:p>
    <w:p w14:paraId="604B5266" w14:textId="77777777" w:rsidR="00E8073A" w:rsidRDefault="00E8073A" w:rsidP="005B22B2">
      <w:pPr>
        <w:spacing w:after="0" w:line="240" w:lineRule="auto"/>
        <w:rPr>
          <w:rFonts w:ascii="Times New Roman" w:eastAsia="Times New Roman" w:hAnsi="Times New Roman"/>
          <w:b/>
          <w:bCs/>
          <w:sz w:val="24"/>
          <w:szCs w:val="24"/>
        </w:rPr>
      </w:pPr>
    </w:p>
    <w:p w14:paraId="604B5267" w14:textId="77777777" w:rsidR="00E8073A" w:rsidRDefault="00E8073A" w:rsidP="005B22B2">
      <w:pPr>
        <w:spacing w:after="0" w:line="240" w:lineRule="auto"/>
        <w:rPr>
          <w:rFonts w:ascii="Times New Roman" w:eastAsia="Times New Roman" w:hAnsi="Times New Roman"/>
          <w:b/>
          <w:bCs/>
          <w:sz w:val="24"/>
          <w:szCs w:val="24"/>
        </w:rPr>
      </w:pPr>
    </w:p>
    <w:p w14:paraId="604B5268" w14:textId="77777777" w:rsidR="00E8073A" w:rsidRDefault="00E8073A" w:rsidP="005B22B2">
      <w:pPr>
        <w:spacing w:after="0" w:line="240" w:lineRule="auto"/>
        <w:rPr>
          <w:rFonts w:ascii="Times New Roman" w:eastAsia="Times New Roman" w:hAnsi="Times New Roman"/>
          <w:b/>
          <w:bCs/>
          <w:sz w:val="24"/>
          <w:szCs w:val="24"/>
        </w:rPr>
      </w:pPr>
    </w:p>
    <w:p w14:paraId="604B5269" w14:textId="77777777" w:rsidR="00E8073A" w:rsidRDefault="00E8073A" w:rsidP="005B22B2">
      <w:pPr>
        <w:spacing w:after="0" w:line="240" w:lineRule="auto"/>
        <w:rPr>
          <w:rFonts w:ascii="Times New Roman" w:eastAsia="Times New Roman" w:hAnsi="Times New Roman"/>
          <w:b/>
          <w:bCs/>
          <w:sz w:val="24"/>
          <w:szCs w:val="24"/>
        </w:rPr>
      </w:pPr>
    </w:p>
    <w:p w14:paraId="604B526A" w14:textId="77777777" w:rsidR="00E8073A" w:rsidRDefault="00E8073A" w:rsidP="005B22B2">
      <w:pPr>
        <w:spacing w:after="0" w:line="240" w:lineRule="auto"/>
        <w:rPr>
          <w:rFonts w:ascii="Times New Roman" w:eastAsia="Times New Roman" w:hAnsi="Times New Roman"/>
          <w:b/>
          <w:bCs/>
          <w:sz w:val="24"/>
          <w:szCs w:val="24"/>
        </w:rPr>
      </w:pPr>
    </w:p>
    <w:p w14:paraId="604B526B" w14:textId="77777777" w:rsidR="00E8073A" w:rsidRDefault="00E8073A" w:rsidP="005B22B2">
      <w:pPr>
        <w:spacing w:after="0" w:line="240" w:lineRule="auto"/>
        <w:rPr>
          <w:rFonts w:ascii="Times New Roman" w:eastAsia="Times New Roman" w:hAnsi="Times New Roman"/>
          <w:b/>
          <w:bCs/>
          <w:sz w:val="24"/>
          <w:szCs w:val="24"/>
        </w:rPr>
      </w:pPr>
    </w:p>
    <w:p w14:paraId="604B526C" w14:textId="77777777" w:rsidR="00E8073A" w:rsidRDefault="00E8073A" w:rsidP="005B22B2">
      <w:pPr>
        <w:spacing w:after="0" w:line="240" w:lineRule="auto"/>
        <w:rPr>
          <w:rFonts w:ascii="Times New Roman" w:eastAsia="Times New Roman" w:hAnsi="Times New Roman"/>
          <w:b/>
          <w:bCs/>
          <w:sz w:val="24"/>
          <w:szCs w:val="24"/>
        </w:rPr>
      </w:pPr>
    </w:p>
    <w:p w14:paraId="604B526D" w14:textId="77777777" w:rsidR="00E8073A" w:rsidRDefault="00E8073A" w:rsidP="005B22B2">
      <w:pPr>
        <w:spacing w:after="0" w:line="240" w:lineRule="auto"/>
        <w:rPr>
          <w:rFonts w:ascii="Times New Roman" w:eastAsia="Times New Roman" w:hAnsi="Times New Roman"/>
          <w:b/>
          <w:bCs/>
          <w:sz w:val="24"/>
          <w:szCs w:val="24"/>
        </w:rPr>
      </w:pPr>
    </w:p>
    <w:p w14:paraId="604B526E" w14:textId="77777777" w:rsidR="00AA6EC3" w:rsidRPr="00C3686C" w:rsidRDefault="00AA6EC3" w:rsidP="005B22B2">
      <w:pPr>
        <w:spacing w:after="0" w:line="240" w:lineRule="auto"/>
        <w:jc w:val="center"/>
        <w:rPr>
          <w:rFonts w:ascii="Times New Roman" w:hAnsi="Times New Roman"/>
          <w:i/>
          <w:color w:val="000000"/>
          <w:sz w:val="20"/>
          <w:szCs w:val="20"/>
        </w:rPr>
      </w:pPr>
      <w:r w:rsidRPr="00C3686C">
        <w:rPr>
          <w:rFonts w:ascii="Times New Roman" w:hAnsi="Times New Roman"/>
          <w:i/>
          <w:color w:val="000000"/>
          <w:sz w:val="20"/>
          <w:szCs w:val="20"/>
          <w:u w:val="single"/>
        </w:rPr>
        <w:t>Source</w:t>
      </w:r>
      <w:r w:rsidRPr="00C3686C">
        <w:rPr>
          <w:rFonts w:ascii="Times New Roman" w:hAnsi="Times New Roman"/>
          <w:i/>
          <w:color w:val="000000"/>
          <w:sz w:val="20"/>
          <w:szCs w:val="20"/>
        </w:rPr>
        <w:t> : Rapports de progrès Groupe</w:t>
      </w:r>
      <w:r>
        <w:rPr>
          <w:rFonts w:ascii="Times New Roman" w:hAnsi="Times New Roman"/>
          <w:i/>
          <w:color w:val="000000"/>
          <w:sz w:val="20"/>
          <w:szCs w:val="20"/>
        </w:rPr>
        <w:t>s de résultats, UNDAF+ 2015-2017</w:t>
      </w:r>
    </w:p>
    <w:p w14:paraId="604B526F" w14:textId="77777777" w:rsidR="00E8073A" w:rsidRDefault="00E8073A" w:rsidP="005B22B2">
      <w:pPr>
        <w:spacing w:after="0" w:line="240" w:lineRule="auto"/>
        <w:rPr>
          <w:rFonts w:ascii="Times New Roman" w:eastAsia="Times New Roman" w:hAnsi="Times New Roman"/>
          <w:b/>
          <w:bCs/>
          <w:sz w:val="24"/>
          <w:szCs w:val="24"/>
        </w:rPr>
      </w:pPr>
    </w:p>
    <w:p w14:paraId="604B5270" w14:textId="77777777" w:rsidR="00D81E93" w:rsidRDefault="00D5438C"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141</w:t>
      </w:r>
      <w:r w:rsidR="0048539E">
        <w:rPr>
          <w:rFonts w:ascii="Times New Roman" w:eastAsia="Times New Roman" w:hAnsi="Times New Roman"/>
          <w:bCs/>
          <w:sz w:val="24"/>
          <w:szCs w:val="24"/>
        </w:rPr>
        <w:t>.</w:t>
      </w:r>
      <w:r w:rsidR="00D81E93" w:rsidRPr="00AA6EC3">
        <w:rPr>
          <w:rFonts w:ascii="Times New Roman" w:eastAsia="Times New Roman" w:hAnsi="Times New Roman"/>
          <w:bCs/>
          <w:sz w:val="24"/>
          <w:szCs w:val="24"/>
        </w:rPr>
        <w:tab/>
        <w:t xml:space="preserve">En termes d’exécution, </w:t>
      </w:r>
      <w:r w:rsidR="00AA6EC3">
        <w:rPr>
          <w:rFonts w:ascii="Times New Roman" w:eastAsia="Times New Roman" w:hAnsi="Times New Roman"/>
          <w:bCs/>
          <w:sz w:val="24"/>
          <w:szCs w:val="24"/>
        </w:rPr>
        <w:t xml:space="preserve">sur </w:t>
      </w:r>
      <w:r w:rsidR="00AA6EC3" w:rsidRPr="00AA6EC3">
        <w:rPr>
          <w:rFonts w:ascii="Times New Roman" w:eastAsia="Times New Roman" w:hAnsi="Times New Roman"/>
          <w:bCs/>
          <w:sz w:val="24"/>
          <w:szCs w:val="24"/>
        </w:rPr>
        <w:t>459 173</w:t>
      </w:r>
      <w:r w:rsidR="00AA6EC3">
        <w:rPr>
          <w:rFonts w:ascii="Times New Roman" w:eastAsia="Times New Roman" w:hAnsi="Times New Roman"/>
          <w:bCs/>
          <w:sz w:val="24"/>
          <w:szCs w:val="24"/>
        </w:rPr>
        <w:t> </w:t>
      </w:r>
      <w:r w:rsidR="00AA6EC3" w:rsidRPr="00AA6EC3">
        <w:rPr>
          <w:rFonts w:ascii="Times New Roman" w:eastAsia="Times New Roman" w:hAnsi="Times New Roman"/>
          <w:bCs/>
          <w:sz w:val="24"/>
          <w:szCs w:val="24"/>
        </w:rPr>
        <w:t>849</w:t>
      </w:r>
      <w:r w:rsidR="00AA6EC3">
        <w:rPr>
          <w:rFonts w:ascii="Times New Roman" w:eastAsia="Times New Roman" w:hAnsi="Times New Roman"/>
          <w:bCs/>
          <w:sz w:val="24"/>
          <w:szCs w:val="24"/>
        </w:rPr>
        <w:t xml:space="preserve"> USD mobilisés à fin Juin 2017, </w:t>
      </w:r>
      <w:r w:rsidR="00AA6EC3" w:rsidRPr="00AA6EC3">
        <w:rPr>
          <w:rFonts w:ascii="Times New Roman" w:eastAsia="Times New Roman" w:hAnsi="Times New Roman"/>
          <w:bCs/>
          <w:sz w:val="24"/>
          <w:szCs w:val="24"/>
        </w:rPr>
        <w:t>281 455</w:t>
      </w:r>
      <w:r w:rsidR="00AA6EC3">
        <w:rPr>
          <w:rFonts w:ascii="Times New Roman" w:eastAsia="Times New Roman" w:hAnsi="Times New Roman"/>
          <w:bCs/>
          <w:sz w:val="24"/>
          <w:szCs w:val="24"/>
        </w:rPr>
        <w:t> </w:t>
      </w:r>
      <w:r w:rsidR="00AA6EC3" w:rsidRPr="00AA6EC3">
        <w:rPr>
          <w:rFonts w:ascii="Times New Roman" w:eastAsia="Times New Roman" w:hAnsi="Times New Roman"/>
          <w:bCs/>
          <w:sz w:val="24"/>
          <w:szCs w:val="24"/>
        </w:rPr>
        <w:t>321</w:t>
      </w:r>
      <w:r w:rsidR="00AA6EC3">
        <w:rPr>
          <w:rFonts w:ascii="Times New Roman" w:eastAsia="Times New Roman" w:hAnsi="Times New Roman"/>
          <w:bCs/>
          <w:sz w:val="24"/>
          <w:szCs w:val="24"/>
        </w:rPr>
        <w:t xml:space="preserve"> ont été exécutés, soit u</w:t>
      </w:r>
      <w:r w:rsidR="00B30909">
        <w:rPr>
          <w:rFonts w:ascii="Times New Roman" w:eastAsia="Times New Roman" w:hAnsi="Times New Roman"/>
          <w:bCs/>
          <w:sz w:val="24"/>
          <w:szCs w:val="24"/>
        </w:rPr>
        <w:t>n</w:t>
      </w:r>
      <w:r w:rsidR="00AA6EC3">
        <w:rPr>
          <w:rFonts w:ascii="Times New Roman" w:eastAsia="Times New Roman" w:hAnsi="Times New Roman"/>
          <w:bCs/>
          <w:sz w:val="24"/>
          <w:szCs w:val="24"/>
        </w:rPr>
        <w:t xml:space="preserve"> ratio d’absorption consolidé sur l’ensemble du programme de 61%. A l’analyse, le taux d’exécution des ressources se découvre mieux distribué que le ratio de leur mobilisation</w:t>
      </w:r>
      <w:r w:rsidR="00B30909">
        <w:rPr>
          <w:rFonts w:ascii="Times New Roman" w:eastAsia="Times New Roman" w:hAnsi="Times New Roman"/>
          <w:bCs/>
          <w:sz w:val="24"/>
          <w:szCs w:val="24"/>
        </w:rPr>
        <w:t>,</w:t>
      </w:r>
      <w:r w:rsidR="00AA6EC3">
        <w:rPr>
          <w:rFonts w:ascii="Times New Roman" w:eastAsia="Times New Roman" w:hAnsi="Times New Roman"/>
          <w:bCs/>
          <w:sz w:val="24"/>
          <w:szCs w:val="24"/>
        </w:rPr>
        <w:t xml:space="preserve"> dont le paragraphe précédent a montré qu’il est très inégalement réparti entre les effets. </w:t>
      </w:r>
      <w:r w:rsidR="00350381">
        <w:rPr>
          <w:rFonts w:ascii="Times New Roman" w:eastAsia="Times New Roman" w:hAnsi="Times New Roman"/>
          <w:bCs/>
          <w:sz w:val="24"/>
          <w:szCs w:val="24"/>
        </w:rPr>
        <w:t>Relativement à l’exécution budgétaire</w:t>
      </w:r>
      <w:r w:rsidR="00B30909">
        <w:rPr>
          <w:rFonts w:ascii="Times New Roman" w:eastAsia="Times New Roman" w:hAnsi="Times New Roman"/>
          <w:bCs/>
          <w:sz w:val="24"/>
          <w:szCs w:val="24"/>
        </w:rPr>
        <w:t>,</w:t>
      </w:r>
      <w:r w:rsidR="00350381">
        <w:rPr>
          <w:rFonts w:ascii="Times New Roman" w:eastAsia="Times New Roman" w:hAnsi="Times New Roman"/>
          <w:bCs/>
          <w:sz w:val="24"/>
          <w:szCs w:val="24"/>
        </w:rPr>
        <w:t xml:space="preserve"> l’Effet le plus performant est à 68% de taux d’absorption de ses ressources disponibles, contre 51% pour la performance la plus </w:t>
      </w:r>
      <w:r w:rsidR="00B30909">
        <w:rPr>
          <w:rFonts w:ascii="Times New Roman" w:eastAsia="Times New Roman" w:hAnsi="Times New Roman"/>
          <w:bCs/>
          <w:sz w:val="24"/>
          <w:szCs w:val="24"/>
        </w:rPr>
        <w:t>faible à cet égard</w:t>
      </w:r>
      <w:r w:rsidR="00350381">
        <w:rPr>
          <w:rFonts w:ascii="Times New Roman" w:eastAsia="Times New Roman" w:hAnsi="Times New Roman"/>
          <w:bCs/>
          <w:sz w:val="24"/>
          <w:szCs w:val="24"/>
        </w:rPr>
        <w:t>, soit un écart de 17 points. Pour mémoire</w:t>
      </w:r>
      <w:r w:rsidR="00B30909">
        <w:rPr>
          <w:rFonts w:ascii="Times New Roman" w:eastAsia="Times New Roman" w:hAnsi="Times New Roman"/>
          <w:bCs/>
          <w:sz w:val="24"/>
          <w:szCs w:val="24"/>
        </w:rPr>
        <w:t>,</w:t>
      </w:r>
      <w:r w:rsidR="00350381">
        <w:rPr>
          <w:rFonts w:ascii="Times New Roman" w:eastAsia="Times New Roman" w:hAnsi="Times New Roman"/>
          <w:bCs/>
          <w:sz w:val="24"/>
          <w:szCs w:val="24"/>
        </w:rPr>
        <w:t xml:space="preserve"> dans la mobilisation de ressources</w:t>
      </w:r>
      <w:r w:rsidR="00B30909">
        <w:rPr>
          <w:rFonts w:ascii="Times New Roman" w:eastAsia="Times New Roman" w:hAnsi="Times New Roman"/>
          <w:bCs/>
          <w:sz w:val="24"/>
          <w:szCs w:val="24"/>
        </w:rPr>
        <w:t>,</w:t>
      </w:r>
      <w:r w:rsidR="00350381">
        <w:rPr>
          <w:rFonts w:ascii="Times New Roman" w:eastAsia="Times New Roman" w:hAnsi="Times New Roman"/>
          <w:bCs/>
          <w:sz w:val="24"/>
          <w:szCs w:val="24"/>
        </w:rPr>
        <w:t xml:space="preserve"> l’écart entre les valeurs relatives extrêmes est de 76 </w:t>
      </w:r>
      <w:r w:rsidR="0046534E">
        <w:rPr>
          <w:rFonts w:ascii="Times New Roman" w:eastAsia="Times New Roman" w:hAnsi="Times New Roman"/>
          <w:bCs/>
          <w:sz w:val="24"/>
          <w:szCs w:val="24"/>
        </w:rPr>
        <w:t>(101-25) points de pourcentage.</w:t>
      </w:r>
    </w:p>
    <w:p w14:paraId="604B5271" w14:textId="77777777" w:rsidR="0046534E" w:rsidRDefault="0046534E" w:rsidP="005B22B2">
      <w:pPr>
        <w:spacing w:after="0" w:line="240" w:lineRule="auto"/>
        <w:jc w:val="both"/>
        <w:rPr>
          <w:rFonts w:ascii="Times New Roman" w:eastAsia="Times New Roman" w:hAnsi="Times New Roman"/>
          <w:bCs/>
          <w:sz w:val="24"/>
          <w:szCs w:val="24"/>
        </w:rPr>
      </w:pPr>
    </w:p>
    <w:p w14:paraId="604B5272" w14:textId="77777777" w:rsidR="0046534E" w:rsidRDefault="0046534E" w:rsidP="005B22B2">
      <w:pPr>
        <w:pStyle w:val="Titre1"/>
        <w:tabs>
          <w:tab w:val="center" w:pos="4535"/>
        </w:tabs>
        <w:spacing w:before="0" w:line="240" w:lineRule="auto"/>
        <w:jc w:val="center"/>
        <w:rPr>
          <w:rFonts w:ascii="Times New Roman" w:hAnsi="Times New Roman"/>
          <w:b w:val="0"/>
          <w:color w:val="auto"/>
          <w:sz w:val="24"/>
          <w:szCs w:val="24"/>
        </w:rPr>
      </w:pPr>
      <w:bookmarkStart w:id="233" w:name="_Toc502863825"/>
      <w:bookmarkStart w:id="234" w:name="_Toc502863912"/>
      <w:bookmarkStart w:id="235" w:name="_Toc505758442"/>
      <w:bookmarkStart w:id="236" w:name="_Toc505758485"/>
      <w:bookmarkStart w:id="237" w:name="_Toc506201577"/>
      <w:r>
        <w:rPr>
          <w:rFonts w:ascii="Times New Roman" w:hAnsi="Times New Roman"/>
          <w:b w:val="0"/>
          <w:color w:val="auto"/>
          <w:sz w:val="24"/>
          <w:szCs w:val="24"/>
        </w:rPr>
        <w:t>Graphe 2</w:t>
      </w:r>
      <w:r w:rsidRPr="00347A29">
        <w:rPr>
          <w:rFonts w:ascii="Times New Roman" w:hAnsi="Times New Roman"/>
          <w:b w:val="0"/>
          <w:color w:val="auto"/>
          <w:sz w:val="24"/>
          <w:szCs w:val="24"/>
        </w:rPr>
        <w:t xml:space="preserve"> : </w:t>
      </w:r>
      <w:r>
        <w:rPr>
          <w:rFonts w:ascii="Times New Roman" w:hAnsi="Times New Roman"/>
          <w:b w:val="0"/>
          <w:color w:val="auto"/>
          <w:sz w:val="24"/>
          <w:szCs w:val="24"/>
        </w:rPr>
        <w:t>Ressources : Mobilisation vs Exécution</w:t>
      </w:r>
      <w:bookmarkEnd w:id="233"/>
      <w:bookmarkEnd w:id="234"/>
      <w:bookmarkEnd w:id="235"/>
      <w:bookmarkEnd w:id="236"/>
      <w:bookmarkEnd w:id="237"/>
    </w:p>
    <w:p w14:paraId="604B5273" w14:textId="77777777" w:rsidR="0046534E" w:rsidRDefault="0046534E" w:rsidP="005B22B2">
      <w:pPr>
        <w:spacing w:after="0" w:line="240" w:lineRule="auto"/>
        <w:rPr>
          <w:rFonts w:ascii="Times New Roman" w:eastAsia="Times New Roman" w:hAnsi="Times New Roman"/>
          <w:bCs/>
          <w:sz w:val="24"/>
          <w:szCs w:val="24"/>
        </w:rPr>
      </w:pPr>
    </w:p>
    <w:p w14:paraId="604B5274" w14:textId="77777777" w:rsidR="00350381" w:rsidRDefault="00414327" w:rsidP="005B22B2">
      <w:pPr>
        <w:spacing w:after="0" w:line="240" w:lineRule="auto"/>
        <w:rPr>
          <w:rFonts w:ascii="Times New Roman" w:eastAsia="Times New Roman" w:hAnsi="Times New Roman"/>
          <w:bCs/>
          <w:sz w:val="24"/>
          <w:szCs w:val="24"/>
        </w:rPr>
      </w:pPr>
      <w:r>
        <w:rPr>
          <w:rFonts w:ascii="Times New Roman" w:eastAsia="Times New Roman" w:hAnsi="Times New Roman"/>
          <w:bCs/>
          <w:noProof/>
          <w:sz w:val="24"/>
          <w:szCs w:val="24"/>
          <w:lang w:eastAsia="fr-FR"/>
        </w:rPr>
        <mc:AlternateContent>
          <mc:Choice Requires="wps">
            <w:drawing>
              <wp:anchor distT="0" distB="0" distL="114300" distR="114300" simplePos="0" relativeHeight="251673088" behindDoc="0" locked="0" layoutInCell="1" allowOverlap="1" wp14:anchorId="604B53A5" wp14:editId="604B53A6">
                <wp:simplePos x="0" y="0"/>
                <wp:positionH relativeFrom="column">
                  <wp:posOffset>172720</wp:posOffset>
                </wp:positionH>
                <wp:positionV relativeFrom="paragraph">
                  <wp:posOffset>104775</wp:posOffset>
                </wp:positionV>
                <wp:extent cx="5589270" cy="2018665"/>
                <wp:effectExtent l="0" t="2540" r="0" b="0"/>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201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B53C3" w14:textId="77777777" w:rsidR="0021189A" w:rsidRDefault="0021189A" w:rsidP="000433C8">
                            <w:pPr>
                              <w:jc w:val="center"/>
                            </w:pPr>
                            <w:r w:rsidRPr="00350381">
                              <w:rPr>
                                <w:noProof/>
                                <w:lang w:eastAsia="fr-FR"/>
                              </w:rPr>
                              <w:drawing>
                                <wp:inline distT="0" distB="0" distL="0" distR="0" wp14:anchorId="604B53CB" wp14:editId="604B53CC">
                                  <wp:extent cx="5186477" cy="1865376"/>
                                  <wp:effectExtent l="19050" t="0" r="0" b="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53A5" id="Text Box 82" o:spid="_x0000_s1031" type="#_x0000_t202" style="position:absolute;margin-left:13.6pt;margin-top:8.25pt;width:440.1pt;height:158.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souA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" filled="f" stroked="f">
                <v:textbox>
                  <w:txbxContent>
                    <w:p w14:paraId="604B53C3" w14:textId="77777777" w:rsidR="0021189A" w:rsidRDefault="0021189A" w:rsidP="000433C8">
                      <w:pPr>
                        <w:jc w:val="center"/>
                      </w:pPr>
                      <w:r w:rsidRPr="00350381">
                        <w:rPr>
                          <w:noProof/>
                          <w:lang w:eastAsia="fr-FR"/>
                        </w:rPr>
                        <w:drawing>
                          <wp:inline distT="0" distB="0" distL="0" distR="0" wp14:anchorId="604B53CB" wp14:editId="604B53CC">
                            <wp:extent cx="5186477" cy="1865376"/>
                            <wp:effectExtent l="19050" t="0" r="0" b="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p>
    <w:p w14:paraId="604B5275" w14:textId="77777777" w:rsidR="00350381" w:rsidRDefault="00350381" w:rsidP="005B22B2">
      <w:pPr>
        <w:spacing w:after="0" w:line="240" w:lineRule="auto"/>
        <w:rPr>
          <w:rFonts w:ascii="Times New Roman" w:eastAsia="Times New Roman" w:hAnsi="Times New Roman"/>
          <w:bCs/>
          <w:sz w:val="24"/>
          <w:szCs w:val="24"/>
        </w:rPr>
      </w:pPr>
    </w:p>
    <w:p w14:paraId="604B5276" w14:textId="77777777" w:rsidR="00350381" w:rsidRDefault="00350381" w:rsidP="005B22B2">
      <w:pPr>
        <w:spacing w:after="0" w:line="240" w:lineRule="auto"/>
        <w:rPr>
          <w:rFonts w:ascii="Times New Roman" w:eastAsia="Times New Roman" w:hAnsi="Times New Roman"/>
          <w:bCs/>
          <w:sz w:val="24"/>
          <w:szCs w:val="24"/>
        </w:rPr>
      </w:pPr>
    </w:p>
    <w:p w14:paraId="604B5277" w14:textId="77777777" w:rsidR="00350381" w:rsidRDefault="00350381" w:rsidP="005B22B2">
      <w:pPr>
        <w:spacing w:after="0" w:line="240" w:lineRule="auto"/>
        <w:rPr>
          <w:rFonts w:ascii="Times New Roman" w:eastAsia="Times New Roman" w:hAnsi="Times New Roman"/>
          <w:bCs/>
          <w:sz w:val="24"/>
          <w:szCs w:val="24"/>
        </w:rPr>
      </w:pPr>
    </w:p>
    <w:p w14:paraId="604B5278" w14:textId="77777777" w:rsidR="00350381" w:rsidRDefault="00350381" w:rsidP="005B22B2">
      <w:pPr>
        <w:spacing w:after="0" w:line="240" w:lineRule="auto"/>
        <w:rPr>
          <w:rFonts w:ascii="Times New Roman" w:eastAsia="Times New Roman" w:hAnsi="Times New Roman"/>
          <w:bCs/>
          <w:sz w:val="24"/>
          <w:szCs w:val="24"/>
        </w:rPr>
      </w:pPr>
    </w:p>
    <w:p w14:paraId="604B5279" w14:textId="77777777" w:rsidR="00350381" w:rsidRDefault="00350381" w:rsidP="005B22B2">
      <w:pPr>
        <w:spacing w:after="0" w:line="240" w:lineRule="auto"/>
        <w:rPr>
          <w:rFonts w:ascii="Times New Roman" w:eastAsia="Times New Roman" w:hAnsi="Times New Roman"/>
          <w:bCs/>
          <w:sz w:val="24"/>
          <w:szCs w:val="24"/>
        </w:rPr>
      </w:pPr>
    </w:p>
    <w:p w14:paraId="604B527A" w14:textId="77777777" w:rsidR="00350381" w:rsidRDefault="00350381" w:rsidP="005B22B2">
      <w:pPr>
        <w:spacing w:after="0" w:line="240" w:lineRule="auto"/>
        <w:rPr>
          <w:rFonts w:ascii="Times New Roman" w:eastAsia="Times New Roman" w:hAnsi="Times New Roman"/>
          <w:bCs/>
          <w:sz w:val="24"/>
          <w:szCs w:val="24"/>
        </w:rPr>
      </w:pPr>
    </w:p>
    <w:p w14:paraId="604B527B" w14:textId="77777777" w:rsidR="00350381" w:rsidRDefault="00350381" w:rsidP="005B22B2">
      <w:pPr>
        <w:spacing w:after="0" w:line="240" w:lineRule="auto"/>
        <w:rPr>
          <w:rFonts w:ascii="Times New Roman" w:eastAsia="Times New Roman" w:hAnsi="Times New Roman"/>
          <w:bCs/>
          <w:sz w:val="24"/>
          <w:szCs w:val="24"/>
        </w:rPr>
      </w:pPr>
    </w:p>
    <w:p w14:paraId="604B527C" w14:textId="77777777" w:rsidR="00350381" w:rsidRDefault="00350381" w:rsidP="005B22B2">
      <w:pPr>
        <w:spacing w:after="0" w:line="240" w:lineRule="auto"/>
        <w:rPr>
          <w:rFonts w:ascii="Times New Roman" w:eastAsia="Times New Roman" w:hAnsi="Times New Roman"/>
          <w:bCs/>
          <w:sz w:val="24"/>
          <w:szCs w:val="24"/>
        </w:rPr>
      </w:pPr>
    </w:p>
    <w:p w14:paraId="604B527D" w14:textId="77777777" w:rsidR="00350381" w:rsidRDefault="00350381" w:rsidP="005B22B2">
      <w:pPr>
        <w:spacing w:after="0" w:line="240" w:lineRule="auto"/>
        <w:rPr>
          <w:rFonts w:ascii="Times New Roman" w:eastAsia="Times New Roman" w:hAnsi="Times New Roman"/>
          <w:bCs/>
          <w:sz w:val="24"/>
          <w:szCs w:val="24"/>
        </w:rPr>
      </w:pPr>
    </w:p>
    <w:p w14:paraId="604B527E" w14:textId="77777777" w:rsidR="00350381" w:rsidRDefault="00350381" w:rsidP="005B22B2">
      <w:pPr>
        <w:spacing w:after="0" w:line="240" w:lineRule="auto"/>
        <w:rPr>
          <w:rFonts w:ascii="Times New Roman" w:eastAsia="Times New Roman" w:hAnsi="Times New Roman"/>
          <w:bCs/>
          <w:sz w:val="24"/>
          <w:szCs w:val="24"/>
        </w:rPr>
      </w:pPr>
    </w:p>
    <w:p w14:paraId="604B527F" w14:textId="77777777" w:rsidR="00F43FEA" w:rsidRDefault="00F43FEA" w:rsidP="005B22B2">
      <w:pPr>
        <w:spacing w:after="0" w:line="240" w:lineRule="auto"/>
        <w:jc w:val="center"/>
        <w:rPr>
          <w:rFonts w:ascii="Times New Roman" w:hAnsi="Times New Roman"/>
          <w:i/>
          <w:color w:val="000000"/>
          <w:sz w:val="20"/>
          <w:szCs w:val="20"/>
          <w:u w:val="single"/>
        </w:rPr>
      </w:pPr>
    </w:p>
    <w:p w14:paraId="604B5280" w14:textId="77777777" w:rsidR="0015327E" w:rsidRPr="00C3686C" w:rsidRDefault="0015327E" w:rsidP="005B22B2">
      <w:pPr>
        <w:spacing w:after="0" w:line="240" w:lineRule="auto"/>
        <w:jc w:val="center"/>
        <w:rPr>
          <w:rFonts w:ascii="Times New Roman" w:hAnsi="Times New Roman"/>
          <w:i/>
          <w:color w:val="000000"/>
          <w:sz w:val="20"/>
          <w:szCs w:val="20"/>
        </w:rPr>
      </w:pPr>
      <w:r w:rsidRPr="00C3686C">
        <w:rPr>
          <w:rFonts w:ascii="Times New Roman" w:hAnsi="Times New Roman"/>
          <w:i/>
          <w:color w:val="000000"/>
          <w:sz w:val="20"/>
          <w:szCs w:val="20"/>
          <w:u w:val="single"/>
        </w:rPr>
        <w:t>Source</w:t>
      </w:r>
      <w:r w:rsidRPr="00C3686C">
        <w:rPr>
          <w:rFonts w:ascii="Times New Roman" w:hAnsi="Times New Roman"/>
          <w:i/>
          <w:color w:val="000000"/>
          <w:sz w:val="20"/>
          <w:szCs w:val="20"/>
        </w:rPr>
        <w:t> : Rapports de progrès Groupe</w:t>
      </w:r>
      <w:r>
        <w:rPr>
          <w:rFonts w:ascii="Times New Roman" w:hAnsi="Times New Roman"/>
          <w:i/>
          <w:color w:val="000000"/>
          <w:sz w:val="20"/>
          <w:szCs w:val="20"/>
        </w:rPr>
        <w:t>s de résultats, UNDAF+ 2015-2017</w:t>
      </w:r>
    </w:p>
    <w:p w14:paraId="604B5281" w14:textId="77777777" w:rsidR="00350381" w:rsidRDefault="00350381" w:rsidP="005B22B2">
      <w:pPr>
        <w:spacing w:after="0" w:line="240" w:lineRule="auto"/>
        <w:rPr>
          <w:rFonts w:ascii="Times New Roman" w:eastAsia="Times New Roman" w:hAnsi="Times New Roman"/>
          <w:bCs/>
          <w:sz w:val="24"/>
          <w:szCs w:val="24"/>
        </w:rPr>
      </w:pPr>
    </w:p>
    <w:p w14:paraId="604B5282" w14:textId="77777777" w:rsidR="00D81E93" w:rsidRDefault="00D5438C"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142</w:t>
      </w:r>
      <w:r w:rsidR="0048539E">
        <w:rPr>
          <w:rFonts w:ascii="Times New Roman" w:eastAsia="Times New Roman" w:hAnsi="Times New Roman"/>
          <w:bCs/>
          <w:sz w:val="24"/>
          <w:szCs w:val="24"/>
        </w:rPr>
        <w:t>.</w:t>
      </w:r>
      <w:r w:rsidR="00880058">
        <w:rPr>
          <w:rFonts w:ascii="Times New Roman" w:eastAsia="Times New Roman" w:hAnsi="Times New Roman"/>
          <w:bCs/>
          <w:sz w:val="24"/>
          <w:szCs w:val="24"/>
        </w:rPr>
        <w:tab/>
        <w:t>Enfin, en considérant comme base de comparaison non plus les ressources que le programme a effectivement mobilisées mais le stock qu’il avait prévu de mobilis</w:t>
      </w:r>
      <w:r w:rsidR="00B01FCC">
        <w:rPr>
          <w:rFonts w:ascii="Times New Roman" w:eastAsia="Times New Roman" w:hAnsi="Times New Roman"/>
          <w:bCs/>
          <w:sz w:val="24"/>
          <w:szCs w:val="24"/>
        </w:rPr>
        <w:t>er</w:t>
      </w:r>
      <w:r w:rsidR="00880058">
        <w:rPr>
          <w:rFonts w:ascii="Times New Roman" w:eastAsia="Times New Roman" w:hAnsi="Times New Roman"/>
          <w:bCs/>
          <w:sz w:val="24"/>
          <w:szCs w:val="24"/>
        </w:rPr>
        <w:t xml:space="preserve"> et qui est reflété dans la matrice des résultats et des ressources, le profil de performance se modifie encore.  Cette perspective est du reste la plus légitime du point de vue de l’évaluation du niveau d’effort global, et de l’appréhension de la capacité </w:t>
      </w:r>
      <w:r w:rsidR="00B01FCC">
        <w:rPr>
          <w:rFonts w:ascii="Times New Roman" w:eastAsia="Times New Roman" w:hAnsi="Times New Roman"/>
          <w:bCs/>
          <w:sz w:val="24"/>
          <w:szCs w:val="24"/>
        </w:rPr>
        <w:t xml:space="preserve">du programme </w:t>
      </w:r>
      <w:r w:rsidR="00880058">
        <w:rPr>
          <w:rFonts w:ascii="Times New Roman" w:eastAsia="Times New Roman" w:hAnsi="Times New Roman"/>
          <w:bCs/>
          <w:sz w:val="24"/>
          <w:szCs w:val="24"/>
        </w:rPr>
        <w:t>à tenir ses engagements stratégiques. Donc sur la base de la programmation financière initiale, à mi chemin de son cycle</w:t>
      </w:r>
      <w:r w:rsidR="00B01FCC">
        <w:rPr>
          <w:rFonts w:ascii="Times New Roman" w:eastAsia="Times New Roman" w:hAnsi="Times New Roman"/>
          <w:bCs/>
          <w:sz w:val="24"/>
          <w:szCs w:val="24"/>
        </w:rPr>
        <w:t>,</w:t>
      </w:r>
      <w:r w:rsidR="00880058">
        <w:rPr>
          <w:rFonts w:ascii="Times New Roman" w:eastAsia="Times New Roman" w:hAnsi="Times New Roman"/>
          <w:bCs/>
          <w:sz w:val="24"/>
          <w:szCs w:val="24"/>
        </w:rPr>
        <w:t xml:space="preserve"> l’UNDAF+ a injecté dans l’environnement de développement du Mali 25% des ressources qu’il a prévu d’y investir pendant son cycle de vie. Pourtant, comme indiqué plus haut, c’est bien 40% de ce montant qu’il </w:t>
      </w:r>
      <w:r w:rsidR="0046534E">
        <w:rPr>
          <w:rFonts w:ascii="Times New Roman" w:eastAsia="Times New Roman" w:hAnsi="Times New Roman"/>
          <w:bCs/>
          <w:sz w:val="24"/>
          <w:szCs w:val="24"/>
        </w:rPr>
        <w:t>a mobilisé sur la même période.</w:t>
      </w:r>
    </w:p>
    <w:p w14:paraId="604B5283" w14:textId="77777777" w:rsidR="0046534E" w:rsidRDefault="0046534E" w:rsidP="005B22B2">
      <w:pPr>
        <w:spacing w:after="0" w:line="240" w:lineRule="auto"/>
        <w:jc w:val="both"/>
        <w:rPr>
          <w:rFonts w:ascii="Times New Roman" w:eastAsia="Times New Roman" w:hAnsi="Times New Roman"/>
          <w:bCs/>
          <w:sz w:val="24"/>
          <w:szCs w:val="24"/>
        </w:rPr>
      </w:pPr>
    </w:p>
    <w:p w14:paraId="604B5284" w14:textId="77777777" w:rsidR="0046534E" w:rsidRDefault="0046534E" w:rsidP="005B22B2">
      <w:pPr>
        <w:pStyle w:val="Titre1"/>
        <w:tabs>
          <w:tab w:val="center" w:pos="4535"/>
        </w:tabs>
        <w:spacing w:before="0" w:line="240" w:lineRule="auto"/>
        <w:jc w:val="center"/>
        <w:rPr>
          <w:rFonts w:ascii="Times New Roman" w:hAnsi="Times New Roman"/>
          <w:b w:val="0"/>
          <w:color w:val="auto"/>
          <w:sz w:val="24"/>
          <w:szCs w:val="24"/>
        </w:rPr>
      </w:pPr>
      <w:bookmarkStart w:id="238" w:name="_Toc502863827"/>
      <w:bookmarkStart w:id="239" w:name="_Toc502863914"/>
      <w:bookmarkStart w:id="240" w:name="_Toc505758443"/>
      <w:bookmarkStart w:id="241" w:name="_Toc505758486"/>
      <w:bookmarkStart w:id="242" w:name="_Toc506201578"/>
      <w:r>
        <w:rPr>
          <w:rFonts w:ascii="Times New Roman" w:hAnsi="Times New Roman"/>
          <w:b w:val="0"/>
          <w:color w:val="auto"/>
          <w:sz w:val="24"/>
          <w:szCs w:val="24"/>
        </w:rPr>
        <w:t>Graphe 3</w:t>
      </w:r>
      <w:r w:rsidRPr="00347A29">
        <w:rPr>
          <w:rFonts w:ascii="Times New Roman" w:hAnsi="Times New Roman"/>
          <w:b w:val="0"/>
          <w:color w:val="auto"/>
          <w:sz w:val="24"/>
          <w:szCs w:val="24"/>
        </w:rPr>
        <w:t xml:space="preserve"> : </w:t>
      </w:r>
      <w:r>
        <w:rPr>
          <w:rFonts w:ascii="Times New Roman" w:hAnsi="Times New Roman"/>
          <w:b w:val="0"/>
          <w:color w:val="auto"/>
          <w:sz w:val="24"/>
          <w:szCs w:val="24"/>
        </w:rPr>
        <w:t>Ressources : Programmation initiale vs Exécution</w:t>
      </w:r>
      <w:bookmarkEnd w:id="238"/>
      <w:bookmarkEnd w:id="239"/>
      <w:bookmarkEnd w:id="240"/>
      <w:bookmarkEnd w:id="241"/>
      <w:bookmarkEnd w:id="242"/>
    </w:p>
    <w:p w14:paraId="604B5285" w14:textId="77777777" w:rsidR="0046534E" w:rsidRDefault="0046534E" w:rsidP="005B22B2">
      <w:pPr>
        <w:spacing w:after="0" w:line="240" w:lineRule="auto"/>
        <w:rPr>
          <w:rFonts w:ascii="Times New Roman" w:hAnsi="Times New Roman"/>
          <w:b/>
          <w:sz w:val="24"/>
          <w:szCs w:val="24"/>
        </w:rPr>
      </w:pPr>
    </w:p>
    <w:p w14:paraId="604B5286" w14:textId="77777777" w:rsidR="000433C8" w:rsidRDefault="00414327" w:rsidP="005B22B2">
      <w:pPr>
        <w:spacing w:after="0" w:line="240" w:lineRule="auto"/>
        <w:rPr>
          <w:rFonts w:ascii="Times New Roman" w:hAnsi="Times New Roman"/>
          <w:b/>
          <w:sz w:val="24"/>
          <w:szCs w:val="24"/>
        </w:rPr>
      </w:pPr>
      <w:r>
        <w:rPr>
          <w:rFonts w:ascii="Times New Roman" w:hAnsi="Times New Roman"/>
          <w:b/>
          <w:noProof/>
          <w:sz w:val="24"/>
          <w:szCs w:val="24"/>
          <w:lang w:eastAsia="fr-FR"/>
        </w:rPr>
        <mc:AlternateContent>
          <mc:Choice Requires="wps">
            <w:drawing>
              <wp:anchor distT="0" distB="0" distL="114300" distR="114300" simplePos="0" relativeHeight="251674112" behindDoc="0" locked="0" layoutInCell="1" allowOverlap="1" wp14:anchorId="604B53A7" wp14:editId="604B53A8">
                <wp:simplePos x="0" y="0"/>
                <wp:positionH relativeFrom="column">
                  <wp:posOffset>-29845</wp:posOffset>
                </wp:positionH>
                <wp:positionV relativeFrom="paragraph">
                  <wp:posOffset>46990</wp:posOffset>
                </wp:positionV>
                <wp:extent cx="5727700" cy="2099310"/>
                <wp:effectExtent l="3810" t="3175" r="2540" b="254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09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B53C4" w14:textId="77777777" w:rsidR="0021189A" w:rsidRDefault="0021189A">
                            <w:r w:rsidRPr="000433C8">
                              <w:rPr>
                                <w:noProof/>
                                <w:lang w:eastAsia="fr-FR"/>
                              </w:rPr>
                              <w:drawing>
                                <wp:inline distT="0" distB="0" distL="0" distR="0" wp14:anchorId="604B53CD" wp14:editId="604B53CE">
                                  <wp:extent cx="5520157" cy="1960473"/>
                                  <wp:effectExtent l="19050" t="0" r="4343" b="0"/>
                                  <wp:docPr id="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53A7" id="Text Box 83" o:spid="_x0000_s1032" type="#_x0000_t202" style="position:absolute;margin-left:-2.35pt;margin-top:3.7pt;width:451pt;height:165.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VG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" stroked="f">
                <v:textbox>
                  <w:txbxContent>
                    <w:p w14:paraId="604B53C4" w14:textId="77777777" w:rsidR="0021189A" w:rsidRDefault="0021189A">
                      <w:r w:rsidRPr="000433C8">
                        <w:rPr>
                          <w:noProof/>
                          <w:lang w:eastAsia="fr-FR"/>
                        </w:rPr>
                        <w:drawing>
                          <wp:inline distT="0" distB="0" distL="0" distR="0" wp14:anchorId="604B53CD" wp14:editId="604B53CE">
                            <wp:extent cx="5520157" cy="1960473"/>
                            <wp:effectExtent l="19050" t="0" r="4343" b="0"/>
                            <wp:docPr id="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mc:Fallback>
        </mc:AlternateContent>
      </w:r>
    </w:p>
    <w:p w14:paraId="604B5287" w14:textId="77777777" w:rsidR="000433C8" w:rsidRDefault="000433C8" w:rsidP="005B22B2">
      <w:pPr>
        <w:spacing w:after="0" w:line="240" w:lineRule="auto"/>
        <w:rPr>
          <w:rFonts w:ascii="Times New Roman" w:hAnsi="Times New Roman"/>
          <w:b/>
          <w:sz w:val="24"/>
          <w:szCs w:val="24"/>
        </w:rPr>
      </w:pPr>
    </w:p>
    <w:p w14:paraId="604B5288" w14:textId="77777777" w:rsidR="000433C8" w:rsidRDefault="000433C8" w:rsidP="005B22B2">
      <w:pPr>
        <w:spacing w:after="0" w:line="240" w:lineRule="auto"/>
        <w:rPr>
          <w:rFonts w:ascii="Times New Roman" w:hAnsi="Times New Roman"/>
          <w:b/>
          <w:sz w:val="24"/>
          <w:szCs w:val="24"/>
        </w:rPr>
      </w:pPr>
    </w:p>
    <w:p w14:paraId="604B5289" w14:textId="77777777" w:rsidR="000433C8" w:rsidRDefault="000433C8" w:rsidP="005B22B2">
      <w:pPr>
        <w:spacing w:after="0" w:line="240" w:lineRule="auto"/>
        <w:rPr>
          <w:rFonts w:ascii="Times New Roman" w:hAnsi="Times New Roman"/>
          <w:b/>
          <w:sz w:val="24"/>
          <w:szCs w:val="24"/>
        </w:rPr>
      </w:pPr>
    </w:p>
    <w:p w14:paraId="604B528A" w14:textId="77777777" w:rsidR="000433C8" w:rsidRDefault="000433C8" w:rsidP="005B22B2">
      <w:pPr>
        <w:spacing w:after="0" w:line="240" w:lineRule="auto"/>
        <w:rPr>
          <w:rFonts w:ascii="Times New Roman" w:hAnsi="Times New Roman"/>
          <w:b/>
          <w:sz w:val="24"/>
          <w:szCs w:val="24"/>
        </w:rPr>
      </w:pPr>
    </w:p>
    <w:p w14:paraId="604B528B" w14:textId="77777777" w:rsidR="000433C8" w:rsidRDefault="000433C8" w:rsidP="005B22B2">
      <w:pPr>
        <w:spacing w:after="0" w:line="240" w:lineRule="auto"/>
        <w:rPr>
          <w:rFonts w:ascii="Times New Roman" w:hAnsi="Times New Roman"/>
          <w:b/>
          <w:sz w:val="24"/>
          <w:szCs w:val="24"/>
        </w:rPr>
      </w:pPr>
    </w:p>
    <w:p w14:paraId="604B528C" w14:textId="77777777" w:rsidR="000433C8" w:rsidRDefault="000433C8" w:rsidP="005B22B2">
      <w:pPr>
        <w:spacing w:after="0" w:line="240" w:lineRule="auto"/>
        <w:rPr>
          <w:rFonts w:ascii="Times New Roman" w:hAnsi="Times New Roman"/>
          <w:b/>
          <w:sz w:val="24"/>
          <w:szCs w:val="24"/>
        </w:rPr>
      </w:pPr>
    </w:p>
    <w:p w14:paraId="604B528D" w14:textId="77777777" w:rsidR="000433C8" w:rsidRDefault="000433C8" w:rsidP="005B22B2">
      <w:pPr>
        <w:spacing w:after="0" w:line="240" w:lineRule="auto"/>
        <w:rPr>
          <w:rFonts w:ascii="Times New Roman" w:hAnsi="Times New Roman"/>
          <w:b/>
          <w:sz w:val="24"/>
          <w:szCs w:val="24"/>
        </w:rPr>
      </w:pPr>
    </w:p>
    <w:p w14:paraId="604B528E" w14:textId="77777777" w:rsidR="000433C8" w:rsidRDefault="000433C8" w:rsidP="005B22B2">
      <w:pPr>
        <w:spacing w:after="0" w:line="240" w:lineRule="auto"/>
        <w:rPr>
          <w:rFonts w:ascii="Times New Roman" w:hAnsi="Times New Roman"/>
          <w:b/>
          <w:sz w:val="24"/>
          <w:szCs w:val="24"/>
        </w:rPr>
      </w:pPr>
    </w:p>
    <w:p w14:paraId="604B528F" w14:textId="77777777" w:rsidR="000433C8" w:rsidRDefault="000433C8" w:rsidP="005B22B2">
      <w:pPr>
        <w:spacing w:after="0" w:line="240" w:lineRule="auto"/>
        <w:rPr>
          <w:rFonts w:ascii="Times New Roman" w:hAnsi="Times New Roman"/>
          <w:b/>
          <w:sz w:val="24"/>
          <w:szCs w:val="24"/>
        </w:rPr>
      </w:pPr>
    </w:p>
    <w:p w14:paraId="604B5290" w14:textId="77777777" w:rsidR="000433C8" w:rsidRDefault="000433C8" w:rsidP="005B22B2">
      <w:pPr>
        <w:spacing w:after="0" w:line="240" w:lineRule="auto"/>
        <w:rPr>
          <w:rFonts w:ascii="Times New Roman" w:hAnsi="Times New Roman"/>
          <w:b/>
          <w:sz w:val="24"/>
          <w:szCs w:val="24"/>
        </w:rPr>
      </w:pPr>
    </w:p>
    <w:p w14:paraId="604B5291" w14:textId="77777777" w:rsidR="0015327E" w:rsidRDefault="0015327E" w:rsidP="005B22B2">
      <w:pPr>
        <w:spacing w:after="0" w:line="240" w:lineRule="auto"/>
        <w:rPr>
          <w:rFonts w:ascii="Times New Roman" w:hAnsi="Times New Roman"/>
          <w:b/>
          <w:sz w:val="24"/>
          <w:szCs w:val="24"/>
        </w:rPr>
      </w:pPr>
    </w:p>
    <w:p w14:paraId="604B5292" w14:textId="77777777" w:rsidR="00304E7E" w:rsidRDefault="00304E7E" w:rsidP="005B22B2">
      <w:pPr>
        <w:spacing w:after="0" w:line="240" w:lineRule="auto"/>
        <w:jc w:val="center"/>
        <w:rPr>
          <w:rFonts w:ascii="Times New Roman" w:hAnsi="Times New Roman"/>
          <w:i/>
          <w:color w:val="000000"/>
          <w:sz w:val="20"/>
          <w:szCs w:val="20"/>
          <w:u w:val="single"/>
        </w:rPr>
      </w:pPr>
    </w:p>
    <w:p w14:paraId="604B5293" w14:textId="77777777" w:rsidR="0015327E" w:rsidRPr="00C3686C" w:rsidRDefault="0015327E" w:rsidP="005B22B2">
      <w:pPr>
        <w:spacing w:after="0" w:line="240" w:lineRule="auto"/>
        <w:jc w:val="center"/>
        <w:rPr>
          <w:rFonts w:ascii="Times New Roman" w:hAnsi="Times New Roman"/>
          <w:i/>
          <w:color w:val="000000"/>
          <w:sz w:val="20"/>
          <w:szCs w:val="20"/>
        </w:rPr>
      </w:pPr>
      <w:r w:rsidRPr="00C3686C">
        <w:rPr>
          <w:rFonts w:ascii="Times New Roman" w:hAnsi="Times New Roman"/>
          <w:i/>
          <w:color w:val="000000"/>
          <w:sz w:val="20"/>
          <w:szCs w:val="20"/>
          <w:u w:val="single"/>
        </w:rPr>
        <w:t>Source</w:t>
      </w:r>
      <w:r w:rsidRPr="00C3686C">
        <w:rPr>
          <w:rFonts w:ascii="Times New Roman" w:hAnsi="Times New Roman"/>
          <w:i/>
          <w:color w:val="000000"/>
          <w:sz w:val="20"/>
          <w:szCs w:val="20"/>
        </w:rPr>
        <w:t> : Rapports de progrès Groupe</w:t>
      </w:r>
      <w:r>
        <w:rPr>
          <w:rFonts w:ascii="Times New Roman" w:hAnsi="Times New Roman"/>
          <w:i/>
          <w:color w:val="000000"/>
          <w:sz w:val="20"/>
          <w:szCs w:val="20"/>
        </w:rPr>
        <w:t>s de résultats, UNDAF+ 2015-2017</w:t>
      </w:r>
    </w:p>
    <w:p w14:paraId="604B5294" w14:textId="77777777" w:rsidR="0015327E" w:rsidRDefault="0015327E" w:rsidP="005B22B2">
      <w:pPr>
        <w:spacing w:after="0" w:line="240" w:lineRule="auto"/>
        <w:jc w:val="both"/>
        <w:rPr>
          <w:rFonts w:ascii="Times New Roman" w:eastAsia="Times New Roman" w:hAnsi="Times New Roman"/>
          <w:bCs/>
          <w:sz w:val="24"/>
          <w:szCs w:val="24"/>
        </w:rPr>
      </w:pPr>
    </w:p>
    <w:p w14:paraId="604B5295" w14:textId="77777777" w:rsidR="00B01FCC" w:rsidRDefault="0015327E"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14</w:t>
      </w:r>
      <w:r w:rsidR="00D5438C">
        <w:rPr>
          <w:rFonts w:ascii="Times New Roman" w:eastAsia="Times New Roman" w:hAnsi="Times New Roman"/>
          <w:bCs/>
          <w:sz w:val="24"/>
          <w:szCs w:val="24"/>
        </w:rPr>
        <w:t>3</w:t>
      </w:r>
      <w:r>
        <w:rPr>
          <w:rFonts w:ascii="Times New Roman" w:eastAsia="Times New Roman" w:hAnsi="Times New Roman"/>
          <w:bCs/>
          <w:sz w:val="24"/>
          <w:szCs w:val="24"/>
        </w:rPr>
        <w:t>.</w:t>
      </w:r>
      <w:r w:rsidR="006D5456">
        <w:rPr>
          <w:rFonts w:ascii="Times New Roman" w:eastAsia="Times New Roman" w:hAnsi="Times New Roman"/>
          <w:bCs/>
          <w:sz w:val="24"/>
          <w:szCs w:val="24"/>
        </w:rPr>
        <w:tab/>
        <w:t>Le décalage important entre le taux de mobilisation et le ratio de décaissement des ressources planifiées est relativement significatif</w:t>
      </w:r>
      <w:r w:rsidR="005A59AB">
        <w:rPr>
          <w:rFonts w:ascii="Times New Roman" w:eastAsia="Times New Roman" w:hAnsi="Times New Roman"/>
          <w:bCs/>
          <w:sz w:val="24"/>
          <w:szCs w:val="24"/>
        </w:rPr>
        <w:t>, le premier</w:t>
      </w:r>
      <w:r w:rsidR="00E013DD">
        <w:rPr>
          <w:rFonts w:ascii="Times New Roman" w:eastAsia="Times New Roman" w:hAnsi="Times New Roman"/>
          <w:bCs/>
          <w:sz w:val="24"/>
          <w:szCs w:val="24"/>
        </w:rPr>
        <w:t xml:space="preserve"> (40,36%)</w:t>
      </w:r>
      <w:r w:rsidR="005A59AB">
        <w:rPr>
          <w:rFonts w:ascii="Times New Roman" w:eastAsia="Times New Roman" w:hAnsi="Times New Roman"/>
          <w:bCs/>
          <w:sz w:val="24"/>
          <w:szCs w:val="24"/>
        </w:rPr>
        <w:t xml:space="preserve"> valant </w:t>
      </w:r>
      <w:r w:rsidR="00E013DD">
        <w:rPr>
          <w:rFonts w:ascii="Times New Roman" w:eastAsia="Times New Roman" w:hAnsi="Times New Roman"/>
          <w:bCs/>
          <w:sz w:val="24"/>
          <w:szCs w:val="24"/>
        </w:rPr>
        <w:t xml:space="preserve">plus de </w:t>
      </w:r>
      <w:r w:rsidR="005A59AB">
        <w:rPr>
          <w:rFonts w:ascii="Times New Roman" w:eastAsia="Times New Roman" w:hAnsi="Times New Roman"/>
          <w:bCs/>
          <w:sz w:val="24"/>
          <w:szCs w:val="24"/>
        </w:rPr>
        <w:t>1,6 fois le second</w:t>
      </w:r>
      <w:r w:rsidR="00E013DD">
        <w:rPr>
          <w:rFonts w:ascii="Times New Roman" w:eastAsia="Times New Roman" w:hAnsi="Times New Roman"/>
          <w:bCs/>
          <w:sz w:val="24"/>
          <w:szCs w:val="24"/>
        </w:rPr>
        <w:t xml:space="preserve"> (24,74%)</w:t>
      </w:r>
      <w:r w:rsidR="005A59AB">
        <w:rPr>
          <w:rFonts w:ascii="Times New Roman" w:eastAsia="Times New Roman" w:hAnsi="Times New Roman"/>
          <w:bCs/>
          <w:sz w:val="24"/>
          <w:szCs w:val="24"/>
        </w:rPr>
        <w:t xml:space="preserve">. Là repose sans doute </w:t>
      </w:r>
      <w:r w:rsidR="00AF6D5C">
        <w:rPr>
          <w:rFonts w:ascii="Times New Roman" w:eastAsia="Times New Roman" w:hAnsi="Times New Roman"/>
          <w:bCs/>
          <w:sz w:val="24"/>
          <w:szCs w:val="24"/>
        </w:rPr>
        <w:t>un</w:t>
      </w:r>
      <w:r w:rsidR="005A59AB">
        <w:rPr>
          <w:rFonts w:ascii="Times New Roman" w:eastAsia="Times New Roman" w:hAnsi="Times New Roman"/>
          <w:bCs/>
          <w:sz w:val="24"/>
          <w:szCs w:val="24"/>
        </w:rPr>
        <w:t xml:space="preserve"> défi fondamental </w:t>
      </w:r>
      <w:r w:rsidR="00DF13D2">
        <w:rPr>
          <w:rFonts w:ascii="Times New Roman" w:eastAsia="Times New Roman" w:hAnsi="Times New Roman"/>
          <w:bCs/>
          <w:sz w:val="24"/>
          <w:szCs w:val="24"/>
        </w:rPr>
        <w:t xml:space="preserve">à l’efficience </w:t>
      </w:r>
      <w:r w:rsidR="005A59AB">
        <w:rPr>
          <w:rFonts w:ascii="Times New Roman" w:eastAsia="Times New Roman" w:hAnsi="Times New Roman"/>
          <w:bCs/>
          <w:sz w:val="24"/>
          <w:szCs w:val="24"/>
        </w:rPr>
        <w:t>du programme</w:t>
      </w:r>
      <w:r w:rsidR="00DF13D2">
        <w:rPr>
          <w:rFonts w:ascii="Times New Roman" w:eastAsia="Times New Roman" w:hAnsi="Times New Roman"/>
          <w:bCs/>
          <w:sz w:val="24"/>
          <w:szCs w:val="24"/>
        </w:rPr>
        <w:t xml:space="preserve">, autour duquel se nouent ensuite diverses problématiques. Avec les besoins particulièrement importants qui existent dans un pays en sortie de crise, voire encore en situation de crise profonde, </w:t>
      </w:r>
      <w:r w:rsidR="00B01FCC">
        <w:rPr>
          <w:rFonts w:ascii="Times New Roman" w:eastAsia="Times New Roman" w:hAnsi="Times New Roman"/>
          <w:bCs/>
          <w:sz w:val="24"/>
          <w:szCs w:val="24"/>
        </w:rPr>
        <w:t>a</w:t>
      </w:r>
      <w:r w:rsidR="00DF13D2">
        <w:rPr>
          <w:rFonts w:ascii="Times New Roman" w:eastAsia="Times New Roman" w:hAnsi="Times New Roman"/>
          <w:bCs/>
          <w:sz w:val="24"/>
          <w:szCs w:val="24"/>
        </w:rPr>
        <w:t>voir 15</w:t>
      </w:r>
      <w:r w:rsidR="00E013DD">
        <w:rPr>
          <w:rFonts w:ascii="Times New Roman" w:eastAsia="Times New Roman" w:hAnsi="Times New Roman"/>
          <w:bCs/>
          <w:sz w:val="24"/>
          <w:szCs w:val="24"/>
        </w:rPr>
        <w:t xml:space="preserve">,62 </w:t>
      </w:r>
      <w:r w:rsidR="00DF13D2">
        <w:rPr>
          <w:rFonts w:ascii="Times New Roman" w:eastAsia="Times New Roman" w:hAnsi="Times New Roman"/>
          <w:bCs/>
          <w:sz w:val="24"/>
          <w:szCs w:val="24"/>
        </w:rPr>
        <w:t xml:space="preserve">% du budget global du programme sécurisé à mi parcours </w:t>
      </w:r>
      <w:r w:rsidR="00B01FCC">
        <w:rPr>
          <w:rFonts w:ascii="Times New Roman" w:eastAsia="Times New Roman" w:hAnsi="Times New Roman"/>
          <w:bCs/>
          <w:sz w:val="24"/>
          <w:szCs w:val="24"/>
        </w:rPr>
        <w:t xml:space="preserve">mais non </w:t>
      </w:r>
      <w:r w:rsidR="00DF13D2">
        <w:rPr>
          <w:rFonts w:ascii="Times New Roman" w:eastAsia="Times New Roman" w:hAnsi="Times New Roman"/>
          <w:bCs/>
          <w:sz w:val="24"/>
          <w:szCs w:val="24"/>
        </w:rPr>
        <w:t xml:space="preserve">décaissé est une entorse importante. </w:t>
      </w:r>
      <w:r w:rsidR="00E013DD">
        <w:rPr>
          <w:rFonts w:ascii="Times New Roman" w:eastAsia="Times New Roman" w:hAnsi="Times New Roman"/>
          <w:bCs/>
          <w:sz w:val="24"/>
          <w:szCs w:val="24"/>
        </w:rPr>
        <w:t>L</w:t>
      </w:r>
      <w:r w:rsidR="00B544AD">
        <w:rPr>
          <w:rFonts w:ascii="Times New Roman" w:eastAsia="Times New Roman" w:hAnsi="Times New Roman"/>
          <w:bCs/>
          <w:sz w:val="24"/>
          <w:szCs w:val="24"/>
        </w:rPr>
        <w:t>e</w:t>
      </w:r>
      <w:r w:rsidR="00E013DD">
        <w:rPr>
          <w:rFonts w:ascii="Times New Roman" w:eastAsia="Times New Roman" w:hAnsi="Times New Roman"/>
          <w:bCs/>
          <w:sz w:val="24"/>
          <w:szCs w:val="24"/>
        </w:rPr>
        <w:t xml:space="preserve"> stock de ressources dormantes à ce niveau s’élève en valeur à la </w:t>
      </w:r>
      <w:r w:rsidR="00E013DD" w:rsidRPr="00E013DD">
        <w:rPr>
          <w:rFonts w:ascii="Times New Roman" w:eastAsia="Times New Roman" w:hAnsi="Times New Roman"/>
          <w:bCs/>
          <w:sz w:val="24"/>
          <w:szCs w:val="24"/>
        </w:rPr>
        <w:t>177</w:t>
      </w:r>
      <w:r w:rsidR="00B544AD">
        <w:rPr>
          <w:rFonts w:ascii="Times New Roman" w:eastAsia="Times New Roman" w:hAnsi="Times New Roman"/>
          <w:bCs/>
          <w:sz w:val="24"/>
          <w:szCs w:val="24"/>
        </w:rPr>
        <w:t> </w:t>
      </w:r>
      <w:r w:rsidR="00E013DD" w:rsidRPr="00E013DD">
        <w:rPr>
          <w:rFonts w:ascii="Times New Roman" w:eastAsia="Times New Roman" w:hAnsi="Times New Roman"/>
          <w:bCs/>
          <w:sz w:val="24"/>
          <w:szCs w:val="24"/>
        </w:rPr>
        <w:t>718</w:t>
      </w:r>
      <w:r w:rsidR="00B544AD">
        <w:rPr>
          <w:rFonts w:ascii="Times New Roman" w:eastAsia="Times New Roman" w:hAnsi="Times New Roman"/>
          <w:bCs/>
          <w:sz w:val="24"/>
          <w:szCs w:val="24"/>
        </w:rPr>
        <w:t xml:space="preserve"> </w:t>
      </w:r>
      <w:r w:rsidR="00E013DD" w:rsidRPr="00E013DD">
        <w:rPr>
          <w:rFonts w:ascii="Times New Roman" w:eastAsia="Times New Roman" w:hAnsi="Times New Roman"/>
          <w:bCs/>
          <w:sz w:val="24"/>
          <w:szCs w:val="24"/>
        </w:rPr>
        <w:t>528,9</w:t>
      </w:r>
      <w:r w:rsidR="00E013DD">
        <w:rPr>
          <w:rFonts w:ascii="Times New Roman" w:eastAsia="Times New Roman" w:hAnsi="Times New Roman"/>
          <w:bCs/>
          <w:sz w:val="24"/>
          <w:szCs w:val="24"/>
        </w:rPr>
        <w:t xml:space="preserve"> USD. </w:t>
      </w:r>
    </w:p>
    <w:p w14:paraId="604B5296" w14:textId="77777777" w:rsidR="00B01FCC" w:rsidRDefault="00B01FCC" w:rsidP="005B22B2">
      <w:pPr>
        <w:spacing w:after="0" w:line="240" w:lineRule="auto"/>
        <w:jc w:val="both"/>
        <w:rPr>
          <w:rFonts w:ascii="Times New Roman" w:eastAsia="Times New Roman" w:hAnsi="Times New Roman"/>
          <w:bCs/>
          <w:sz w:val="24"/>
          <w:szCs w:val="24"/>
        </w:rPr>
      </w:pPr>
    </w:p>
    <w:p w14:paraId="604B5297" w14:textId="77777777" w:rsidR="006D5456" w:rsidRDefault="00D5438C"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144</w:t>
      </w:r>
      <w:r w:rsidR="007E34BC">
        <w:rPr>
          <w:rFonts w:ascii="Times New Roman" w:eastAsia="Times New Roman" w:hAnsi="Times New Roman"/>
          <w:bCs/>
          <w:sz w:val="24"/>
          <w:szCs w:val="24"/>
        </w:rPr>
        <w:t>.</w:t>
      </w:r>
      <w:r w:rsidR="00B01FCC">
        <w:rPr>
          <w:rFonts w:ascii="Times New Roman" w:eastAsia="Times New Roman" w:hAnsi="Times New Roman"/>
          <w:bCs/>
          <w:sz w:val="24"/>
          <w:szCs w:val="24"/>
        </w:rPr>
        <w:tab/>
      </w:r>
      <w:r w:rsidR="00E013DD">
        <w:rPr>
          <w:rFonts w:ascii="Times New Roman" w:eastAsia="Times New Roman" w:hAnsi="Times New Roman"/>
          <w:bCs/>
          <w:sz w:val="24"/>
          <w:szCs w:val="24"/>
        </w:rPr>
        <w:t>Naturellement, l’environnement de crise est pour beaucoup dans cette situation. La dégra</w:t>
      </w:r>
      <w:r w:rsidR="00B544AD">
        <w:rPr>
          <w:rFonts w:ascii="Times New Roman" w:eastAsia="Times New Roman" w:hAnsi="Times New Roman"/>
          <w:bCs/>
          <w:sz w:val="24"/>
          <w:szCs w:val="24"/>
        </w:rPr>
        <w:t>da</w:t>
      </w:r>
      <w:r w:rsidR="00E013DD">
        <w:rPr>
          <w:rFonts w:ascii="Times New Roman" w:eastAsia="Times New Roman" w:hAnsi="Times New Roman"/>
          <w:bCs/>
          <w:sz w:val="24"/>
          <w:szCs w:val="24"/>
        </w:rPr>
        <w:t>tion de la situation sécuritaire et l’expansion, ou le déplacement du conflit des régions du Nord vers celles du Centre</w:t>
      </w:r>
      <w:r w:rsidR="00B01FCC">
        <w:rPr>
          <w:rFonts w:ascii="Times New Roman" w:eastAsia="Times New Roman" w:hAnsi="Times New Roman"/>
          <w:bCs/>
          <w:sz w:val="24"/>
          <w:szCs w:val="24"/>
        </w:rPr>
        <w:t>,</w:t>
      </w:r>
      <w:r w:rsidR="00E013DD">
        <w:rPr>
          <w:rFonts w:ascii="Times New Roman" w:eastAsia="Times New Roman" w:hAnsi="Times New Roman"/>
          <w:bCs/>
          <w:sz w:val="24"/>
          <w:szCs w:val="24"/>
        </w:rPr>
        <w:t xml:space="preserve"> é</w:t>
      </w:r>
      <w:r w:rsidR="00B01FCC">
        <w:rPr>
          <w:rFonts w:ascii="Times New Roman" w:eastAsia="Times New Roman" w:hAnsi="Times New Roman"/>
          <w:bCs/>
          <w:sz w:val="24"/>
          <w:szCs w:val="24"/>
        </w:rPr>
        <w:t>rigent</w:t>
      </w:r>
      <w:r w:rsidR="00E013DD">
        <w:rPr>
          <w:rFonts w:ascii="Times New Roman" w:eastAsia="Times New Roman" w:hAnsi="Times New Roman"/>
          <w:bCs/>
          <w:sz w:val="24"/>
          <w:szCs w:val="24"/>
        </w:rPr>
        <w:t xml:space="preserve"> des contraintes additionnelles au déploiement du programme. </w:t>
      </w:r>
      <w:r w:rsidR="00B01FCC">
        <w:rPr>
          <w:rFonts w:ascii="Times New Roman" w:eastAsia="Times New Roman" w:hAnsi="Times New Roman"/>
          <w:bCs/>
          <w:sz w:val="24"/>
          <w:szCs w:val="24"/>
        </w:rPr>
        <w:t>Dans ce contexte dégradé, l</w:t>
      </w:r>
      <w:r w:rsidR="00E013DD">
        <w:rPr>
          <w:rFonts w:ascii="Times New Roman" w:eastAsia="Times New Roman" w:hAnsi="Times New Roman"/>
          <w:bCs/>
          <w:sz w:val="24"/>
          <w:szCs w:val="24"/>
        </w:rPr>
        <w:t xml:space="preserve">es actions humanitaires et de développement ont besoin de cycle d’intermédiation plus long. Là </w:t>
      </w:r>
      <w:r w:rsidR="00B01FCC">
        <w:rPr>
          <w:rFonts w:ascii="Times New Roman" w:eastAsia="Times New Roman" w:hAnsi="Times New Roman"/>
          <w:bCs/>
          <w:sz w:val="24"/>
          <w:szCs w:val="24"/>
        </w:rPr>
        <w:t xml:space="preserve">où </w:t>
      </w:r>
      <w:r w:rsidR="00E013DD">
        <w:rPr>
          <w:rFonts w:ascii="Times New Roman" w:eastAsia="Times New Roman" w:hAnsi="Times New Roman"/>
          <w:bCs/>
          <w:sz w:val="24"/>
          <w:szCs w:val="24"/>
        </w:rPr>
        <w:t xml:space="preserve">dans un environnement </w:t>
      </w:r>
      <w:r w:rsidR="00B01FCC">
        <w:rPr>
          <w:rFonts w:ascii="Times New Roman" w:eastAsia="Times New Roman" w:hAnsi="Times New Roman"/>
          <w:bCs/>
          <w:sz w:val="24"/>
          <w:szCs w:val="24"/>
        </w:rPr>
        <w:t xml:space="preserve">apaisé et stable, </w:t>
      </w:r>
      <w:r w:rsidR="00E013DD">
        <w:rPr>
          <w:rFonts w:ascii="Times New Roman" w:eastAsia="Times New Roman" w:hAnsi="Times New Roman"/>
          <w:bCs/>
          <w:sz w:val="24"/>
          <w:szCs w:val="24"/>
        </w:rPr>
        <w:t xml:space="preserve">une intervention </w:t>
      </w:r>
      <w:r w:rsidR="00B01FCC">
        <w:rPr>
          <w:rFonts w:ascii="Times New Roman" w:eastAsia="Times New Roman" w:hAnsi="Times New Roman"/>
          <w:bCs/>
          <w:sz w:val="24"/>
          <w:szCs w:val="24"/>
        </w:rPr>
        <w:t xml:space="preserve">de ce type </w:t>
      </w:r>
      <w:r w:rsidR="00E013DD">
        <w:rPr>
          <w:rFonts w:ascii="Times New Roman" w:eastAsia="Times New Roman" w:hAnsi="Times New Roman"/>
          <w:bCs/>
          <w:sz w:val="24"/>
          <w:szCs w:val="24"/>
        </w:rPr>
        <w:t xml:space="preserve">peut se dérouler dès que ses conditions techniques sont réunies, </w:t>
      </w:r>
      <w:r w:rsidR="00B01FCC">
        <w:rPr>
          <w:rFonts w:ascii="Times New Roman" w:eastAsia="Times New Roman" w:hAnsi="Times New Roman"/>
          <w:bCs/>
          <w:sz w:val="24"/>
          <w:szCs w:val="24"/>
        </w:rPr>
        <w:t xml:space="preserve">dans </w:t>
      </w:r>
      <w:r w:rsidR="00E013DD">
        <w:rPr>
          <w:rFonts w:ascii="Times New Roman" w:eastAsia="Times New Roman" w:hAnsi="Times New Roman"/>
          <w:bCs/>
          <w:sz w:val="24"/>
          <w:szCs w:val="24"/>
        </w:rPr>
        <w:t xml:space="preserve">le contexte du Mali, l’accompagnement </w:t>
      </w:r>
      <w:r w:rsidR="00B01FCC">
        <w:rPr>
          <w:rFonts w:ascii="Times New Roman" w:eastAsia="Times New Roman" w:hAnsi="Times New Roman"/>
          <w:bCs/>
          <w:sz w:val="24"/>
          <w:szCs w:val="24"/>
        </w:rPr>
        <w:t>sécuritaire d</w:t>
      </w:r>
      <w:r w:rsidR="00E013DD">
        <w:rPr>
          <w:rFonts w:ascii="Times New Roman" w:eastAsia="Times New Roman" w:hAnsi="Times New Roman"/>
          <w:bCs/>
          <w:sz w:val="24"/>
          <w:szCs w:val="24"/>
        </w:rPr>
        <w:t xml:space="preserve">e la Mission peut être requis. Généralement, il sera aussi besoin, par exemple, de </w:t>
      </w:r>
      <w:r w:rsidR="00B544AD">
        <w:rPr>
          <w:rFonts w:ascii="Times New Roman" w:eastAsia="Times New Roman" w:hAnsi="Times New Roman"/>
          <w:bCs/>
          <w:sz w:val="24"/>
          <w:szCs w:val="24"/>
        </w:rPr>
        <w:t>contractualiser</w:t>
      </w:r>
      <w:r w:rsidR="00E013DD">
        <w:rPr>
          <w:rFonts w:ascii="Times New Roman" w:eastAsia="Times New Roman" w:hAnsi="Times New Roman"/>
          <w:bCs/>
          <w:sz w:val="24"/>
          <w:szCs w:val="24"/>
        </w:rPr>
        <w:t xml:space="preserve"> avec une entité locale pour déroule</w:t>
      </w:r>
      <w:r w:rsidR="00B01FCC">
        <w:rPr>
          <w:rFonts w:ascii="Times New Roman" w:eastAsia="Times New Roman" w:hAnsi="Times New Roman"/>
          <w:bCs/>
          <w:sz w:val="24"/>
          <w:szCs w:val="24"/>
        </w:rPr>
        <w:t>r au quotidien l</w:t>
      </w:r>
      <w:r w:rsidR="00E013DD">
        <w:rPr>
          <w:rFonts w:ascii="Times New Roman" w:eastAsia="Times New Roman" w:hAnsi="Times New Roman"/>
          <w:bCs/>
          <w:sz w:val="24"/>
          <w:szCs w:val="24"/>
        </w:rPr>
        <w:t xml:space="preserve">es actions en question. Ce processus </w:t>
      </w:r>
      <w:r w:rsidR="00B01FCC">
        <w:rPr>
          <w:rFonts w:ascii="Times New Roman" w:eastAsia="Times New Roman" w:hAnsi="Times New Roman"/>
          <w:bCs/>
          <w:sz w:val="24"/>
          <w:szCs w:val="24"/>
        </w:rPr>
        <w:t xml:space="preserve">qui </w:t>
      </w:r>
      <w:r w:rsidR="00E013DD">
        <w:rPr>
          <w:rFonts w:ascii="Times New Roman" w:eastAsia="Times New Roman" w:hAnsi="Times New Roman"/>
          <w:bCs/>
          <w:sz w:val="24"/>
          <w:szCs w:val="24"/>
        </w:rPr>
        <w:t>absorbe plus de temps et bride sans doute le flux des ressou</w:t>
      </w:r>
      <w:r w:rsidR="00B544AD">
        <w:rPr>
          <w:rFonts w:ascii="Times New Roman" w:eastAsia="Times New Roman" w:hAnsi="Times New Roman"/>
          <w:bCs/>
          <w:sz w:val="24"/>
          <w:szCs w:val="24"/>
        </w:rPr>
        <w:t>rces, entr</w:t>
      </w:r>
      <w:r w:rsidR="00B01FCC">
        <w:rPr>
          <w:rFonts w:ascii="Times New Roman" w:eastAsia="Times New Roman" w:hAnsi="Times New Roman"/>
          <w:bCs/>
          <w:sz w:val="24"/>
          <w:szCs w:val="24"/>
        </w:rPr>
        <w:t>e</w:t>
      </w:r>
      <w:r w:rsidR="00B544AD">
        <w:rPr>
          <w:rFonts w:ascii="Times New Roman" w:eastAsia="Times New Roman" w:hAnsi="Times New Roman"/>
          <w:bCs/>
          <w:sz w:val="24"/>
          <w:szCs w:val="24"/>
        </w:rPr>
        <w:t xml:space="preserve"> </w:t>
      </w:r>
      <w:r w:rsidR="00B01FCC">
        <w:rPr>
          <w:rFonts w:ascii="Times New Roman" w:eastAsia="Times New Roman" w:hAnsi="Times New Roman"/>
          <w:bCs/>
          <w:sz w:val="24"/>
          <w:szCs w:val="24"/>
        </w:rPr>
        <w:t xml:space="preserve">en </w:t>
      </w:r>
      <w:r w:rsidR="00B544AD">
        <w:rPr>
          <w:rFonts w:ascii="Times New Roman" w:eastAsia="Times New Roman" w:hAnsi="Times New Roman"/>
          <w:bCs/>
          <w:sz w:val="24"/>
          <w:szCs w:val="24"/>
        </w:rPr>
        <w:t>grande pa</w:t>
      </w:r>
      <w:r w:rsidR="00E013DD">
        <w:rPr>
          <w:rFonts w:ascii="Times New Roman" w:eastAsia="Times New Roman" w:hAnsi="Times New Roman"/>
          <w:bCs/>
          <w:sz w:val="24"/>
          <w:szCs w:val="24"/>
        </w:rPr>
        <w:t>rtie</w:t>
      </w:r>
      <w:r w:rsidR="00B544AD">
        <w:rPr>
          <w:rFonts w:ascii="Times New Roman" w:eastAsia="Times New Roman" w:hAnsi="Times New Roman"/>
          <w:bCs/>
          <w:sz w:val="24"/>
          <w:szCs w:val="24"/>
        </w:rPr>
        <w:t xml:space="preserve"> </w:t>
      </w:r>
      <w:r w:rsidR="00E013DD">
        <w:rPr>
          <w:rFonts w:ascii="Times New Roman" w:eastAsia="Times New Roman" w:hAnsi="Times New Roman"/>
          <w:bCs/>
          <w:sz w:val="24"/>
          <w:szCs w:val="24"/>
        </w:rPr>
        <w:t>dans l’explication des difficultés à l’</w:t>
      </w:r>
      <w:r w:rsidR="00B544AD">
        <w:rPr>
          <w:rFonts w:ascii="Times New Roman" w:eastAsia="Times New Roman" w:hAnsi="Times New Roman"/>
          <w:bCs/>
          <w:sz w:val="24"/>
          <w:szCs w:val="24"/>
        </w:rPr>
        <w:t>absorption</w:t>
      </w:r>
      <w:r w:rsidR="00E013DD">
        <w:rPr>
          <w:rFonts w:ascii="Times New Roman" w:eastAsia="Times New Roman" w:hAnsi="Times New Roman"/>
          <w:bCs/>
          <w:sz w:val="24"/>
          <w:szCs w:val="24"/>
        </w:rPr>
        <w:t xml:space="preserve"> </w:t>
      </w:r>
      <w:r w:rsidR="00B01FCC">
        <w:rPr>
          <w:rFonts w:ascii="Times New Roman" w:eastAsia="Times New Roman" w:hAnsi="Times New Roman"/>
          <w:bCs/>
          <w:sz w:val="24"/>
          <w:szCs w:val="24"/>
        </w:rPr>
        <w:t>d</w:t>
      </w:r>
      <w:r w:rsidR="00E013DD">
        <w:rPr>
          <w:rFonts w:ascii="Times New Roman" w:eastAsia="Times New Roman" w:hAnsi="Times New Roman"/>
          <w:bCs/>
          <w:sz w:val="24"/>
          <w:szCs w:val="24"/>
        </w:rPr>
        <w:t xml:space="preserve">es </w:t>
      </w:r>
      <w:r w:rsidR="00B544AD">
        <w:rPr>
          <w:rFonts w:ascii="Times New Roman" w:eastAsia="Times New Roman" w:hAnsi="Times New Roman"/>
          <w:bCs/>
          <w:sz w:val="24"/>
          <w:szCs w:val="24"/>
        </w:rPr>
        <w:t>ressources</w:t>
      </w:r>
      <w:r w:rsidR="00E013DD">
        <w:rPr>
          <w:rFonts w:ascii="Times New Roman" w:eastAsia="Times New Roman" w:hAnsi="Times New Roman"/>
          <w:bCs/>
          <w:sz w:val="24"/>
          <w:szCs w:val="24"/>
        </w:rPr>
        <w:t>.</w:t>
      </w:r>
    </w:p>
    <w:p w14:paraId="604B5298" w14:textId="77777777" w:rsidR="00B544AD" w:rsidRDefault="00B544AD" w:rsidP="005B22B2">
      <w:pPr>
        <w:spacing w:after="0" w:line="240" w:lineRule="auto"/>
        <w:jc w:val="both"/>
        <w:rPr>
          <w:rFonts w:ascii="Times New Roman" w:eastAsia="Times New Roman" w:hAnsi="Times New Roman"/>
          <w:bCs/>
          <w:sz w:val="24"/>
          <w:szCs w:val="24"/>
        </w:rPr>
      </w:pPr>
    </w:p>
    <w:p w14:paraId="604B5299" w14:textId="77777777" w:rsidR="00B544AD" w:rsidRPr="003A1D53" w:rsidRDefault="0015327E" w:rsidP="005B22B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w:t>
      </w:r>
      <w:r w:rsidR="007E34BC">
        <w:rPr>
          <w:rFonts w:ascii="Times New Roman" w:eastAsia="Times New Roman" w:hAnsi="Times New Roman"/>
          <w:bCs/>
          <w:sz w:val="24"/>
          <w:szCs w:val="24"/>
        </w:rPr>
        <w:t>45</w:t>
      </w:r>
      <w:r>
        <w:rPr>
          <w:rFonts w:ascii="Times New Roman" w:eastAsia="Times New Roman" w:hAnsi="Times New Roman"/>
          <w:bCs/>
          <w:sz w:val="24"/>
          <w:szCs w:val="24"/>
        </w:rPr>
        <w:t>.</w:t>
      </w:r>
      <w:r w:rsidR="00B544AD">
        <w:rPr>
          <w:rFonts w:ascii="Times New Roman" w:eastAsia="Times New Roman" w:hAnsi="Times New Roman"/>
          <w:bCs/>
          <w:sz w:val="24"/>
          <w:szCs w:val="24"/>
        </w:rPr>
        <w:tab/>
        <w:t xml:space="preserve">Il y a aussi des contraintes intrinsèques au système, que la mission </w:t>
      </w:r>
      <w:r w:rsidR="005B22B2">
        <w:rPr>
          <w:rFonts w:ascii="Times New Roman" w:eastAsia="Times New Roman" w:hAnsi="Times New Roman"/>
          <w:bCs/>
          <w:sz w:val="24"/>
          <w:szCs w:val="24"/>
        </w:rPr>
        <w:t xml:space="preserve">d’évaluation </w:t>
      </w:r>
      <w:r w:rsidR="00B544AD">
        <w:rPr>
          <w:rFonts w:ascii="Times New Roman" w:eastAsia="Times New Roman" w:hAnsi="Times New Roman"/>
          <w:bCs/>
          <w:sz w:val="24"/>
          <w:szCs w:val="24"/>
        </w:rPr>
        <w:t>a pu observer dans le</w:t>
      </w:r>
      <w:r w:rsidR="005B22B2">
        <w:rPr>
          <w:rFonts w:ascii="Times New Roman" w:eastAsia="Times New Roman" w:hAnsi="Times New Roman"/>
          <w:bCs/>
          <w:sz w:val="24"/>
          <w:szCs w:val="24"/>
        </w:rPr>
        <w:t xml:space="preserve"> décaissement de ressources mises disposition par un partenaire bilatéral, dans le cadre d’un programme conjoint : i</w:t>
      </w:r>
      <w:r w:rsidR="00620E6A">
        <w:rPr>
          <w:rFonts w:ascii="Times New Roman" w:eastAsia="Times New Roman" w:hAnsi="Times New Roman"/>
          <w:bCs/>
          <w:sz w:val="24"/>
          <w:szCs w:val="24"/>
        </w:rPr>
        <w:t>l a fallu environ quatre mois pour faire passer les fonds du siège de l’Agence à sa représentation locale au Mali, puis trois autres mois pour que celle-ci les fasse arriver dans les comptes des agences partenaires</w:t>
      </w:r>
      <w:r w:rsidR="006123DE">
        <w:rPr>
          <w:rFonts w:ascii="Times New Roman" w:eastAsia="Times New Roman" w:hAnsi="Times New Roman"/>
          <w:bCs/>
          <w:sz w:val="24"/>
          <w:szCs w:val="24"/>
        </w:rPr>
        <w:t>, en tenant aussi compte des délais qui ont été nécessaires pour établir les ententes légales indispensables pour mouvementer des comptes entre agences au sein du système. Naturellement</w:t>
      </w:r>
      <w:r w:rsidR="00BB2716">
        <w:rPr>
          <w:rFonts w:ascii="Times New Roman" w:eastAsia="Times New Roman" w:hAnsi="Times New Roman"/>
          <w:bCs/>
          <w:sz w:val="24"/>
          <w:szCs w:val="24"/>
        </w:rPr>
        <w:t>,</w:t>
      </w:r>
      <w:r w:rsidR="006123DE">
        <w:rPr>
          <w:rFonts w:ascii="Times New Roman" w:eastAsia="Times New Roman" w:hAnsi="Times New Roman"/>
          <w:bCs/>
          <w:sz w:val="24"/>
          <w:szCs w:val="24"/>
        </w:rPr>
        <w:t xml:space="preserve"> le fait qu’il s’agisse d’un programme conjoint interdit de </w:t>
      </w:r>
      <w:r w:rsidR="006123DE" w:rsidRPr="003A1D53">
        <w:rPr>
          <w:rFonts w:ascii="Times New Roman" w:eastAsia="Times New Roman" w:hAnsi="Times New Roman"/>
          <w:bCs/>
          <w:sz w:val="24"/>
          <w:szCs w:val="24"/>
        </w:rPr>
        <w:t>considérer que ce cas soit typ</w:t>
      </w:r>
      <w:r w:rsidR="00BB2716" w:rsidRPr="003A1D53">
        <w:rPr>
          <w:rFonts w:ascii="Times New Roman" w:eastAsia="Times New Roman" w:hAnsi="Times New Roman"/>
          <w:bCs/>
          <w:sz w:val="24"/>
          <w:szCs w:val="24"/>
        </w:rPr>
        <w:t>iqu</w:t>
      </w:r>
      <w:r w:rsidR="006123DE" w:rsidRPr="003A1D53">
        <w:rPr>
          <w:rFonts w:ascii="Times New Roman" w:eastAsia="Times New Roman" w:hAnsi="Times New Roman"/>
          <w:bCs/>
          <w:sz w:val="24"/>
          <w:szCs w:val="24"/>
        </w:rPr>
        <w:t xml:space="preserve">e des délais </w:t>
      </w:r>
      <w:r w:rsidR="00BB2716" w:rsidRPr="003A1D53">
        <w:rPr>
          <w:rFonts w:ascii="Times New Roman" w:eastAsia="Times New Roman" w:hAnsi="Times New Roman"/>
          <w:bCs/>
          <w:sz w:val="24"/>
          <w:szCs w:val="24"/>
        </w:rPr>
        <w:t xml:space="preserve">budgétaires </w:t>
      </w:r>
      <w:r w:rsidR="006123DE" w:rsidRPr="003A1D53">
        <w:rPr>
          <w:rFonts w:ascii="Times New Roman" w:eastAsia="Times New Roman" w:hAnsi="Times New Roman"/>
          <w:bCs/>
          <w:sz w:val="24"/>
          <w:szCs w:val="24"/>
        </w:rPr>
        <w:t>courants dans le système. Malgré tout</w:t>
      </w:r>
      <w:r w:rsidR="00BB2716" w:rsidRPr="003A1D53">
        <w:rPr>
          <w:rFonts w:ascii="Times New Roman" w:eastAsia="Times New Roman" w:hAnsi="Times New Roman"/>
          <w:bCs/>
          <w:sz w:val="24"/>
          <w:szCs w:val="24"/>
        </w:rPr>
        <w:t>,</w:t>
      </w:r>
      <w:r w:rsidR="006123DE" w:rsidRPr="003A1D53">
        <w:rPr>
          <w:rFonts w:ascii="Times New Roman" w:eastAsia="Times New Roman" w:hAnsi="Times New Roman"/>
          <w:bCs/>
          <w:sz w:val="24"/>
          <w:szCs w:val="24"/>
        </w:rPr>
        <w:t xml:space="preserve"> il reste emblématique des lourdeurs procédurales à l’œuvre dans le programme, que </w:t>
      </w:r>
      <w:r w:rsidR="00BB2716" w:rsidRPr="003A1D53">
        <w:rPr>
          <w:rFonts w:ascii="Times New Roman" w:eastAsia="Times New Roman" w:hAnsi="Times New Roman"/>
          <w:bCs/>
          <w:sz w:val="24"/>
          <w:szCs w:val="24"/>
        </w:rPr>
        <w:t xml:space="preserve">les </w:t>
      </w:r>
      <w:r w:rsidR="006123DE" w:rsidRPr="003A1D53">
        <w:rPr>
          <w:rFonts w:ascii="Times New Roman" w:eastAsia="Times New Roman" w:hAnsi="Times New Roman"/>
          <w:bCs/>
          <w:sz w:val="24"/>
          <w:szCs w:val="24"/>
        </w:rPr>
        <w:t>partenaires nationaux et financiers ont régulièrement relayé auprès de la mission d’évaluation</w:t>
      </w:r>
      <w:r w:rsidR="00BB2716" w:rsidRPr="003A1D53">
        <w:rPr>
          <w:rFonts w:ascii="Times New Roman" w:eastAsia="Times New Roman" w:hAnsi="Times New Roman"/>
          <w:bCs/>
          <w:sz w:val="24"/>
          <w:szCs w:val="24"/>
        </w:rPr>
        <w:t xml:space="preserve"> (entretiens).</w:t>
      </w:r>
    </w:p>
    <w:p w14:paraId="604B529A" w14:textId="77777777" w:rsidR="00BB2716" w:rsidRPr="003A1D53" w:rsidRDefault="00BB2716" w:rsidP="005B22B2">
      <w:pPr>
        <w:spacing w:after="0" w:line="240" w:lineRule="auto"/>
        <w:jc w:val="both"/>
        <w:rPr>
          <w:rFonts w:ascii="Times New Roman" w:eastAsia="Times New Roman" w:hAnsi="Times New Roman"/>
          <w:bCs/>
          <w:sz w:val="24"/>
          <w:szCs w:val="24"/>
        </w:rPr>
      </w:pPr>
    </w:p>
    <w:p w14:paraId="604B529B" w14:textId="77777777" w:rsidR="003D5FB2" w:rsidRPr="003A1D53" w:rsidRDefault="007E34BC" w:rsidP="003D5FB2">
      <w:pPr>
        <w:spacing w:after="0" w:line="240" w:lineRule="auto"/>
        <w:jc w:val="both"/>
        <w:rPr>
          <w:rFonts w:ascii="Times New Roman" w:hAnsi="Times New Roman"/>
          <w:sz w:val="24"/>
          <w:szCs w:val="24"/>
        </w:rPr>
      </w:pPr>
      <w:r w:rsidRPr="003A1D53">
        <w:rPr>
          <w:rFonts w:ascii="Times New Roman" w:hAnsi="Times New Roman"/>
          <w:sz w:val="24"/>
          <w:szCs w:val="24"/>
        </w:rPr>
        <w:t>146.</w:t>
      </w:r>
      <w:r w:rsidR="003D5FB2" w:rsidRPr="003A1D53">
        <w:rPr>
          <w:rFonts w:ascii="Times New Roman" w:hAnsi="Times New Roman"/>
          <w:sz w:val="24"/>
          <w:szCs w:val="24"/>
        </w:rPr>
        <w:tab/>
        <w:t xml:space="preserve">La distribution de l’effort d’efficience du programme à travers  ses axes et effets peut être appréhendée en confrontant le niveau de livraison de produits dans ces différents segments et la quotité utilisée sur le stock de ressources initialement planifié. L’hypothèse de base ici est que la matrice de résultats et de ressources du programme a construit un modèle budgétaire initial rationnel, voire parfait, qui dédie aux différents Effets les ressources strictement nécessaires à la mise en place de leurs produits. Sur cette base, à mi parcours le budget de droit </w:t>
      </w:r>
      <w:r w:rsidR="003D5FB2" w:rsidRPr="003A1D53">
        <w:rPr>
          <w:rFonts w:ascii="Times New Roman" w:hAnsi="Times New Roman"/>
          <w:sz w:val="24"/>
          <w:szCs w:val="24"/>
        </w:rPr>
        <w:lastRenderedPageBreak/>
        <w:t xml:space="preserve">sous les différents Effets est la moitié des provisions prévues pour l’ensemble du cycle, tandis que le budget réel est la somme des ressources effectivement consommé par Effet. Le tableau ci-dessus sous-tend cette analyse. </w:t>
      </w:r>
    </w:p>
    <w:p w14:paraId="604B529C" w14:textId="77777777" w:rsidR="003D5FB2" w:rsidRPr="003A1D53" w:rsidRDefault="003D5FB2" w:rsidP="003D5FB2">
      <w:pPr>
        <w:spacing w:after="0" w:line="240" w:lineRule="auto"/>
        <w:rPr>
          <w:rFonts w:ascii="Times New Roman" w:hAnsi="Times New Roman"/>
          <w:sz w:val="24"/>
          <w:szCs w:val="24"/>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5"/>
        <w:gridCol w:w="1275"/>
        <w:gridCol w:w="1320"/>
        <w:gridCol w:w="1875"/>
        <w:gridCol w:w="1265"/>
        <w:gridCol w:w="1200"/>
      </w:tblGrid>
      <w:tr w:rsidR="003D5FB2" w:rsidRPr="003A1D53" w14:paraId="604B529E" w14:textId="77777777" w:rsidTr="001B1890">
        <w:trPr>
          <w:trHeight w:val="315"/>
          <w:jc w:val="center"/>
        </w:trPr>
        <w:tc>
          <w:tcPr>
            <w:tcW w:w="7940" w:type="dxa"/>
            <w:gridSpan w:val="6"/>
            <w:tcBorders>
              <w:top w:val="single" w:sz="4" w:space="0" w:color="auto"/>
            </w:tcBorders>
            <w:shd w:val="clear" w:color="auto" w:fill="auto"/>
            <w:vAlign w:val="center"/>
            <w:hideMark/>
          </w:tcPr>
          <w:p w14:paraId="604B529D"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 </w:t>
            </w:r>
          </w:p>
        </w:tc>
      </w:tr>
      <w:tr w:rsidR="003D5FB2" w:rsidRPr="003A1D53" w14:paraId="604B52A7" w14:textId="77777777" w:rsidTr="001B1890">
        <w:trPr>
          <w:trHeight w:val="315"/>
          <w:jc w:val="center"/>
        </w:trPr>
        <w:tc>
          <w:tcPr>
            <w:tcW w:w="1005" w:type="dxa"/>
            <w:shd w:val="clear" w:color="auto" w:fill="auto"/>
            <w:vAlign w:val="center"/>
            <w:hideMark/>
          </w:tcPr>
          <w:p w14:paraId="604B529F"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Axes</w:t>
            </w:r>
          </w:p>
        </w:tc>
        <w:tc>
          <w:tcPr>
            <w:tcW w:w="1275" w:type="dxa"/>
            <w:shd w:val="clear" w:color="auto" w:fill="auto"/>
            <w:vAlign w:val="center"/>
            <w:hideMark/>
          </w:tcPr>
          <w:p w14:paraId="604B52A0"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Effet</w:t>
            </w:r>
          </w:p>
        </w:tc>
        <w:tc>
          <w:tcPr>
            <w:tcW w:w="1320" w:type="dxa"/>
            <w:shd w:val="clear" w:color="auto" w:fill="auto"/>
            <w:vAlign w:val="center"/>
            <w:hideMark/>
          </w:tcPr>
          <w:p w14:paraId="604B52A1" w14:textId="77777777" w:rsidR="003D5FB2" w:rsidRPr="003A1D53" w:rsidRDefault="003D5FB2" w:rsidP="003D5FB2">
            <w:pPr>
              <w:spacing w:after="0" w:line="240" w:lineRule="auto"/>
              <w:jc w:val="center"/>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Budget global initial</w:t>
            </w:r>
          </w:p>
        </w:tc>
        <w:tc>
          <w:tcPr>
            <w:tcW w:w="1875" w:type="dxa"/>
            <w:shd w:val="clear" w:color="auto" w:fill="auto"/>
            <w:noWrap/>
            <w:vAlign w:val="center"/>
            <w:hideMark/>
          </w:tcPr>
          <w:p w14:paraId="604B52A2" w14:textId="77777777" w:rsidR="003D5FB2" w:rsidRPr="003A1D53" w:rsidRDefault="003D5FB2" w:rsidP="003D5FB2">
            <w:pPr>
              <w:spacing w:after="0" w:line="240" w:lineRule="auto"/>
              <w:jc w:val="center"/>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Ce que devrait être les ressources à mi-parcours</w:t>
            </w:r>
          </w:p>
          <w:p w14:paraId="604B52A3" w14:textId="77777777" w:rsidR="003D5FB2" w:rsidRPr="003A1D53" w:rsidRDefault="003D5FB2" w:rsidP="003D5FB2">
            <w:pPr>
              <w:spacing w:after="0" w:line="240" w:lineRule="auto"/>
              <w:jc w:val="center"/>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(1)</w:t>
            </w:r>
          </w:p>
        </w:tc>
        <w:tc>
          <w:tcPr>
            <w:tcW w:w="1265" w:type="dxa"/>
            <w:shd w:val="clear" w:color="auto" w:fill="auto"/>
            <w:noWrap/>
            <w:vAlign w:val="center"/>
            <w:hideMark/>
          </w:tcPr>
          <w:p w14:paraId="604B52A4" w14:textId="77777777" w:rsidR="003D5FB2" w:rsidRPr="003A1D53" w:rsidRDefault="003D5FB2" w:rsidP="003D5FB2">
            <w:pPr>
              <w:spacing w:after="0" w:line="240" w:lineRule="auto"/>
              <w:jc w:val="center"/>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Ressources absorbées à mi-parcours</w:t>
            </w:r>
          </w:p>
          <w:p w14:paraId="604B52A5" w14:textId="77777777" w:rsidR="003D5FB2" w:rsidRPr="003A1D53" w:rsidRDefault="003D5FB2" w:rsidP="003D5FB2">
            <w:pPr>
              <w:spacing w:after="0" w:line="240" w:lineRule="auto"/>
              <w:jc w:val="center"/>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(2)</w:t>
            </w:r>
          </w:p>
        </w:tc>
        <w:tc>
          <w:tcPr>
            <w:tcW w:w="1200" w:type="dxa"/>
            <w:shd w:val="clear" w:color="auto" w:fill="auto"/>
            <w:noWrap/>
            <w:vAlign w:val="center"/>
            <w:hideMark/>
          </w:tcPr>
          <w:p w14:paraId="604B52A6" w14:textId="77777777" w:rsidR="003D5FB2" w:rsidRPr="003A1D53" w:rsidRDefault="003D5FB2" w:rsidP="003D5FB2">
            <w:pPr>
              <w:spacing w:after="0" w:line="240" w:lineRule="auto"/>
              <w:jc w:val="center"/>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Ratio (2)/(1)</w:t>
            </w:r>
          </w:p>
        </w:tc>
      </w:tr>
      <w:tr w:rsidR="003D5FB2" w:rsidRPr="003A1D53" w14:paraId="604B52AE" w14:textId="77777777" w:rsidTr="001B1890">
        <w:trPr>
          <w:trHeight w:val="315"/>
          <w:jc w:val="center"/>
        </w:trPr>
        <w:tc>
          <w:tcPr>
            <w:tcW w:w="1005" w:type="dxa"/>
            <w:shd w:val="clear" w:color="auto" w:fill="auto"/>
            <w:vAlign w:val="center"/>
            <w:hideMark/>
          </w:tcPr>
          <w:p w14:paraId="604B52A8"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Axe 1</w:t>
            </w:r>
          </w:p>
        </w:tc>
        <w:tc>
          <w:tcPr>
            <w:tcW w:w="1275" w:type="dxa"/>
            <w:shd w:val="clear" w:color="auto" w:fill="auto"/>
            <w:vAlign w:val="center"/>
            <w:hideMark/>
          </w:tcPr>
          <w:p w14:paraId="604B52A9"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Effets (1+2)</w:t>
            </w:r>
          </w:p>
        </w:tc>
        <w:tc>
          <w:tcPr>
            <w:tcW w:w="1320" w:type="dxa"/>
            <w:shd w:val="clear" w:color="auto" w:fill="auto"/>
            <w:vAlign w:val="center"/>
            <w:hideMark/>
          </w:tcPr>
          <w:p w14:paraId="604B52AA"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253 700 703</w:t>
            </w:r>
          </w:p>
        </w:tc>
        <w:tc>
          <w:tcPr>
            <w:tcW w:w="1875" w:type="dxa"/>
            <w:shd w:val="clear" w:color="auto" w:fill="auto"/>
            <w:noWrap/>
            <w:vAlign w:val="center"/>
            <w:hideMark/>
          </w:tcPr>
          <w:p w14:paraId="604B52AB"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 xml:space="preserve">          126 850 352   </w:t>
            </w:r>
          </w:p>
        </w:tc>
        <w:tc>
          <w:tcPr>
            <w:tcW w:w="1265" w:type="dxa"/>
            <w:shd w:val="clear" w:color="auto" w:fill="auto"/>
            <w:vAlign w:val="center"/>
            <w:hideMark/>
          </w:tcPr>
          <w:p w14:paraId="604B52AC"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49 872 420</w:t>
            </w:r>
          </w:p>
        </w:tc>
        <w:tc>
          <w:tcPr>
            <w:tcW w:w="1200" w:type="dxa"/>
            <w:shd w:val="clear" w:color="auto" w:fill="auto"/>
            <w:noWrap/>
            <w:vAlign w:val="center"/>
            <w:hideMark/>
          </w:tcPr>
          <w:p w14:paraId="604B52AD"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39%</w:t>
            </w:r>
          </w:p>
        </w:tc>
      </w:tr>
      <w:tr w:rsidR="003D5FB2" w:rsidRPr="003A1D53" w14:paraId="604B52B5" w14:textId="77777777" w:rsidTr="001B1890">
        <w:trPr>
          <w:trHeight w:val="315"/>
          <w:jc w:val="center"/>
        </w:trPr>
        <w:tc>
          <w:tcPr>
            <w:tcW w:w="1005" w:type="dxa"/>
            <w:shd w:val="clear" w:color="auto" w:fill="auto"/>
            <w:vAlign w:val="center"/>
            <w:hideMark/>
          </w:tcPr>
          <w:p w14:paraId="604B52AF"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Axe 2</w:t>
            </w:r>
          </w:p>
        </w:tc>
        <w:tc>
          <w:tcPr>
            <w:tcW w:w="1275" w:type="dxa"/>
            <w:shd w:val="clear" w:color="auto" w:fill="auto"/>
            <w:vAlign w:val="center"/>
            <w:hideMark/>
          </w:tcPr>
          <w:p w14:paraId="604B52B0"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Effet 3</w:t>
            </w:r>
          </w:p>
        </w:tc>
        <w:tc>
          <w:tcPr>
            <w:tcW w:w="1320" w:type="dxa"/>
            <w:shd w:val="clear" w:color="auto" w:fill="auto"/>
            <w:vAlign w:val="center"/>
            <w:hideMark/>
          </w:tcPr>
          <w:p w14:paraId="604B52B1"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96 719 719</w:t>
            </w:r>
          </w:p>
        </w:tc>
        <w:tc>
          <w:tcPr>
            <w:tcW w:w="1875" w:type="dxa"/>
            <w:shd w:val="clear" w:color="auto" w:fill="auto"/>
            <w:noWrap/>
            <w:vAlign w:val="center"/>
            <w:hideMark/>
          </w:tcPr>
          <w:p w14:paraId="604B52B2"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 xml:space="preserve">             48 359 860   </w:t>
            </w:r>
          </w:p>
        </w:tc>
        <w:tc>
          <w:tcPr>
            <w:tcW w:w="1265" w:type="dxa"/>
            <w:shd w:val="clear" w:color="auto" w:fill="auto"/>
            <w:vAlign w:val="center"/>
            <w:hideMark/>
          </w:tcPr>
          <w:p w14:paraId="604B52B3"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18 528 229</w:t>
            </w:r>
          </w:p>
        </w:tc>
        <w:tc>
          <w:tcPr>
            <w:tcW w:w="1200" w:type="dxa"/>
            <w:shd w:val="clear" w:color="auto" w:fill="auto"/>
            <w:noWrap/>
            <w:vAlign w:val="center"/>
            <w:hideMark/>
          </w:tcPr>
          <w:p w14:paraId="604B52B4"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38%</w:t>
            </w:r>
          </w:p>
        </w:tc>
      </w:tr>
      <w:tr w:rsidR="003D5FB2" w:rsidRPr="003A1D53" w14:paraId="604B52BC" w14:textId="77777777" w:rsidTr="001B1890">
        <w:trPr>
          <w:trHeight w:val="315"/>
          <w:jc w:val="center"/>
        </w:trPr>
        <w:tc>
          <w:tcPr>
            <w:tcW w:w="1005" w:type="dxa"/>
            <w:shd w:val="clear" w:color="auto" w:fill="auto"/>
            <w:vAlign w:val="center"/>
            <w:hideMark/>
          </w:tcPr>
          <w:p w14:paraId="604B52B6"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Axe 3</w:t>
            </w:r>
          </w:p>
        </w:tc>
        <w:tc>
          <w:tcPr>
            <w:tcW w:w="1275" w:type="dxa"/>
            <w:shd w:val="clear" w:color="auto" w:fill="auto"/>
            <w:vAlign w:val="center"/>
            <w:hideMark/>
          </w:tcPr>
          <w:p w14:paraId="604B52B7"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Effet 4</w:t>
            </w:r>
          </w:p>
        </w:tc>
        <w:tc>
          <w:tcPr>
            <w:tcW w:w="1320" w:type="dxa"/>
            <w:shd w:val="clear" w:color="auto" w:fill="auto"/>
            <w:vAlign w:val="center"/>
            <w:hideMark/>
          </w:tcPr>
          <w:p w14:paraId="604B52B8"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197 954 046</w:t>
            </w:r>
          </w:p>
        </w:tc>
        <w:tc>
          <w:tcPr>
            <w:tcW w:w="1875" w:type="dxa"/>
            <w:shd w:val="clear" w:color="auto" w:fill="auto"/>
            <w:noWrap/>
            <w:vAlign w:val="center"/>
            <w:hideMark/>
          </w:tcPr>
          <w:p w14:paraId="604B52B9"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 xml:space="preserve">             98 977 023   </w:t>
            </w:r>
          </w:p>
        </w:tc>
        <w:tc>
          <w:tcPr>
            <w:tcW w:w="1265" w:type="dxa"/>
            <w:shd w:val="clear" w:color="auto" w:fill="auto"/>
            <w:vAlign w:val="center"/>
            <w:hideMark/>
          </w:tcPr>
          <w:p w14:paraId="604B52BA"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125 160 049</w:t>
            </w:r>
          </w:p>
        </w:tc>
        <w:tc>
          <w:tcPr>
            <w:tcW w:w="1200" w:type="dxa"/>
            <w:shd w:val="clear" w:color="auto" w:fill="auto"/>
            <w:noWrap/>
            <w:vAlign w:val="center"/>
            <w:hideMark/>
          </w:tcPr>
          <w:p w14:paraId="604B52BB"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126%</w:t>
            </w:r>
          </w:p>
        </w:tc>
      </w:tr>
      <w:tr w:rsidR="003D5FB2" w:rsidRPr="003A1D53" w14:paraId="604B52C3" w14:textId="77777777" w:rsidTr="001B1890">
        <w:trPr>
          <w:trHeight w:val="315"/>
          <w:jc w:val="center"/>
        </w:trPr>
        <w:tc>
          <w:tcPr>
            <w:tcW w:w="1005" w:type="dxa"/>
            <w:shd w:val="clear" w:color="auto" w:fill="auto"/>
            <w:vAlign w:val="center"/>
            <w:hideMark/>
          </w:tcPr>
          <w:p w14:paraId="604B52BD"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Axe 4</w:t>
            </w:r>
          </w:p>
        </w:tc>
        <w:tc>
          <w:tcPr>
            <w:tcW w:w="1275" w:type="dxa"/>
            <w:shd w:val="clear" w:color="auto" w:fill="auto"/>
            <w:vAlign w:val="center"/>
            <w:hideMark/>
          </w:tcPr>
          <w:p w14:paraId="604B52BE"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Effet 5</w:t>
            </w:r>
          </w:p>
        </w:tc>
        <w:tc>
          <w:tcPr>
            <w:tcW w:w="1320" w:type="dxa"/>
            <w:shd w:val="clear" w:color="auto" w:fill="auto"/>
            <w:vAlign w:val="center"/>
            <w:hideMark/>
          </w:tcPr>
          <w:p w14:paraId="604B52BF"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589 258 410</w:t>
            </w:r>
          </w:p>
        </w:tc>
        <w:tc>
          <w:tcPr>
            <w:tcW w:w="1875" w:type="dxa"/>
            <w:shd w:val="clear" w:color="auto" w:fill="auto"/>
            <w:noWrap/>
            <w:vAlign w:val="center"/>
            <w:hideMark/>
          </w:tcPr>
          <w:p w14:paraId="604B52C0"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 xml:space="preserve">          294 629 205   </w:t>
            </w:r>
          </w:p>
        </w:tc>
        <w:tc>
          <w:tcPr>
            <w:tcW w:w="1265" w:type="dxa"/>
            <w:shd w:val="clear" w:color="auto" w:fill="auto"/>
            <w:vAlign w:val="center"/>
            <w:hideMark/>
          </w:tcPr>
          <w:p w14:paraId="604B52C1"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87 894 622</w:t>
            </w:r>
          </w:p>
        </w:tc>
        <w:tc>
          <w:tcPr>
            <w:tcW w:w="1200" w:type="dxa"/>
            <w:shd w:val="clear" w:color="auto" w:fill="auto"/>
            <w:noWrap/>
            <w:vAlign w:val="center"/>
            <w:hideMark/>
          </w:tcPr>
          <w:p w14:paraId="604B52C2"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30%</w:t>
            </w:r>
          </w:p>
        </w:tc>
      </w:tr>
      <w:tr w:rsidR="003D5FB2" w:rsidRPr="003A1D53" w14:paraId="604B52C9" w14:textId="77777777" w:rsidTr="001B1890">
        <w:trPr>
          <w:trHeight w:val="315"/>
          <w:jc w:val="center"/>
        </w:trPr>
        <w:tc>
          <w:tcPr>
            <w:tcW w:w="2280" w:type="dxa"/>
            <w:gridSpan w:val="2"/>
            <w:shd w:val="clear" w:color="auto" w:fill="auto"/>
            <w:vAlign w:val="center"/>
            <w:hideMark/>
          </w:tcPr>
          <w:p w14:paraId="604B52C4"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UNDAF</w:t>
            </w:r>
            <w:r w:rsidRPr="003A1D53">
              <w:rPr>
                <w:rFonts w:ascii="Times New Roman" w:eastAsia="Times New Roman" w:hAnsi="Times New Roman"/>
                <w:b/>
                <w:bCs/>
                <w:color w:val="000000"/>
                <w:sz w:val="20"/>
                <w:szCs w:val="20"/>
                <w:vertAlign w:val="superscript"/>
                <w:lang w:eastAsia="fr-FR"/>
              </w:rPr>
              <w:t>+</w:t>
            </w:r>
          </w:p>
        </w:tc>
        <w:tc>
          <w:tcPr>
            <w:tcW w:w="1320" w:type="dxa"/>
            <w:shd w:val="clear" w:color="auto" w:fill="auto"/>
            <w:vAlign w:val="center"/>
            <w:hideMark/>
          </w:tcPr>
          <w:p w14:paraId="604B52C5"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1 137 632 878</w:t>
            </w:r>
          </w:p>
        </w:tc>
        <w:tc>
          <w:tcPr>
            <w:tcW w:w="1875" w:type="dxa"/>
            <w:shd w:val="clear" w:color="auto" w:fill="auto"/>
            <w:noWrap/>
            <w:vAlign w:val="center"/>
            <w:hideMark/>
          </w:tcPr>
          <w:p w14:paraId="604B52C6" w14:textId="77777777" w:rsidR="003D5FB2" w:rsidRPr="003A1D53" w:rsidRDefault="003D5FB2" w:rsidP="003D5FB2">
            <w:pPr>
              <w:spacing w:after="0" w:line="240" w:lineRule="auto"/>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 xml:space="preserve">          568 816 439   </w:t>
            </w:r>
          </w:p>
        </w:tc>
        <w:tc>
          <w:tcPr>
            <w:tcW w:w="1265" w:type="dxa"/>
            <w:shd w:val="clear" w:color="auto" w:fill="auto"/>
            <w:noWrap/>
            <w:vAlign w:val="center"/>
            <w:hideMark/>
          </w:tcPr>
          <w:p w14:paraId="604B52C7"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281 455 321</w:t>
            </w:r>
          </w:p>
        </w:tc>
        <w:tc>
          <w:tcPr>
            <w:tcW w:w="1200" w:type="dxa"/>
            <w:shd w:val="clear" w:color="auto" w:fill="auto"/>
            <w:noWrap/>
            <w:vAlign w:val="center"/>
            <w:hideMark/>
          </w:tcPr>
          <w:p w14:paraId="604B52C8" w14:textId="77777777" w:rsidR="003D5FB2" w:rsidRPr="003A1D53" w:rsidRDefault="003D5FB2" w:rsidP="003D5FB2">
            <w:pPr>
              <w:spacing w:after="0" w:line="240" w:lineRule="auto"/>
              <w:jc w:val="right"/>
              <w:rPr>
                <w:rFonts w:ascii="Times New Roman" w:eastAsia="Times New Roman" w:hAnsi="Times New Roman"/>
                <w:color w:val="000000"/>
                <w:sz w:val="20"/>
                <w:szCs w:val="20"/>
                <w:lang w:eastAsia="fr-FR"/>
              </w:rPr>
            </w:pPr>
            <w:r w:rsidRPr="003A1D53">
              <w:rPr>
                <w:rFonts w:ascii="Times New Roman" w:eastAsia="Times New Roman" w:hAnsi="Times New Roman"/>
                <w:color w:val="000000"/>
                <w:sz w:val="20"/>
                <w:szCs w:val="20"/>
                <w:lang w:eastAsia="fr-FR"/>
              </w:rPr>
              <w:t>49%</w:t>
            </w:r>
          </w:p>
        </w:tc>
      </w:tr>
    </w:tbl>
    <w:p w14:paraId="604B52CA" w14:textId="77777777" w:rsidR="003D5FB2" w:rsidRPr="003A1D53" w:rsidRDefault="003D5FB2" w:rsidP="003D5FB2">
      <w:pPr>
        <w:spacing w:after="0" w:line="240" w:lineRule="auto"/>
        <w:jc w:val="center"/>
        <w:rPr>
          <w:rFonts w:ascii="Times New Roman" w:hAnsi="Times New Roman"/>
          <w:i/>
          <w:sz w:val="20"/>
          <w:szCs w:val="20"/>
        </w:rPr>
      </w:pPr>
      <w:r w:rsidRPr="003A1D53">
        <w:rPr>
          <w:rFonts w:ascii="Times New Roman" w:hAnsi="Times New Roman"/>
          <w:i/>
          <w:sz w:val="20"/>
          <w:szCs w:val="20"/>
          <w:u w:val="single"/>
        </w:rPr>
        <w:t>Source</w:t>
      </w:r>
      <w:r w:rsidRPr="003A1D53">
        <w:rPr>
          <w:rFonts w:ascii="Times New Roman" w:hAnsi="Times New Roman"/>
          <w:i/>
          <w:sz w:val="20"/>
          <w:szCs w:val="20"/>
        </w:rPr>
        <w:t> : UNDAF</w:t>
      </w:r>
      <w:r w:rsidRPr="003A1D53">
        <w:rPr>
          <w:rFonts w:ascii="Times New Roman" w:hAnsi="Times New Roman"/>
          <w:i/>
          <w:sz w:val="20"/>
          <w:szCs w:val="20"/>
          <w:vertAlign w:val="superscript"/>
        </w:rPr>
        <w:t>+</w:t>
      </w:r>
      <w:r w:rsidRPr="003A1D53">
        <w:rPr>
          <w:rFonts w:ascii="Times New Roman" w:hAnsi="Times New Roman"/>
          <w:i/>
          <w:sz w:val="20"/>
          <w:szCs w:val="20"/>
        </w:rPr>
        <w:t>, Cadre budgétaire, Rapports de progrès 2015-2017, et Analyse du Consultant</w:t>
      </w:r>
    </w:p>
    <w:p w14:paraId="604B52CB" w14:textId="77777777" w:rsidR="003D5FB2" w:rsidRPr="003A1D53" w:rsidRDefault="003D5FB2" w:rsidP="003D5FB2">
      <w:pPr>
        <w:spacing w:after="0" w:line="240" w:lineRule="auto"/>
        <w:rPr>
          <w:rFonts w:ascii="Times New Roman" w:hAnsi="Times New Roman"/>
          <w:sz w:val="24"/>
          <w:szCs w:val="24"/>
        </w:rPr>
      </w:pPr>
    </w:p>
    <w:p w14:paraId="604B52CC" w14:textId="77777777" w:rsidR="003D5FB2" w:rsidRPr="003A1D53" w:rsidRDefault="007E34BC" w:rsidP="003D5FB2">
      <w:pPr>
        <w:spacing w:after="0" w:line="240" w:lineRule="auto"/>
        <w:jc w:val="both"/>
        <w:rPr>
          <w:rFonts w:ascii="Times New Roman" w:hAnsi="Times New Roman"/>
          <w:sz w:val="24"/>
          <w:szCs w:val="24"/>
        </w:rPr>
      </w:pPr>
      <w:r w:rsidRPr="003A1D53">
        <w:rPr>
          <w:rFonts w:ascii="Times New Roman" w:hAnsi="Times New Roman"/>
          <w:sz w:val="24"/>
          <w:szCs w:val="24"/>
        </w:rPr>
        <w:t>147.</w:t>
      </w:r>
      <w:r w:rsidR="003D5FB2" w:rsidRPr="003A1D53">
        <w:rPr>
          <w:rFonts w:ascii="Times New Roman" w:hAnsi="Times New Roman"/>
          <w:sz w:val="24"/>
          <w:szCs w:val="24"/>
        </w:rPr>
        <w:tab/>
        <w:t>L’analyse d’efficience s’efforce alors de déterminer ce qui a pu être réalisé en termes de produits avec plus ou moins des ressources théoriquement provisionnées à mi-parcours. Le tableau ci-dessus montre que le programme dans son ensemble, à mi-parcours a consommé seulement près de la moitié de ce que devaient être ses ressources si l’on convient, encore une fois, que le modèle initial de programmation budgétaire était pur et parfait, c’est-à-dire a prévu le stock de ressources strictement nécessaire pour soutenir les différents rendus du programme.</w:t>
      </w:r>
    </w:p>
    <w:p w14:paraId="604B52CD" w14:textId="77777777" w:rsidR="003D5FB2" w:rsidRPr="003A1D53" w:rsidRDefault="003D5FB2" w:rsidP="003D5FB2">
      <w:pPr>
        <w:spacing w:after="0" w:line="240" w:lineRule="auto"/>
        <w:jc w:val="both"/>
        <w:rPr>
          <w:rFonts w:ascii="Times New Roman" w:hAnsi="Times New Roman"/>
          <w:sz w:val="24"/>
          <w:szCs w:val="24"/>
        </w:rPr>
      </w:pPr>
    </w:p>
    <w:p w14:paraId="604B52CE" w14:textId="77777777" w:rsidR="005E12FE" w:rsidRPr="003A1D53" w:rsidRDefault="007E34BC" w:rsidP="003D5FB2">
      <w:pPr>
        <w:spacing w:after="0" w:line="240" w:lineRule="auto"/>
        <w:jc w:val="both"/>
        <w:rPr>
          <w:rFonts w:ascii="Times New Roman" w:hAnsi="Times New Roman"/>
          <w:sz w:val="24"/>
          <w:szCs w:val="24"/>
        </w:rPr>
      </w:pPr>
      <w:r w:rsidRPr="003A1D53">
        <w:rPr>
          <w:rFonts w:ascii="Times New Roman" w:hAnsi="Times New Roman"/>
          <w:sz w:val="24"/>
          <w:szCs w:val="24"/>
        </w:rPr>
        <w:t>148.</w:t>
      </w:r>
      <w:r w:rsidR="003D5FB2" w:rsidRPr="003A1D53">
        <w:rPr>
          <w:rFonts w:ascii="Times New Roman" w:hAnsi="Times New Roman"/>
          <w:sz w:val="24"/>
          <w:szCs w:val="24"/>
        </w:rPr>
        <w:tab/>
        <w:t>A l’échelle des effets, et sur la base des mêmes hypothèses, avec 30%, l’Effet 5 ressort comme celui qui a, proportionnellement, consommé le moins de ressources. Or c’est aussi l’Effet sous lequel le profil de livraison de produits est le plus performant et équilibré. En fin de comptes, peu performant sous cet Effet en termes de mobilisation de ressources, le programme pourrait cependant y atteindre son pic d’efficience en réussissant de bonnes réalisations stratégiques avec proportionnellement relativement très peu de moins. En direction de l’objectif, "</w:t>
      </w:r>
      <w:r w:rsidR="003D5FB2" w:rsidRPr="003A1D53">
        <w:rPr>
          <w:rFonts w:ascii="Times New Roman" w:hAnsi="Times New Roman"/>
          <w:i/>
          <w:sz w:val="24"/>
          <w:szCs w:val="24"/>
        </w:rPr>
        <w:t>Les populations défavorisées particulièrement les femmes et les jeunes, bénéficient de capacités et d’opportunités productives accrues, dans un environnement sain et durable, favorable à la réduction de la pauvreté</w:t>
      </w:r>
      <w:r w:rsidR="003D5FB2" w:rsidRPr="003A1D53">
        <w:rPr>
          <w:rFonts w:ascii="Times New Roman" w:hAnsi="Times New Roman"/>
          <w:sz w:val="24"/>
          <w:szCs w:val="24"/>
        </w:rPr>
        <w:t>.", les rendus ont été très satisfaisants et de manière diversifiée : eau et assainissement, activités génératrices de revenus, relance des exportations d’agrumes, diffusions d</w:t>
      </w:r>
      <w:r w:rsidR="005E12FE" w:rsidRPr="003A1D53">
        <w:rPr>
          <w:rFonts w:ascii="Times New Roman" w:hAnsi="Times New Roman"/>
          <w:sz w:val="24"/>
          <w:szCs w:val="24"/>
        </w:rPr>
        <w:t>es énergies renouvelables, etc.</w:t>
      </w:r>
    </w:p>
    <w:p w14:paraId="604B52CF" w14:textId="77777777" w:rsidR="005E12FE" w:rsidRPr="003A1D53" w:rsidRDefault="005E12FE" w:rsidP="003D5FB2">
      <w:pPr>
        <w:spacing w:after="0" w:line="240" w:lineRule="auto"/>
        <w:jc w:val="both"/>
        <w:rPr>
          <w:rFonts w:ascii="Times New Roman" w:hAnsi="Times New Roman"/>
          <w:sz w:val="24"/>
          <w:szCs w:val="24"/>
        </w:rPr>
      </w:pPr>
    </w:p>
    <w:p w14:paraId="604B52D0" w14:textId="77777777" w:rsidR="003D5FB2" w:rsidRPr="003A1D53" w:rsidRDefault="007E34BC" w:rsidP="003D5FB2">
      <w:pPr>
        <w:spacing w:after="0" w:line="240" w:lineRule="auto"/>
        <w:jc w:val="both"/>
        <w:rPr>
          <w:rFonts w:ascii="Times New Roman" w:hAnsi="Times New Roman"/>
          <w:sz w:val="24"/>
          <w:szCs w:val="24"/>
        </w:rPr>
      </w:pPr>
      <w:r w:rsidRPr="003A1D53">
        <w:rPr>
          <w:rFonts w:ascii="Times New Roman" w:hAnsi="Times New Roman"/>
          <w:sz w:val="24"/>
          <w:szCs w:val="24"/>
        </w:rPr>
        <w:t>149.</w:t>
      </w:r>
      <w:r w:rsidR="005E12FE" w:rsidRPr="003A1D53">
        <w:rPr>
          <w:rFonts w:ascii="Times New Roman" w:hAnsi="Times New Roman"/>
          <w:sz w:val="24"/>
          <w:szCs w:val="24"/>
        </w:rPr>
        <w:tab/>
      </w:r>
      <w:r w:rsidR="003D5FB2" w:rsidRPr="003A1D53">
        <w:rPr>
          <w:rFonts w:ascii="Times New Roman" w:hAnsi="Times New Roman"/>
          <w:sz w:val="24"/>
          <w:szCs w:val="24"/>
        </w:rPr>
        <w:t>Ces acquis programmatiques sont certes en phase avec la progression significative qu’a connue le PIB du Mali dans la période (5,3% comme indiqué dans la section précédente). Pour autant, cette capacité du programme à délivrer de manière très satisfaisante avec moins du tiers des ressources qu’il était prévu qu’il consomme sous cet Effet, n’a malheureusement pas eu assez de signification d’échelle pour, aux côtés d’autres valeurs ajoutées, contribuer à faire bouger les lignes sur des indicateurs nationaux plus structurels comme la sécurité alimentaire, le chômage et surtout l’incidence de pauvreté, qui ont continué à se dégrader pour le pays. Seul le taux de croissance, de nature plus conjoncturel</w:t>
      </w:r>
      <w:r w:rsidR="005E12FE" w:rsidRPr="003A1D53">
        <w:rPr>
          <w:rFonts w:ascii="Times New Roman" w:hAnsi="Times New Roman"/>
          <w:sz w:val="24"/>
          <w:szCs w:val="24"/>
        </w:rPr>
        <w:t>le</w:t>
      </w:r>
      <w:r w:rsidR="003D5FB2" w:rsidRPr="003A1D53">
        <w:rPr>
          <w:rFonts w:ascii="Times New Roman" w:hAnsi="Times New Roman"/>
          <w:sz w:val="24"/>
          <w:szCs w:val="24"/>
        </w:rPr>
        <w:t>, montre un profil assez favorable.</w:t>
      </w:r>
    </w:p>
    <w:p w14:paraId="604B52D1" w14:textId="77777777" w:rsidR="003D5FB2" w:rsidRPr="003A1D53" w:rsidRDefault="003D5FB2" w:rsidP="003D5FB2">
      <w:pPr>
        <w:spacing w:after="0" w:line="240" w:lineRule="auto"/>
        <w:rPr>
          <w:rFonts w:ascii="Times New Roman" w:hAnsi="Times New Roman"/>
          <w:sz w:val="24"/>
          <w:szCs w:val="24"/>
        </w:rPr>
      </w:pPr>
    </w:p>
    <w:p w14:paraId="604B52D2" w14:textId="77777777" w:rsidR="003D5FB2" w:rsidRPr="003A1D53" w:rsidRDefault="007E34BC" w:rsidP="003D5FB2">
      <w:pPr>
        <w:spacing w:after="0" w:line="240" w:lineRule="auto"/>
        <w:jc w:val="both"/>
        <w:rPr>
          <w:rFonts w:ascii="Times New Roman" w:hAnsi="Times New Roman"/>
          <w:sz w:val="24"/>
          <w:szCs w:val="24"/>
        </w:rPr>
      </w:pPr>
      <w:r w:rsidRPr="003A1D53">
        <w:rPr>
          <w:rFonts w:ascii="Times New Roman" w:hAnsi="Times New Roman"/>
          <w:sz w:val="24"/>
          <w:szCs w:val="24"/>
        </w:rPr>
        <w:t>150.</w:t>
      </w:r>
      <w:r w:rsidR="003D5FB2" w:rsidRPr="003A1D53">
        <w:rPr>
          <w:rFonts w:ascii="Times New Roman" w:hAnsi="Times New Roman"/>
          <w:sz w:val="24"/>
          <w:szCs w:val="24"/>
        </w:rPr>
        <w:tab/>
        <w:t>A l’autre extrémité, avec un ratio de 126% du cadre budgétaire théorique effectivement absorbé, l’Effet 4 apparaît comme celui qui a proportionnellement consommé le plus de ressources. Le programme y est très performant sous l’angle de la capacité de mobilisation de ressources. Mais la revue des performances stratégiques montre que sous cet Effet, les rendus sont mitigés voir nettement en deçà de ce qu’ils devaient être à mi-parcours. En direction de l’objectif de référence, "</w:t>
      </w:r>
      <w:r w:rsidR="003D5FB2" w:rsidRPr="003A1D53">
        <w:rPr>
          <w:rFonts w:ascii="Times New Roman" w:hAnsi="Times New Roman"/>
          <w:i/>
          <w:sz w:val="24"/>
          <w:szCs w:val="24"/>
        </w:rPr>
        <w:t xml:space="preserve">D’ici 2019, les populations, en particulier les femmes et les enfants les </w:t>
      </w:r>
      <w:r w:rsidR="003D5FB2" w:rsidRPr="003A1D53">
        <w:rPr>
          <w:rFonts w:ascii="Times New Roman" w:hAnsi="Times New Roman"/>
          <w:i/>
          <w:sz w:val="24"/>
          <w:szCs w:val="24"/>
        </w:rPr>
        <w:lastRenderedPageBreak/>
        <w:t>plus vulnérables et celles affectées par les crises, ont un accès accru et équitable et utilisent les SSB de qualité</w:t>
      </w:r>
      <w:r w:rsidR="003D5FB2" w:rsidRPr="003A1D53">
        <w:rPr>
          <w:rFonts w:ascii="Times New Roman" w:hAnsi="Times New Roman"/>
          <w:sz w:val="24"/>
          <w:szCs w:val="24"/>
        </w:rPr>
        <w:t>.", à quelques exceptions près, comme les violences aux femmes de plus 15 ans, la plupart des indicateurs de produits enregistrent des résultats non satisfaisants, qu’il s’agisse de l’offre de santé (santé de la reproduction et lutte contre le VIH), de services nutritionnels, ou encore d’éducation. Même sur les violences faites aux femmes, l’indicateur affiche un profil non satisfaisant sur les filles de moins 15 ans.  Il est vrai que cette faiblesse des réalisations du programme sous l’Effet 4 fait écho aux contreperformances du pays sur ses indicateurs nationaux en rapport avec cet Effet (santé de la reproduction, VIH, violences aux femmes et éducation).</w:t>
      </w:r>
    </w:p>
    <w:p w14:paraId="604B52D3" w14:textId="77777777" w:rsidR="003D5FB2" w:rsidRPr="003A1D53" w:rsidRDefault="003D5FB2" w:rsidP="003D5FB2">
      <w:pPr>
        <w:spacing w:after="0" w:line="240" w:lineRule="auto"/>
        <w:jc w:val="both"/>
        <w:rPr>
          <w:rFonts w:ascii="Times New Roman" w:hAnsi="Times New Roman"/>
          <w:sz w:val="24"/>
          <w:szCs w:val="24"/>
        </w:rPr>
      </w:pPr>
    </w:p>
    <w:p w14:paraId="604B52D4" w14:textId="77777777" w:rsidR="003D5FB2" w:rsidRPr="003A1D53" w:rsidRDefault="007E34BC" w:rsidP="003D5FB2">
      <w:pPr>
        <w:spacing w:after="0" w:line="240" w:lineRule="auto"/>
        <w:jc w:val="both"/>
        <w:rPr>
          <w:rFonts w:ascii="Times New Roman" w:hAnsi="Times New Roman"/>
          <w:sz w:val="24"/>
          <w:szCs w:val="24"/>
        </w:rPr>
      </w:pPr>
      <w:r w:rsidRPr="003A1D53">
        <w:rPr>
          <w:rFonts w:ascii="Times New Roman" w:hAnsi="Times New Roman"/>
          <w:sz w:val="24"/>
          <w:szCs w:val="24"/>
        </w:rPr>
        <w:t>151.</w:t>
      </w:r>
      <w:r w:rsidR="003D5FB2" w:rsidRPr="003A1D53">
        <w:rPr>
          <w:rFonts w:ascii="Times New Roman" w:hAnsi="Times New Roman"/>
          <w:sz w:val="24"/>
          <w:szCs w:val="24"/>
        </w:rPr>
        <w:tab/>
        <w:t>Les Effets 1, 2 et 3 se tiennent à 39% et 38% de niveau de consommation des ressources qui devaient théoriquement être les leurs à mi-parcours. Cette situation dénote là aussi une faible capacité de mobilisation de ressources, mais une efficience globale relativement robuste puisque les livraisons de produits sous ces effets montrent une assez bonne tenue. Sous l’Effet 1, le programme a délivré de manière satisfaisante dans la promotion du dialogue politique et de la médiation sociale, de la coexistence pacifique, et des droits humains, ainsi que dans la réforme de la sécurité, tous inputs qui ont constitué une contribution nette à la paix et à la stabilisation visées dans l’Effet. Seul le DDR a souffert de réelles inerties.</w:t>
      </w:r>
    </w:p>
    <w:p w14:paraId="604B52D5" w14:textId="77777777" w:rsidR="003D5FB2" w:rsidRPr="003A1D53" w:rsidRDefault="003D5FB2" w:rsidP="003D5FB2">
      <w:pPr>
        <w:spacing w:after="0" w:line="240" w:lineRule="auto"/>
        <w:jc w:val="both"/>
        <w:rPr>
          <w:rFonts w:ascii="Times New Roman" w:hAnsi="Times New Roman"/>
          <w:sz w:val="24"/>
          <w:szCs w:val="24"/>
        </w:rPr>
      </w:pPr>
    </w:p>
    <w:p w14:paraId="604B52D6" w14:textId="77777777" w:rsidR="003D5FB2" w:rsidRPr="003A1D53" w:rsidRDefault="007E34BC" w:rsidP="003D5FB2">
      <w:pPr>
        <w:spacing w:after="0" w:line="240" w:lineRule="auto"/>
        <w:jc w:val="both"/>
        <w:rPr>
          <w:rFonts w:ascii="Times New Roman" w:hAnsi="Times New Roman"/>
          <w:sz w:val="24"/>
          <w:szCs w:val="24"/>
        </w:rPr>
      </w:pPr>
      <w:r w:rsidRPr="003A1D53">
        <w:rPr>
          <w:rFonts w:ascii="Times New Roman" w:hAnsi="Times New Roman"/>
          <w:sz w:val="24"/>
          <w:szCs w:val="24"/>
        </w:rPr>
        <w:t>152.</w:t>
      </w:r>
      <w:r w:rsidR="003D5FB2" w:rsidRPr="003A1D53">
        <w:rPr>
          <w:rFonts w:ascii="Times New Roman" w:hAnsi="Times New Roman"/>
          <w:sz w:val="24"/>
          <w:szCs w:val="24"/>
        </w:rPr>
        <w:tab/>
        <w:t xml:space="preserve">Sous l’Effet 2, le programme est performant sur les indicateurs de dialogue inter et intra communautaire, d’éducation à la paix et de sauvegarde du patrimoine culturel, et faible uniquement en matière de justice transitionnelle où le nombre de cas traités reste faible même si la Commission Vérité Justice et Réconciliation a bénéficié de renforcement de capacités. Enfin, sous l’Effet 3, le programme fait aussi rapport de bons rendus sur ses indicateurs clés, relatifs notamment au redéploiement des institutions et du service public dans les régions du Nord, et au </w:t>
      </w:r>
      <w:r w:rsidR="003D5FB2" w:rsidRPr="003A1D53">
        <w:rPr>
          <w:rFonts w:ascii="Times New Roman" w:eastAsia="Times New Roman" w:hAnsi="Times New Roman"/>
          <w:bCs/>
          <w:sz w:val="24"/>
          <w:szCs w:val="24"/>
        </w:rPr>
        <w:t>renforcement des capacités des institutions de contrôle de l’action et des finances publiques, et des organisations de la société civile en matière de contrôle citoyen et alternatif. Il est vrai, cependant, que ces réalisations programmatiques ne parviennent pas pour l’heure redresser l’indice de confiance dans la qualité de la gouvernance du pays (voir détail dans au chapitre Efficacité).</w:t>
      </w:r>
    </w:p>
    <w:p w14:paraId="604B52D7" w14:textId="77777777" w:rsidR="003D5FB2" w:rsidRPr="003A1D53" w:rsidRDefault="003D5FB2" w:rsidP="003D5FB2">
      <w:pPr>
        <w:spacing w:after="0" w:line="240" w:lineRule="auto"/>
        <w:rPr>
          <w:rFonts w:ascii="Times New Roman" w:hAnsi="Times New Roman"/>
          <w:sz w:val="24"/>
          <w:szCs w:val="24"/>
        </w:rPr>
      </w:pPr>
    </w:p>
    <w:p w14:paraId="604B52D8" w14:textId="77777777" w:rsidR="00B108CC" w:rsidRPr="003A1D53" w:rsidRDefault="007E34BC" w:rsidP="00B108CC">
      <w:pPr>
        <w:spacing w:after="0" w:line="240" w:lineRule="auto"/>
        <w:jc w:val="both"/>
        <w:rPr>
          <w:rFonts w:ascii="Times New Roman" w:hAnsi="Times New Roman"/>
          <w:sz w:val="24"/>
          <w:szCs w:val="24"/>
          <w:lang w:val="pt-PT"/>
        </w:rPr>
      </w:pPr>
      <w:r w:rsidRPr="003A1D53">
        <w:rPr>
          <w:rFonts w:ascii="Times New Roman" w:hAnsi="Times New Roman"/>
          <w:sz w:val="24"/>
          <w:szCs w:val="24"/>
          <w:lang w:val="pt-PT"/>
        </w:rPr>
        <w:t>153.</w:t>
      </w:r>
      <w:r w:rsidR="00B108CC" w:rsidRPr="003A1D53">
        <w:rPr>
          <w:rFonts w:ascii="Times New Roman" w:hAnsi="Times New Roman"/>
          <w:sz w:val="24"/>
          <w:szCs w:val="24"/>
          <w:lang w:val="pt-PT"/>
        </w:rPr>
        <w:tab/>
        <w:t>Le programme a-t-il conduit à une réduction de coûts de transaction pour le gouvernement? Encore faudrait-il savoir précisément quel était le niveau des coûts de transaction de la partie nationale et quel est aujourd’hui le niveau stardard pratiqué dans le domaine par le Système. L’une et l’autre information n’existent pas. Malgré tout, quelques faits ressortent des observations et des entretiens. Les exigences du Système en matière de standards de qualité ont pour corrolaire un relèvement des coûts d’acquisition et de mise en place des biens et services livrés au pays. Ce fait ressort tout aussi nettement dans l’opinion des partenaires nationaux et des partenaires financiers du programme. Les premiers indiquent systématiquement que les ouvrages réalisés par les entités du Système le sont à un coût plus élevé que ce qu’il serait s’il serait dans le cadre de réalisations nationales similaires. Naturellement cette logique comparative intuitive est on ne peu plus riquée, parce que les niveaux de qualité ne sont peut-être pas les mêmes. Malgré tout, l’opinion de beaucoup de parenaires nationaux est cellee là.</w:t>
      </w:r>
    </w:p>
    <w:p w14:paraId="604B52D9" w14:textId="77777777" w:rsidR="00B108CC" w:rsidRPr="003A1D53" w:rsidRDefault="00B108CC" w:rsidP="00B108CC">
      <w:pPr>
        <w:spacing w:after="0" w:line="240" w:lineRule="auto"/>
        <w:jc w:val="both"/>
        <w:rPr>
          <w:rFonts w:ascii="Times New Roman" w:hAnsi="Times New Roman"/>
          <w:sz w:val="24"/>
          <w:szCs w:val="24"/>
          <w:lang w:val="pt-PT"/>
        </w:rPr>
      </w:pPr>
    </w:p>
    <w:p w14:paraId="604B52DA" w14:textId="77777777" w:rsidR="00B108CC" w:rsidRPr="003A1D53" w:rsidRDefault="007E34BC" w:rsidP="00B108CC">
      <w:pPr>
        <w:spacing w:after="0" w:line="240" w:lineRule="auto"/>
        <w:jc w:val="both"/>
        <w:rPr>
          <w:rFonts w:ascii="Times New Roman" w:hAnsi="Times New Roman"/>
          <w:sz w:val="24"/>
          <w:szCs w:val="24"/>
          <w:lang w:val="pt-PT"/>
        </w:rPr>
      </w:pPr>
      <w:r w:rsidRPr="003A1D53">
        <w:rPr>
          <w:rFonts w:ascii="Times New Roman" w:hAnsi="Times New Roman"/>
          <w:sz w:val="24"/>
          <w:szCs w:val="24"/>
          <w:lang w:val="pt-PT"/>
        </w:rPr>
        <w:t>154.</w:t>
      </w:r>
      <w:r w:rsidR="00B108CC" w:rsidRPr="003A1D53">
        <w:rPr>
          <w:rFonts w:ascii="Times New Roman" w:hAnsi="Times New Roman"/>
          <w:sz w:val="24"/>
          <w:szCs w:val="24"/>
          <w:lang w:val="pt-PT"/>
        </w:rPr>
        <w:tab/>
        <w:t xml:space="preserve">Les parteanires financiers du programme sont aussi un certain nombre à avoir indiqué à la mision que le Système était onéreux en termes de coûts d’intermédaition. A leurs yeux, sur chaque unitaire monétaire à apporter aux bénéficiaires finaux, ce qui en est consommé avant l’arrivée aux destinataires serait élevé par rapport à ce que reçoit ces derniers. La comparaison est faite ici avec les coûts de transaction que leur facturent les organisations de la société civile </w:t>
      </w:r>
      <w:r w:rsidR="00B108CC" w:rsidRPr="003A1D53">
        <w:rPr>
          <w:rFonts w:ascii="Times New Roman" w:hAnsi="Times New Roman"/>
          <w:sz w:val="24"/>
          <w:szCs w:val="24"/>
          <w:lang w:val="pt-PT"/>
        </w:rPr>
        <w:lastRenderedPageBreak/>
        <w:t>internationale qu’il leur arrive de financer directement aussi. Ce n’est pas nécessairement les coûts de gestion facturés par le Système qui cristallisent la critique de ces parteanires, mais plus globalement ce qu’ils appellent “le train de vie” des projets et programme du système, en signifiant par là le coût de mobilisation des ressources humaines et matérielles de ces programmes.</w:t>
      </w:r>
    </w:p>
    <w:p w14:paraId="604B52DB" w14:textId="77777777" w:rsidR="00B108CC" w:rsidRPr="003A1D53" w:rsidRDefault="00B108CC" w:rsidP="00B108CC">
      <w:pPr>
        <w:spacing w:after="0" w:line="240" w:lineRule="auto"/>
        <w:jc w:val="both"/>
        <w:rPr>
          <w:rFonts w:ascii="Times New Roman" w:hAnsi="Times New Roman"/>
          <w:sz w:val="24"/>
          <w:szCs w:val="24"/>
        </w:rPr>
      </w:pPr>
    </w:p>
    <w:p w14:paraId="604B52DC" w14:textId="77777777" w:rsidR="000433C8" w:rsidRPr="003A1D53" w:rsidRDefault="000433C8" w:rsidP="005B22B2">
      <w:pPr>
        <w:spacing w:after="0" w:line="240" w:lineRule="auto"/>
        <w:rPr>
          <w:rFonts w:ascii="Times New Roman" w:hAnsi="Times New Roman"/>
          <w:b/>
          <w:sz w:val="24"/>
          <w:szCs w:val="24"/>
        </w:rPr>
      </w:pPr>
    </w:p>
    <w:p w14:paraId="604B52DD" w14:textId="77777777" w:rsidR="00BA3DC6" w:rsidRPr="003A1D53" w:rsidRDefault="0015327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7E34BC" w:rsidRPr="003A1D53">
        <w:rPr>
          <w:rFonts w:ascii="Times New Roman" w:hAnsi="Times New Roman"/>
          <w:sz w:val="24"/>
          <w:szCs w:val="24"/>
        </w:rPr>
        <w:t>55</w:t>
      </w:r>
      <w:r w:rsidR="0024772E" w:rsidRPr="003A1D53">
        <w:rPr>
          <w:rFonts w:ascii="Times New Roman" w:hAnsi="Times New Roman"/>
          <w:sz w:val="24"/>
          <w:szCs w:val="24"/>
        </w:rPr>
        <w:t>.</w:t>
      </w:r>
      <w:r w:rsidR="00BA3DC6" w:rsidRPr="003A1D53">
        <w:rPr>
          <w:rFonts w:ascii="Times New Roman" w:hAnsi="Times New Roman"/>
          <w:sz w:val="24"/>
          <w:szCs w:val="24"/>
        </w:rPr>
        <w:tab/>
      </w:r>
      <w:r w:rsidR="00AF6E4C" w:rsidRPr="003A1D53">
        <w:rPr>
          <w:rFonts w:ascii="Times New Roman" w:hAnsi="Times New Roman"/>
          <w:sz w:val="24"/>
          <w:szCs w:val="24"/>
        </w:rPr>
        <w:t xml:space="preserve">A l’intérieur des livraisons mêmes, de ce qui est réalisé donc, </w:t>
      </w:r>
      <w:r w:rsidR="00AF6D5C" w:rsidRPr="003A1D53">
        <w:rPr>
          <w:rFonts w:ascii="Times New Roman" w:hAnsi="Times New Roman"/>
          <w:sz w:val="24"/>
          <w:szCs w:val="24"/>
        </w:rPr>
        <w:t>l</w:t>
      </w:r>
      <w:r w:rsidR="00BA3DC6" w:rsidRPr="003A1D53">
        <w:rPr>
          <w:rFonts w:ascii="Times New Roman" w:hAnsi="Times New Roman"/>
          <w:sz w:val="24"/>
          <w:szCs w:val="24"/>
        </w:rPr>
        <w:t xml:space="preserve">a problématique de l’efficience du cadre budgétaire recouvre le rapport coût-avantage sur l’ensemble des livraisons effectuées. Sont à </w:t>
      </w:r>
      <w:r w:rsidR="00ED4CD5" w:rsidRPr="003A1D53">
        <w:rPr>
          <w:rFonts w:ascii="Times New Roman" w:hAnsi="Times New Roman"/>
          <w:sz w:val="24"/>
          <w:szCs w:val="24"/>
        </w:rPr>
        <w:t>considérer</w:t>
      </w:r>
      <w:r w:rsidR="00BA3DC6" w:rsidRPr="003A1D53">
        <w:rPr>
          <w:rFonts w:ascii="Times New Roman" w:hAnsi="Times New Roman"/>
          <w:sz w:val="24"/>
          <w:szCs w:val="24"/>
        </w:rPr>
        <w:t>, à cet égard et notamment, la qualité de la gestion même des ressources, qui permet ou ne permet pas de les sécuriser en les dédiant exclusivement a</w:t>
      </w:r>
      <w:r w:rsidR="00ED4CD5" w:rsidRPr="003A1D53">
        <w:rPr>
          <w:rFonts w:ascii="Times New Roman" w:hAnsi="Times New Roman"/>
          <w:sz w:val="24"/>
          <w:szCs w:val="24"/>
        </w:rPr>
        <w:t>ux emplois substantiels auxquel</w:t>
      </w:r>
      <w:r w:rsidR="00BA3DC6" w:rsidRPr="003A1D53">
        <w:rPr>
          <w:rFonts w:ascii="Times New Roman" w:hAnsi="Times New Roman"/>
          <w:sz w:val="24"/>
          <w:szCs w:val="24"/>
        </w:rPr>
        <w:t xml:space="preserve">s elles </w:t>
      </w:r>
      <w:r w:rsidR="00ED4CD5" w:rsidRPr="003A1D53">
        <w:rPr>
          <w:rFonts w:ascii="Times New Roman" w:hAnsi="Times New Roman"/>
          <w:sz w:val="24"/>
          <w:szCs w:val="24"/>
        </w:rPr>
        <w:t xml:space="preserve">sont </w:t>
      </w:r>
      <w:r w:rsidR="00BA3DC6" w:rsidRPr="003A1D53">
        <w:rPr>
          <w:rFonts w:ascii="Times New Roman" w:hAnsi="Times New Roman"/>
          <w:sz w:val="24"/>
          <w:szCs w:val="24"/>
        </w:rPr>
        <w:t xml:space="preserve">destinées ; la qualité </w:t>
      </w:r>
      <w:r w:rsidR="00F818DA" w:rsidRPr="003A1D53">
        <w:rPr>
          <w:rFonts w:ascii="Times New Roman" w:hAnsi="Times New Roman"/>
          <w:sz w:val="24"/>
          <w:szCs w:val="24"/>
        </w:rPr>
        <w:t xml:space="preserve">intrinsèque </w:t>
      </w:r>
      <w:r w:rsidR="00BA3DC6" w:rsidRPr="003A1D53">
        <w:rPr>
          <w:rFonts w:ascii="Times New Roman" w:hAnsi="Times New Roman"/>
          <w:sz w:val="24"/>
          <w:szCs w:val="24"/>
        </w:rPr>
        <w:t>des rendus et des résultats obtenus</w:t>
      </w:r>
      <w:r w:rsidR="00A55071" w:rsidRPr="003A1D53">
        <w:rPr>
          <w:rFonts w:ascii="Times New Roman" w:hAnsi="Times New Roman"/>
          <w:sz w:val="24"/>
          <w:szCs w:val="24"/>
        </w:rPr>
        <w:t>,</w:t>
      </w:r>
      <w:r w:rsidR="00BA3DC6" w:rsidRPr="003A1D53">
        <w:rPr>
          <w:rFonts w:ascii="Times New Roman" w:hAnsi="Times New Roman"/>
          <w:sz w:val="24"/>
          <w:szCs w:val="24"/>
        </w:rPr>
        <w:t xml:space="preserve"> significative de plus ou moins de "</w:t>
      </w:r>
      <w:r w:rsidR="00ED4CD5" w:rsidRPr="003A1D53">
        <w:rPr>
          <w:rFonts w:ascii="Times New Roman" w:hAnsi="Times New Roman"/>
          <w:i/>
          <w:sz w:val="24"/>
          <w:szCs w:val="24"/>
        </w:rPr>
        <w:t xml:space="preserve">value for </w:t>
      </w:r>
      <w:r w:rsidR="00BA3DC6" w:rsidRPr="003A1D53">
        <w:rPr>
          <w:rFonts w:ascii="Times New Roman" w:hAnsi="Times New Roman"/>
          <w:i/>
          <w:sz w:val="24"/>
          <w:szCs w:val="24"/>
        </w:rPr>
        <w:t>money</w:t>
      </w:r>
      <w:r w:rsidR="00BA3DC6" w:rsidRPr="003A1D53">
        <w:rPr>
          <w:rFonts w:ascii="Times New Roman" w:hAnsi="Times New Roman"/>
          <w:sz w:val="24"/>
          <w:szCs w:val="24"/>
        </w:rPr>
        <w:t>", et, entre les deux, les modèles opératoires qui</w:t>
      </w:r>
      <w:r w:rsidR="00A55071" w:rsidRPr="003A1D53">
        <w:rPr>
          <w:rFonts w:ascii="Times New Roman" w:hAnsi="Times New Roman"/>
          <w:sz w:val="24"/>
          <w:szCs w:val="24"/>
        </w:rPr>
        <w:t>,</w:t>
      </w:r>
      <w:r w:rsidR="00BA3DC6" w:rsidRPr="003A1D53">
        <w:rPr>
          <w:rFonts w:ascii="Times New Roman" w:hAnsi="Times New Roman"/>
          <w:sz w:val="24"/>
          <w:szCs w:val="24"/>
        </w:rPr>
        <w:t xml:space="preserve"> en étant plus ou moins onéreux</w:t>
      </w:r>
      <w:r w:rsidR="00A55071" w:rsidRPr="003A1D53">
        <w:rPr>
          <w:rFonts w:ascii="Times New Roman" w:hAnsi="Times New Roman"/>
          <w:sz w:val="24"/>
          <w:szCs w:val="24"/>
        </w:rPr>
        <w:t>,</w:t>
      </w:r>
      <w:r w:rsidR="00BA3DC6" w:rsidRPr="003A1D53">
        <w:rPr>
          <w:rFonts w:ascii="Times New Roman" w:hAnsi="Times New Roman"/>
          <w:sz w:val="24"/>
          <w:szCs w:val="24"/>
        </w:rPr>
        <w:t xml:space="preserve"> laissent arriver plus ou moins de ressources et de résultats aux bénéficiaires.</w:t>
      </w:r>
      <w:r w:rsidR="00A55071" w:rsidRPr="003A1D53">
        <w:rPr>
          <w:rFonts w:ascii="Times New Roman" w:hAnsi="Times New Roman"/>
          <w:sz w:val="24"/>
          <w:szCs w:val="24"/>
        </w:rPr>
        <w:t xml:space="preserve"> Quelques autres dimensions du programme qui influencent ses rendus sont également examinés plus bas.</w:t>
      </w:r>
    </w:p>
    <w:p w14:paraId="604B52DE" w14:textId="77777777" w:rsidR="00BA3DC6" w:rsidRPr="003A1D53" w:rsidRDefault="00BA3DC6" w:rsidP="005B22B2">
      <w:pPr>
        <w:spacing w:after="0" w:line="240" w:lineRule="auto"/>
        <w:jc w:val="both"/>
        <w:rPr>
          <w:rFonts w:ascii="Times New Roman" w:hAnsi="Times New Roman"/>
          <w:sz w:val="24"/>
          <w:szCs w:val="24"/>
        </w:rPr>
      </w:pPr>
    </w:p>
    <w:p w14:paraId="604B52DF" w14:textId="77777777" w:rsidR="00BA3DC6" w:rsidRPr="003A1D53" w:rsidRDefault="0015327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7E34BC" w:rsidRPr="003A1D53">
        <w:rPr>
          <w:rFonts w:ascii="Times New Roman" w:hAnsi="Times New Roman"/>
          <w:sz w:val="24"/>
          <w:szCs w:val="24"/>
        </w:rPr>
        <w:t>56</w:t>
      </w:r>
      <w:r w:rsidR="0024772E" w:rsidRPr="003A1D53">
        <w:rPr>
          <w:rFonts w:ascii="Times New Roman" w:hAnsi="Times New Roman"/>
          <w:sz w:val="24"/>
          <w:szCs w:val="24"/>
        </w:rPr>
        <w:t>.</w:t>
      </w:r>
      <w:r w:rsidR="00BA3DC6" w:rsidRPr="003A1D53">
        <w:rPr>
          <w:rFonts w:ascii="Times New Roman" w:hAnsi="Times New Roman"/>
          <w:sz w:val="24"/>
          <w:szCs w:val="24"/>
        </w:rPr>
        <w:tab/>
      </w:r>
      <w:r w:rsidR="00232C75" w:rsidRPr="003A1D53">
        <w:rPr>
          <w:rStyle w:val="Titre3Car"/>
          <w:rFonts w:ascii="Times New Roman" w:eastAsia="Calibri" w:hAnsi="Times New Roman"/>
          <w:i/>
          <w:color w:val="auto"/>
          <w:sz w:val="24"/>
          <w:szCs w:val="24"/>
        </w:rPr>
        <w:t>Value</w:t>
      </w:r>
      <w:r w:rsidR="00BA3DC6" w:rsidRPr="003A1D53">
        <w:rPr>
          <w:rStyle w:val="Titre3Car"/>
          <w:rFonts w:ascii="Times New Roman" w:eastAsia="Calibri" w:hAnsi="Times New Roman"/>
          <w:i/>
          <w:color w:val="auto"/>
          <w:sz w:val="24"/>
          <w:szCs w:val="24"/>
        </w:rPr>
        <w:t>-for-</w:t>
      </w:r>
      <w:r w:rsidR="00232C75" w:rsidRPr="003A1D53">
        <w:rPr>
          <w:rStyle w:val="Titre3Car"/>
          <w:rFonts w:ascii="Times New Roman" w:eastAsia="Calibri" w:hAnsi="Times New Roman"/>
          <w:i/>
          <w:color w:val="auto"/>
          <w:sz w:val="24"/>
          <w:szCs w:val="24"/>
        </w:rPr>
        <w:t xml:space="preserve">money </w:t>
      </w:r>
      <w:r w:rsidR="00BA3DC6" w:rsidRPr="003A1D53">
        <w:rPr>
          <w:rStyle w:val="Titre3Car"/>
          <w:rFonts w:ascii="Times New Roman" w:eastAsia="Calibri" w:hAnsi="Times New Roman"/>
          <w:i/>
          <w:color w:val="auto"/>
          <w:sz w:val="24"/>
          <w:szCs w:val="24"/>
        </w:rPr>
        <w:t>ou lien entre quotité de ressources et résultats </w:t>
      </w:r>
      <w:r w:rsidR="00BA3DC6" w:rsidRPr="003A1D53">
        <w:rPr>
          <w:rFonts w:ascii="Times New Roman" w:hAnsi="Times New Roman"/>
          <w:sz w:val="24"/>
          <w:szCs w:val="24"/>
        </w:rPr>
        <w:t xml:space="preserve">: L’exécution des ressources </w:t>
      </w:r>
      <w:r w:rsidR="002376B2" w:rsidRPr="003A1D53">
        <w:rPr>
          <w:rFonts w:ascii="Times New Roman" w:hAnsi="Times New Roman"/>
          <w:sz w:val="24"/>
          <w:szCs w:val="24"/>
        </w:rPr>
        <w:t>est gérée par les entités du Système</w:t>
      </w:r>
      <w:r w:rsidR="00BA3DC6" w:rsidRPr="003A1D53">
        <w:rPr>
          <w:rFonts w:ascii="Times New Roman" w:hAnsi="Times New Roman"/>
          <w:sz w:val="24"/>
          <w:szCs w:val="24"/>
        </w:rPr>
        <w:t xml:space="preserve">, </w:t>
      </w:r>
      <w:r w:rsidR="00ED4CD5" w:rsidRPr="003A1D53">
        <w:rPr>
          <w:rFonts w:ascii="Times New Roman" w:hAnsi="Times New Roman"/>
          <w:sz w:val="24"/>
          <w:szCs w:val="24"/>
        </w:rPr>
        <w:t>en exécution directe pour partie, et par les partenaires d’exécution pour une autre partie et dans le cadre de la modalité dite d’exécution nationale.</w:t>
      </w:r>
      <w:r w:rsidR="002376B2" w:rsidRPr="003A1D53">
        <w:rPr>
          <w:rFonts w:ascii="Times New Roman" w:hAnsi="Times New Roman"/>
          <w:sz w:val="24"/>
          <w:szCs w:val="24"/>
        </w:rPr>
        <w:t xml:space="preserve"> </w:t>
      </w:r>
      <w:r w:rsidR="00ED4CD5" w:rsidRPr="003A1D53">
        <w:rPr>
          <w:rFonts w:ascii="Times New Roman" w:hAnsi="Times New Roman"/>
          <w:sz w:val="24"/>
          <w:szCs w:val="24"/>
        </w:rPr>
        <w:t>En tout état de caus</w:t>
      </w:r>
      <w:r w:rsidR="00F818DA" w:rsidRPr="003A1D53">
        <w:rPr>
          <w:rFonts w:ascii="Times New Roman" w:hAnsi="Times New Roman"/>
          <w:sz w:val="24"/>
          <w:szCs w:val="24"/>
        </w:rPr>
        <w:t>e, quelle que soit la modalité</w:t>
      </w:r>
      <w:r w:rsidR="00ED4CD5" w:rsidRPr="003A1D53">
        <w:rPr>
          <w:rFonts w:ascii="Times New Roman" w:hAnsi="Times New Roman"/>
          <w:sz w:val="24"/>
          <w:szCs w:val="24"/>
        </w:rPr>
        <w:t xml:space="preserve"> utilisée, le</w:t>
      </w:r>
      <w:r w:rsidR="002376B2" w:rsidRPr="003A1D53">
        <w:rPr>
          <w:rFonts w:ascii="Times New Roman" w:hAnsi="Times New Roman"/>
          <w:sz w:val="24"/>
          <w:szCs w:val="24"/>
        </w:rPr>
        <w:t xml:space="preserve">s </w:t>
      </w:r>
      <w:r w:rsidR="00F818DA" w:rsidRPr="003A1D53">
        <w:rPr>
          <w:rFonts w:ascii="Times New Roman" w:hAnsi="Times New Roman"/>
          <w:sz w:val="24"/>
          <w:szCs w:val="24"/>
        </w:rPr>
        <w:t xml:space="preserve">entités UN </w:t>
      </w:r>
      <w:r w:rsidR="00A55071" w:rsidRPr="003A1D53">
        <w:rPr>
          <w:rFonts w:ascii="Times New Roman" w:hAnsi="Times New Roman"/>
          <w:sz w:val="24"/>
          <w:szCs w:val="24"/>
        </w:rPr>
        <w:t>s’</w:t>
      </w:r>
      <w:r w:rsidR="00ED4CD5" w:rsidRPr="003A1D53">
        <w:rPr>
          <w:rFonts w:ascii="Times New Roman" w:hAnsi="Times New Roman"/>
          <w:sz w:val="24"/>
          <w:szCs w:val="24"/>
        </w:rPr>
        <w:t>assure</w:t>
      </w:r>
      <w:r w:rsidR="002376B2" w:rsidRPr="003A1D53">
        <w:rPr>
          <w:rFonts w:ascii="Times New Roman" w:hAnsi="Times New Roman"/>
          <w:sz w:val="24"/>
          <w:szCs w:val="24"/>
        </w:rPr>
        <w:t>nt</w:t>
      </w:r>
      <w:r w:rsidR="00ED4CD5" w:rsidRPr="003A1D53">
        <w:rPr>
          <w:rFonts w:ascii="Times New Roman" w:hAnsi="Times New Roman"/>
          <w:sz w:val="24"/>
          <w:szCs w:val="24"/>
        </w:rPr>
        <w:t xml:space="preserve"> du respect des normes d’intégrité</w:t>
      </w:r>
      <w:r w:rsidR="00E46C58" w:rsidRPr="003A1D53">
        <w:rPr>
          <w:rFonts w:ascii="Times New Roman" w:hAnsi="Times New Roman"/>
          <w:sz w:val="24"/>
          <w:szCs w:val="24"/>
        </w:rPr>
        <w:t xml:space="preserve">, de transparence et de rationalité économique, </w:t>
      </w:r>
      <w:r w:rsidR="00ED4CD5" w:rsidRPr="003A1D53">
        <w:rPr>
          <w:rFonts w:ascii="Times New Roman" w:hAnsi="Times New Roman"/>
          <w:sz w:val="24"/>
          <w:szCs w:val="24"/>
        </w:rPr>
        <w:t>qui font la réputation d</w:t>
      </w:r>
      <w:r w:rsidR="002376B2" w:rsidRPr="003A1D53">
        <w:rPr>
          <w:rFonts w:ascii="Times New Roman" w:hAnsi="Times New Roman"/>
          <w:sz w:val="24"/>
          <w:szCs w:val="24"/>
        </w:rPr>
        <w:t>es Nations Unies</w:t>
      </w:r>
      <w:r w:rsidR="00ED4CD5" w:rsidRPr="003A1D53">
        <w:rPr>
          <w:rFonts w:ascii="Times New Roman" w:hAnsi="Times New Roman"/>
          <w:sz w:val="24"/>
          <w:szCs w:val="24"/>
        </w:rPr>
        <w:t xml:space="preserve">. </w:t>
      </w:r>
      <w:r w:rsidR="00BA3DC6" w:rsidRPr="003A1D53">
        <w:rPr>
          <w:rFonts w:ascii="Times New Roman" w:hAnsi="Times New Roman"/>
          <w:sz w:val="24"/>
          <w:szCs w:val="24"/>
        </w:rPr>
        <w:t>Au total, le</w:t>
      </w:r>
      <w:r w:rsidR="002376B2" w:rsidRPr="003A1D53">
        <w:rPr>
          <w:rFonts w:ascii="Times New Roman" w:hAnsi="Times New Roman"/>
          <w:sz w:val="24"/>
          <w:szCs w:val="24"/>
        </w:rPr>
        <w:t>ur</w:t>
      </w:r>
      <w:r w:rsidR="00BA3DC6" w:rsidRPr="003A1D53">
        <w:rPr>
          <w:rFonts w:ascii="Times New Roman" w:hAnsi="Times New Roman"/>
          <w:sz w:val="24"/>
          <w:szCs w:val="24"/>
        </w:rPr>
        <w:t xml:space="preserve">s procédures fiduciaires </w:t>
      </w:r>
      <w:r w:rsidR="00ED4CD5" w:rsidRPr="003A1D53">
        <w:rPr>
          <w:rFonts w:ascii="Times New Roman" w:hAnsi="Times New Roman"/>
          <w:sz w:val="24"/>
          <w:szCs w:val="24"/>
        </w:rPr>
        <w:t xml:space="preserve">de </w:t>
      </w:r>
      <w:r w:rsidR="00BA3DC6" w:rsidRPr="003A1D53">
        <w:rPr>
          <w:rFonts w:ascii="Times New Roman" w:hAnsi="Times New Roman"/>
          <w:sz w:val="24"/>
          <w:szCs w:val="24"/>
        </w:rPr>
        <w:t>standard international</w:t>
      </w:r>
      <w:r w:rsidR="00ED4CD5" w:rsidRPr="003A1D53">
        <w:rPr>
          <w:rFonts w:ascii="Times New Roman" w:hAnsi="Times New Roman"/>
          <w:sz w:val="24"/>
          <w:szCs w:val="24"/>
        </w:rPr>
        <w:t xml:space="preserve">, </w:t>
      </w:r>
      <w:r w:rsidR="00BA3DC6" w:rsidRPr="003A1D53">
        <w:rPr>
          <w:rFonts w:ascii="Times New Roman" w:hAnsi="Times New Roman"/>
          <w:sz w:val="24"/>
          <w:szCs w:val="24"/>
        </w:rPr>
        <w:t>permet</w:t>
      </w:r>
      <w:r w:rsidR="00ED4CD5" w:rsidRPr="003A1D53">
        <w:rPr>
          <w:rFonts w:ascii="Times New Roman" w:hAnsi="Times New Roman"/>
          <w:sz w:val="24"/>
          <w:szCs w:val="24"/>
        </w:rPr>
        <w:t>tent</w:t>
      </w:r>
      <w:r w:rsidR="00E46C58" w:rsidRPr="003A1D53">
        <w:rPr>
          <w:rFonts w:ascii="Times New Roman" w:hAnsi="Times New Roman"/>
          <w:sz w:val="24"/>
          <w:szCs w:val="24"/>
        </w:rPr>
        <w:t xml:space="preserve"> de sécuriser des produits </w:t>
      </w:r>
      <w:r w:rsidR="00BA3DC6" w:rsidRPr="003A1D53">
        <w:rPr>
          <w:rFonts w:ascii="Times New Roman" w:hAnsi="Times New Roman"/>
          <w:sz w:val="24"/>
          <w:szCs w:val="24"/>
        </w:rPr>
        <w:t>au meilleur rapport coût-avantage. Ce</w:t>
      </w:r>
      <w:r w:rsidR="00ED4CD5" w:rsidRPr="003A1D53">
        <w:rPr>
          <w:rFonts w:ascii="Times New Roman" w:hAnsi="Times New Roman"/>
          <w:sz w:val="24"/>
          <w:szCs w:val="24"/>
        </w:rPr>
        <w:t xml:space="preserve"> cadre budgétaire </w:t>
      </w:r>
      <w:r w:rsidR="00BA3DC6" w:rsidRPr="003A1D53">
        <w:rPr>
          <w:rFonts w:ascii="Times New Roman" w:hAnsi="Times New Roman"/>
          <w:sz w:val="24"/>
          <w:szCs w:val="24"/>
        </w:rPr>
        <w:t>constitue</w:t>
      </w:r>
      <w:r w:rsidR="00E46C58" w:rsidRPr="003A1D53">
        <w:rPr>
          <w:rFonts w:ascii="Times New Roman" w:hAnsi="Times New Roman"/>
          <w:sz w:val="24"/>
          <w:szCs w:val="24"/>
        </w:rPr>
        <w:t xml:space="preserve"> donc</w:t>
      </w:r>
      <w:r w:rsidR="00BA3DC6" w:rsidRPr="003A1D53">
        <w:rPr>
          <w:rFonts w:ascii="Times New Roman" w:hAnsi="Times New Roman"/>
          <w:sz w:val="24"/>
          <w:szCs w:val="24"/>
        </w:rPr>
        <w:t xml:space="preserve"> un outil de promotion d</w:t>
      </w:r>
      <w:r w:rsidR="00E46C58" w:rsidRPr="003A1D53">
        <w:rPr>
          <w:rFonts w:ascii="Times New Roman" w:hAnsi="Times New Roman"/>
          <w:sz w:val="24"/>
          <w:szCs w:val="24"/>
        </w:rPr>
        <w:t xml:space="preserve">’une </w:t>
      </w:r>
      <w:r w:rsidR="00BA3DC6" w:rsidRPr="003A1D53">
        <w:rPr>
          <w:rFonts w:ascii="Times New Roman" w:hAnsi="Times New Roman"/>
          <w:sz w:val="24"/>
          <w:szCs w:val="24"/>
        </w:rPr>
        <w:t>gestion efficiente sur les tra</w:t>
      </w:r>
      <w:r w:rsidR="00ED4CD5" w:rsidRPr="003A1D53">
        <w:rPr>
          <w:rFonts w:ascii="Times New Roman" w:hAnsi="Times New Roman"/>
          <w:sz w:val="24"/>
          <w:szCs w:val="24"/>
        </w:rPr>
        <w:t>nsactions au sein du programme.</w:t>
      </w:r>
    </w:p>
    <w:p w14:paraId="604B52E0" w14:textId="77777777" w:rsidR="00BA3DC6" w:rsidRPr="003A1D53" w:rsidRDefault="00BA3DC6" w:rsidP="005B22B2">
      <w:pPr>
        <w:spacing w:after="0" w:line="240" w:lineRule="auto"/>
        <w:jc w:val="both"/>
        <w:rPr>
          <w:rFonts w:ascii="Times New Roman" w:hAnsi="Times New Roman"/>
          <w:sz w:val="24"/>
          <w:szCs w:val="24"/>
        </w:rPr>
      </w:pPr>
    </w:p>
    <w:p w14:paraId="604B52E1" w14:textId="77777777" w:rsidR="00BA3DC6" w:rsidRPr="003A1D53" w:rsidRDefault="0015327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7E34BC" w:rsidRPr="003A1D53">
        <w:rPr>
          <w:rFonts w:ascii="Times New Roman" w:hAnsi="Times New Roman"/>
          <w:sz w:val="24"/>
          <w:szCs w:val="24"/>
        </w:rPr>
        <w:t>57</w:t>
      </w:r>
      <w:r w:rsidR="0024772E" w:rsidRPr="003A1D53">
        <w:rPr>
          <w:rFonts w:ascii="Times New Roman" w:hAnsi="Times New Roman"/>
          <w:sz w:val="24"/>
          <w:szCs w:val="24"/>
        </w:rPr>
        <w:t>.</w:t>
      </w:r>
      <w:r w:rsidR="00BA3DC6" w:rsidRPr="003A1D53">
        <w:rPr>
          <w:rFonts w:ascii="Times New Roman" w:hAnsi="Times New Roman"/>
          <w:sz w:val="24"/>
          <w:szCs w:val="24"/>
        </w:rPr>
        <w:tab/>
        <w:t>S’il y a un effort pour bien gérer les ressources, pour autant et en face, les livraisons obtenues en échange des ressources dépensées, sont-elles d’une robuste</w:t>
      </w:r>
      <w:r w:rsidR="00670DB1" w:rsidRPr="003A1D53">
        <w:rPr>
          <w:rFonts w:ascii="Times New Roman" w:hAnsi="Times New Roman"/>
          <w:sz w:val="24"/>
          <w:szCs w:val="24"/>
        </w:rPr>
        <w:t>s</w:t>
      </w:r>
      <w:r w:rsidR="00BA3DC6" w:rsidRPr="003A1D53">
        <w:rPr>
          <w:rFonts w:ascii="Times New Roman" w:hAnsi="Times New Roman"/>
          <w:sz w:val="24"/>
          <w:szCs w:val="24"/>
        </w:rPr>
        <w:t>s</w:t>
      </w:r>
      <w:r w:rsidR="00670DB1" w:rsidRPr="003A1D53">
        <w:rPr>
          <w:rFonts w:ascii="Times New Roman" w:hAnsi="Times New Roman"/>
          <w:sz w:val="24"/>
          <w:szCs w:val="24"/>
        </w:rPr>
        <w:t>e satisfaisante</w:t>
      </w:r>
      <w:r w:rsidR="00BA3DC6" w:rsidRPr="003A1D53">
        <w:rPr>
          <w:rFonts w:ascii="Times New Roman" w:hAnsi="Times New Roman"/>
          <w:sz w:val="24"/>
          <w:szCs w:val="24"/>
        </w:rPr>
        <w:t xml:space="preserve"> ? </w:t>
      </w:r>
      <w:r w:rsidR="002376B2" w:rsidRPr="003A1D53">
        <w:rPr>
          <w:rFonts w:ascii="Times New Roman" w:hAnsi="Times New Roman"/>
          <w:sz w:val="24"/>
          <w:szCs w:val="24"/>
        </w:rPr>
        <w:t xml:space="preserve">Au vu des </w:t>
      </w:r>
      <w:r w:rsidR="001B1A09" w:rsidRPr="003A1D53">
        <w:rPr>
          <w:rFonts w:ascii="Times New Roman" w:hAnsi="Times New Roman"/>
          <w:sz w:val="24"/>
          <w:szCs w:val="24"/>
        </w:rPr>
        <w:t>s</w:t>
      </w:r>
      <w:r w:rsidR="002376B2" w:rsidRPr="003A1D53">
        <w:rPr>
          <w:rFonts w:ascii="Times New Roman" w:hAnsi="Times New Roman"/>
          <w:sz w:val="24"/>
          <w:szCs w:val="24"/>
        </w:rPr>
        <w:t xml:space="preserve">ituations observées </w:t>
      </w:r>
      <w:r w:rsidR="00F818DA" w:rsidRPr="003A1D53">
        <w:rPr>
          <w:rFonts w:ascii="Times New Roman" w:hAnsi="Times New Roman"/>
          <w:sz w:val="24"/>
          <w:szCs w:val="24"/>
        </w:rPr>
        <w:t>sur le terrain, à Bamako, S</w:t>
      </w:r>
      <w:r w:rsidR="00AF6D5C" w:rsidRPr="003A1D53">
        <w:rPr>
          <w:rFonts w:ascii="Times New Roman" w:hAnsi="Times New Roman"/>
          <w:sz w:val="24"/>
          <w:szCs w:val="24"/>
        </w:rPr>
        <w:t>égou</w:t>
      </w:r>
      <w:r w:rsidR="00F818DA" w:rsidRPr="003A1D53">
        <w:rPr>
          <w:rFonts w:ascii="Times New Roman" w:hAnsi="Times New Roman"/>
          <w:sz w:val="24"/>
          <w:szCs w:val="24"/>
        </w:rPr>
        <w:t xml:space="preserve"> et Gao,</w:t>
      </w:r>
      <w:r w:rsidR="00AF6D5C" w:rsidRPr="003A1D53">
        <w:rPr>
          <w:rFonts w:ascii="Times New Roman" w:hAnsi="Times New Roman"/>
          <w:sz w:val="24"/>
          <w:szCs w:val="24"/>
        </w:rPr>
        <w:t xml:space="preserve"> </w:t>
      </w:r>
      <w:r w:rsidR="001B1A09" w:rsidRPr="003A1D53">
        <w:rPr>
          <w:rFonts w:ascii="Times New Roman" w:hAnsi="Times New Roman"/>
          <w:sz w:val="24"/>
          <w:szCs w:val="24"/>
        </w:rPr>
        <w:t xml:space="preserve">et </w:t>
      </w:r>
      <w:r w:rsidR="002376B2" w:rsidRPr="003A1D53">
        <w:rPr>
          <w:rFonts w:ascii="Times New Roman" w:hAnsi="Times New Roman"/>
          <w:sz w:val="24"/>
          <w:szCs w:val="24"/>
        </w:rPr>
        <w:t xml:space="preserve">éléments ressortis des entretiens </w:t>
      </w:r>
      <w:r w:rsidR="00F818DA" w:rsidRPr="003A1D53">
        <w:rPr>
          <w:rFonts w:ascii="Times New Roman" w:hAnsi="Times New Roman"/>
          <w:sz w:val="24"/>
          <w:szCs w:val="24"/>
        </w:rPr>
        <w:t>avec les parties</w:t>
      </w:r>
      <w:r w:rsidR="001B1A09" w:rsidRPr="003A1D53">
        <w:rPr>
          <w:rFonts w:ascii="Times New Roman" w:hAnsi="Times New Roman"/>
          <w:sz w:val="24"/>
          <w:szCs w:val="24"/>
        </w:rPr>
        <w:t>, p</w:t>
      </w:r>
      <w:r w:rsidR="00BA3DC6" w:rsidRPr="003A1D53">
        <w:rPr>
          <w:rFonts w:ascii="Times New Roman" w:hAnsi="Times New Roman"/>
          <w:sz w:val="24"/>
          <w:szCs w:val="24"/>
        </w:rPr>
        <w:t xml:space="preserve">ar la qualité des procédures mises en œuvre, le </w:t>
      </w:r>
      <w:r w:rsidR="002376B2" w:rsidRPr="003A1D53">
        <w:rPr>
          <w:rFonts w:ascii="Times New Roman" w:hAnsi="Times New Roman"/>
          <w:sz w:val="24"/>
          <w:szCs w:val="24"/>
        </w:rPr>
        <w:t xml:space="preserve">Système </w:t>
      </w:r>
      <w:r w:rsidR="00BA3DC6" w:rsidRPr="003A1D53">
        <w:rPr>
          <w:rFonts w:ascii="Times New Roman" w:hAnsi="Times New Roman"/>
          <w:sz w:val="24"/>
          <w:szCs w:val="24"/>
        </w:rPr>
        <w:t xml:space="preserve">arrive à faire en sorte que les </w:t>
      </w:r>
      <w:r w:rsidR="001B1A09" w:rsidRPr="003A1D53">
        <w:rPr>
          <w:rFonts w:ascii="Times New Roman" w:hAnsi="Times New Roman"/>
          <w:sz w:val="24"/>
          <w:szCs w:val="24"/>
        </w:rPr>
        <w:t xml:space="preserve">livraisons, de hard comme de soft,  </w:t>
      </w:r>
      <w:r w:rsidR="00BA3DC6" w:rsidRPr="003A1D53">
        <w:rPr>
          <w:rFonts w:ascii="Times New Roman" w:hAnsi="Times New Roman"/>
          <w:sz w:val="24"/>
          <w:szCs w:val="24"/>
        </w:rPr>
        <w:t>se fassent dans de bonnes conditions et soient de bonne facture</w:t>
      </w:r>
      <w:r w:rsidR="001B1A09" w:rsidRPr="003A1D53">
        <w:rPr>
          <w:rFonts w:ascii="Times New Roman" w:hAnsi="Times New Roman"/>
          <w:sz w:val="24"/>
          <w:szCs w:val="24"/>
        </w:rPr>
        <w:t>, généralement parlant naturellement</w:t>
      </w:r>
      <w:r w:rsidR="00BA3DC6" w:rsidRPr="003A1D53">
        <w:rPr>
          <w:rFonts w:ascii="Times New Roman" w:hAnsi="Times New Roman"/>
          <w:sz w:val="24"/>
          <w:szCs w:val="24"/>
        </w:rPr>
        <w:t>.</w:t>
      </w:r>
    </w:p>
    <w:p w14:paraId="604B52E2" w14:textId="77777777" w:rsidR="00DC6A98" w:rsidRPr="003A1D53" w:rsidRDefault="00DC6A98" w:rsidP="005B22B2">
      <w:pPr>
        <w:spacing w:after="0" w:line="240" w:lineRule="auto"/>
        <w:jc w:val="both"/>
        <w:rPr>
          <w:rFonts w:ascii="Times New Roman" w:hAnsi="Times New Roman"/>
          <w:sz w:val="24"/>
          <w:szCs w:val="24"/>
        </w:rPr>
      </w:pPr>
    </w:p>
    <w:p w14:paraId="604B52E3" w14:textId="77777777" w:rsidR="00BA3DC6" w:rsidRPr="003A1D53" w:rsidRDefault="007E34BC" w:rsidP="005B22B2">
      <w:pPr>
        <w:spacing w:after="0" w:line="240" w:lineRule="auto"/>
        <w:jc w:val="both"/>
        <w:rPr>
          <w:rFonts w:ascii="Times New Roman" w:hAnsi="Times New Roman"/>
          <w:sz w:val="24"/>
          <w:szCs w:val="24"/>
        </w:rPr>
      </w:pPr>
      <w:r w:rsidRPr="003A1D53">
        <w:rPr>
          <w:rFonts w:ascii="Times New Roman" w:hAnsi="Times New Roman"/>
          <w:sz w:val="24"/>
          <w:szCs w:val="24"/>
        </w:rPr>
        <w:t>158</w:t>
      </w:r>
      <w:r w:rsidR="0024772E" w:rsidRPr="003A1D53">
        <w:rPr>
          <w:rFonts w:ascii="Times New Roman" w:hAnsi="Times New Roman"/>
          <w:sz w:val="24"/>
          <w:szCs w:val="24"/>
        </w:rPr>
        <w:t>.</w:t>
      </w:r>
      <w:r w:rsidR="00BA3DC6" w:rsidRPr="003A1D53">
        <w:rPr>
          <w:rFonts w:ascii="Times New Roman" w:hAnsi="Times New Roman"/>
          <w:sz w:val="24"/>
          <w:szCs w:val="24"/>
        </w:rPr>
        <w:tab/>
        <w:t>En</w:t>
      </w:r>
      <w:r w:rsidR="00EC6E53" w:rsidRPr="003A1D53">
        <w:rPr>
          <w:rFonts w:ascii="Times New Roman" w:hAnsi="Times New Roman"/>
          <w:sz w:val="24"/>
          <w:szCs w:val="24"/>
        </w:rPr>
        <w:t xml:space="preserve"> résumé, </w:t>
      </w:r>
      <w:r w:rsidR="002376B2" w:rsidRPr="003A1D53">
        <w:rPr>
          <w:rFonts w:ascii="Times New Roman" w:hAnsi="Times New Roman"/>
          <w:sz w:val="24"/>
          <w:szCs w:val="24"/>
        </w:rPr>
        <w:t xml:space="preserve">à priori, </w:t>
      </w:r>
      <w:r w:rsidR="00EC6E53" w:rsidRPr="003A1D53">
        <w:rPr>
          <w:rFonts w:ascii="Times New Roman" w:hAnsi="Times New Roman"/>
          <w:sz w:val="24"/>
          <w:szCs w:val="24"/>
        </w:rPr>
        <w:t>en termes de "</w:t>
      </w:r>
      <w:r w:rsidR="00CC08A5" w:rsidRPr="003A1D53">
        <w:rPr>
          <w:rFonts w:ascii="Times New Roman" w:hAnsi="Times New Roman"/>
          <w:sz w:val="24"/>
          <w:szCs w:val="24"/>
        </w:rPr>
        <w:t xml:space="preserve">value </w:t>
      </w:r>
      <w:r w:rsidR="00BA3DC6" w:rsidRPr="003A1D53">
        <w:rPr>
          <w:rFonts w:ascii="Times New Roman" w:hAnsi="Times New Roman"/>
          <w:sz w:val="24"/>
          <w:szCs w:val="24"/>
        </w:rPr>
        <w:t xml:space="preserve">for </w:t>
      </w:r>
      <w:r w:rsidR="00CC08A5" w:rsidRPr="003A1D53">
        <w:rPr>
          <w:rFonts w:ascii="Times New Roman" w:hAnsi="Times New Roman"/>
          <w:sz w:val="24"/>
          <w:szCs w:val="24"/>
        </w:rPr>
        <w:t>money</w:t>
      </w:r>
      <w:r w:rsidR="00BA3DC6" w:rsidRPr="003A1D53">
        <w:rPr>
          <w:rFonts w:ascii="Times New Roman" w:hAnsi="Times New Roman"/>
          <w:sz w:val="24"/>
          <w:szCs w:val="24"/>
        </w:rPr>
        <w:t>", le programme fait du mieux possible</w:t>
      </w:r>
      <w:r w:rsidR="00EC6E53" w:rsidRPr="003A1D53">
        <w:rPr>
          <w:rFonts w:ascii="Times New Roman" w:hAnsi="Times New Roman"/>
          <w:sz w:val="24"/>
          <w:szCs w:val="24"/>
        </w:rPr>
        <w:t>,</w:t>
      </w:r>
      <w:r w:rsidR="00BA3DC6" w:rsidRPr="003A1D53">
        <w:rPr>
          <w:rFonts w:ascii="Times New Roman" w:hAnsi="Times New Roman"/>
          <w:sz w:val="24"/>
          <w:szCs w:val="24"/>
        </w:rPr>
        <w:t xml:space="preserve"> </w:t>
      </w:r>
      <w:r w:rsidR="00EC6E53" w:rsidRPr="003A1D53">
        <w:rPr>
          <w:rFonts w:ascii="Times New Roman" w:hAnsi="Times New Roman"/>
          <w:sz w:val="24"/>
          <w:szCs w:val="24"/>
        </w:rPr>
        <w:t xml:space="preserve">dans l’absolu, </w:t>
      </w:r>
      <w:r w:rsidR="00BA3DC6" w:rsidRPr="003A1D53">
        <w:rPr>
          <w:rFonts w:ascii="Times New Roman" w:hAnsi="Times New Roman"/>
          <w:sz w:val="24"/>
          <w:szCs w:val="24"/>
        </w:rPr>
        <w:t xml:space="preserve">pour rationaliser la ressource. En échange de la ressource même rationalisée, </w:t>
      </w:r>
      <w:r w:rsidR="00AF6D5C" w:rsidRPr="003A1D53">
        <w:rPr>
          <w:rFonts w:ascii="Times New Roman" w:hAnsi="Times New Roman"/>
          <w:sz w:val="24"/>
          <w:szCs w:val="24"/>
        </w:rPr>
        <w:t>de l’avis des parties</w:t>
      </w:r>
      <w:r w:rsidR="00F818DA" w:rsidRPr="003A1D53">
        <w:rPr>
          <w:rFonts w:ascii="Times New Roman" w:hAnsi="Times New Roman"/>
          <w:sz w:val="24"/>
          <w:szCs w:val="24"/>
        </w:rPr>
        <w:t xml:space="preserve"> et selon nos propres observations de terrain</w:t>
      </w:r>
      <w:r w:rsidR="00AF6D5C" w:rsidRPr="003A1D53">
        <w:rPr>
          <w:rFonts w:ascii="Times New Roman" w:hAnsi="Times New Roman"/>
          <w:sz w:val="24"/>
          <w:szCs w:val="24"/>
        </w:rPr>
        <w:t xml:space="preserve">, </w:t>
      </w:r>
      <w:r w:rsidR="00BA3DC6" w:rsidRPr="003A1D53">
        <w:rPr>
          <w:rFonts w:ascii="Times New Roman" w:hAnsi="Times New Roman"/>
          <w:sz w:val="24"/>
          <w:szCs w:val="24"/>
        </w:rPr>
        <w:t>ce qui est obtenu est généralement robuste et donc induit un bon registre de "</w:t>
      </w:r>
      <w:r w:rsidR="00232C75" w:rsidRPr="003A1D53">
        <w:rPr>
          <w:rFonts w:ascii="Times New Roman" w:hAnsi="Times New Roman"/>
          <w:sz w:val="24"/>
          <w:szCs w:val="24"/>
        </w:rPr>
        <w:t xml:space="preserve">value for </w:t>
      </w:r>
      <w:r w:rsidR="00BA3DC6" w:rsidRPr="003A1D53">
        <w:rPr>
          <w:rFonts w:ascii="Times New Roman" w:hAnsi="Times New Roman"/>
          <w:sz w:val="24"/>
          <w:szCs w:val="24"/>
        </w:rPr>
        <w:t>money" lorsqu’il s’agit de réalisations dures (équipement</w:t>
      </w:r>
      <w:r w:rsidR="00670DB1" w:rsidRPr="003A1D53">
        <w:rPr>
          <w:rFonts w:ascii="Times New Roman" w:hAnsi="Times New Roman"/>
          <w:sz w:val="24"/>
          <w:szCs w:val="24"/>
        </w:rPr>
        <w:t>s</w:t>
      </w:r>
      <w:r w:rsidR="00BA3DC6" w:rsidRPr="003A1D53">
        <w:rPr>
          <w:rFonts w:ascii="Times New Roman" w:hAnsi="Times New Roman"/>
          <w:sz w:val="24"/>
          <w:szCs w:val="24"/>
        </w:rPr>
        <w:t xml:space="preserve"> et infrastructures), mais surdéterminé par l’environnement institutionnel local lorsqu’il s’agit de produits soft comme le renforcement de capacités.</w:t>
      </w:r>
    </w:p>
    <w:p w14:paraId="604B52E4" w14:textId="77777777" w:rsidR="00DC6A98" w:rsidRPr="003A1D53" w:rsidRDefault="00DC6A98" w:rsidP="005B22B2">
      <w:pPr>
        <w:spacing w:after="0" w:line="240" w:lineRule="auto"/>
        <w:jc w:val="both"/>
        <w:rPr>
          <w:rFonts w:ascii="Times New Roman" w:hAnsi="Times New Roman"/>
          <w:sz w:val="24"/>
          <w:szCs w:val="24"/>
        </w:rPr>
      </w:pPr>
    </w:p>
    <w:p w14:paraId="604B52E5" w14:textId="77777777" w:rsidR="003E3C85" w:rsidRDefault="0015327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7E34BC" w:rsidRPr="003A1D53">
        <w:rPr>
          <w:rFonts w:ascii="Times New Roman" w:hAnsi="Times New Roman"/>
          <w:sz w:val="24"/>
          <w:szCs w:val="24"/>
        </w:rPr>
        <w:t>59</w:t>
      </w:r>
      <w:r w:rsidR="002710D2" w:rsidRPr="003A1D53">
        <w:rPr>
          <w:rFonts w:ascii="Times New Roman" w:hAnsi="Times New Roman"/>
          <w:sz w:val="24"/>
          <w:szCs w:val="24"/>
        </w:rPr>
        <w:t>.</w:t>
      </w:r>
      <w:r w:rsidR="002710D2" w:rsidRPr="003A1D53">
        <w:rPr>
          <w:rFonts w:ascii="Times New Roman" w:hAnsi="Times New Roman"/>
          <w:sz w:val="24"/>
          <w:szCs w:val="24"/>
        </w:rPr>
        <w:tab/>
      </w:r>
      <w:r w:rsidR="00F52F7F" w:rsidRPr="003A1D53">
        <w:rPr>
          <w:rStyle w:val="Titre3Car"/>
          <w:rFonts w:ascii="Times New Roman" w:eastAsia="Calibri" w:hAnsi="Times New Roman"/>
          <w:i/>
          <w:color w:val="auto"/>
          <w:sz w:val="24"/>
          <w:szCs w:val="24"/>
        </w:rPr>
        <w:t xml:space="preserve">Valeurs ajoutées des synergies inter </w:t>
      </w:r>
      <w:r w:rsidR="0042520E" w:rsidRPr="003A1D53">
        <w:rPr>
          <w:rStyle w:val="Titre3Car"/>
          <w:rFonts w:ascii="Times New Roman" w:eastAsia="Calibri" w:hAnsi="Times New Roman"/>
          <w:i/>
          <w:color w:val="auto"/>
          <w:sz w:val="24"/>
          <w:szCs w:val="24"/>
        </w:rPr>
        <w:t>ag</w:t>
      </w:r>
      <w:r w:rsidR="00F52F7F" w:rsidRPr="003A1D53">
        <w:rPr>
          <w:rStyle w:val="Titre3Car"/>
          <w:rFonts w:ascii="Times New Roman" w:eastAsia="Calibri" w:hAnsi="Times New Roman"/>
          <w:i/>
          <w:color w:val="auto"/>
          <w:sz w:val="24"/>
          <w:szCs w:val="24"/>
        </w:rPr>
        <w:t>ence</w:t>
      </w:r>
      <w:r w:rsidR="00F52F7F" w:rsidRPr="003A1D53">
        <w:rPr>
          <w:rFonts w:ascii="Times New Roman" w:hAnsi="Times New Roman"/>
          <w:b/>
          <w:i/>
          <w:sz w:val="24"/>
          <w:szCs w:val="24"/>
        </w:rPr>
        <w:t>s</w:t>
      </w:r>
      <w:r w:rsidR="00201CB4" w:rsidRPr="003A1D53">
        <w:rPr>
          <w:rFonts w:ascii="Times New Roman" w:hAnsi="Times New Roman"/>
          <w:b/>
          <w:i/>
          <w:sz w:val="24"/>
          <w:szCs w:val="24"/>
        </w:rPr>
        <w:t xml:space="preserve"> : </w:t>
      </w:r>
      <w:r w:rsidR="00AF6D5C" w:rsidRPr="003A1D53">
        <w:rPr>
          <w:rFonts w:ascii="Times New Roman" w:hAnsi="Times New Roman"/>
          <w:sz w:val="24"/>
          <w:szCs w:val="24"/>
        </w:rPr>
        <w:t>Le</w:t>
      </w:r>
      <w:r w:rsidR="00BC24A0" w:rsidRPr="003A1D53">
        <w:rPr>
          <w:rFonts w:ascii="Times New Roman" w:hAnsi="Times New Roman"/>
          <w:sz w:val="24"/>
          <w:szCs w:val="24"/>
        </w:rPr>
        <w:t xml:space="preserve"> programme </w:t>
      </w:r>
      <w:r w:rsidR="00201CB4" w:rsidRPr="003A1D53">
        <w:rPr>
          <w:rFonts w:ascii="Times New Roman" w:hAnsi="Times New Roman"/>
          <w:sz w:val="24"/>
          <w:szCs w:val="24"/>
        </w:rPr>
        <w:t>est également adossé à un</w:t>
      </w:r>
      <w:r w:rsidR="00C7258B" w:rsidRPr="003A1D53">
        <w:rPr>
          <w:rFonts w:ascii="Times New Roman" w:hAnsi="Times New Roman"/>
          <w:sz w:val="24"/>
          <w:szCs w:val="24"/>
        </w:rPr>
        <w:t xml:space="preserve">e démarche </w:t>
      </w:r>
      <w:r w:rsidR="00F818DA" w:rsidRPr="003A1D53">
        <w:rPr>
          <w:rFonts w:ascii="Times New Roman" w:hAnsi="Times New Roman"/>
          <w:sz w:val="24"/>
          <w:szCs w:val="24"/>
        </w:rPr>
        <w:t xml:space="preserve">de </w:t>
      </w:r>
      <w:r w:rsidR="00C7258B" w:rsidRPr="003A1D53">
        <w:rPr>
          <w:rFonts w:ascii="Times New Roman" w:hAnsi="Times New Roman"/>
          <w:sz w:val="24"/>
          <w:szCs w:val="24"/>
        </w:rPr>
        <w:t xml:space="preserve">mutualisation des opérations d’appui qui contribue à la rationalisation de ces coûts. Bien que le pays ne dispose pas encore de Stratégie </w:t>
      </w:r>
      <w:r w:rsidR="00F818DA" w:rsidRPr="003A1D53">
        <w:rPr>
          <w:rFonts w:ascii="Times New Roman" w:hAnsi="Times New Roman"/>
          <w:sz w:val="24"/>
          <w:szCs w:val="24"/>
        </w:rPr>
        <w:t xml:space="preserve">formelle </w:t>
      </w:r>
      <w:r w:rsidR="00C7258B" w:rsidRPr="003A1D53">
        <w:rPr>
          <w:rFonts w:ascii="Times New Roman" w:hAnsi="Times New Roman"/>
          <w:sz w:val="24"/>
          <w:szCs w:val="24"/>
        </w:rPr>
        <w:t>pour les Opérations Communes, quelques douze (12) activités sont déjà, de facto, mutualisées : les bureaux de terrain, une maison d’hôtes commune à Gao, un système commun d’appr</w:t>
      </w:r>
      <w:r w:rsidRPr="003A1D53">
        <w:rPr>
          <w:rFonts w:ascii="Times New Roman" w:hAnsi="Times New Roman"/>
          <w:sz w:val="24"/>
          <w:szCs w:val="24"/>
        </w:rPr>
        <w:t>ovisionnement en carburant, une base de CV</w:t>
      </w:r>
      <w:r w:rsidR="00C7258B" w:rsidRPr="003A1D53">
        <w:rPr>
          <w:rFonts w:ascii="Times New Roman" w:hAnsi="Times New Roman"/>
          <w:sz w:val="24"/>
          <w:szCs w:val="24"/>
        </w:rPr>
        <w:t xml:space="preserve"> commun</w:t>
      </w:r>
      <w:r w:rsidRPr="003A1D53">
        <w:rPr>
          <w:rFonts w:ascii="Times New Roman" w:hAnsi="Times New Roman"/>
          <w:sz w:val="24"/>
          <w:szCs w:val="24"/>
        </w:rPr>
        <w:t>e</w:t>
      </w:r>
      <w:r w:rsidR="00C7258B" w:rsidRPr="003A1D53">
        <w:rPr>
          <w:rFonts w:ascii="Times New Roman" w:hAnsi="Times New Roman"/>
          <w:sz w:val="24"/>
          <w:szCs w:val="24"/>
        </w:rPr>
        <w:t xml:space="preserve"> pour les recrutements, un système télécom commun, un dispositif intégré de gestion de la  sécurité, un centre médical commun, un centre de fitness partagé, un système de paiement mobile, etc. </w:t>
      </w:r>
      <w:r w:rsidR="003E3C85" w:rsidRPr="003A1D53">
        <w:rPr>
          <w:rFonts w:ascii="Times New Roman" w:hAnsi="Times New Roman"/>
          <w:sz w:val="24"/>
          <w:szCs w:val="24"/>
        </w:rPr>
        <w:t>Dans le cadre de l’efficience, c</w:t>
      </w:r>
      <w:r w:rsidR="00C7258B" w:rsidRPr="003A1D53">
        <w:rPr>
          <w:rFonts w:ascii="Times New Roman" w:hAnsi="Times New Roman"/>
          <w:sz w:val="24"/>
          <w:szCs w:val="24"/>
        </w:rPr>
        <w:t>es</w:t>
      </w:r>
      <w:r w:rsidR="003E3C85" w:rsidRPr="003A1D53">
        <w:rPr>
          <w:rFonts w:ascii="Times New Roman" w:hAnsi="Times New Roman"/>
          <w:sz w:val="24"/>
          <w:szCs w:val="24"/>
        </w:rPr>
        <w:t xml:space="preserve"> mutualisations qui mettent ensemble u</w:t>
      </w:r>
      <w:r w:rsidR="00F818DA" w:rsidRPr="003A1D53">
        <w:rPr>
          <w:rFonts w:ascii="Times New Roman" w:hAnsi="Times New Roman"/>
          <w:sz w:val="24"/>
          <w:szCs w:val="24"/>
        </w:rPr>
        <w:t>n nombre variable</w:t>
      </w:r>
      <w:r w:rsidR="00F818DA">
        <w:rPr>
          <w:rFonts w:ascii="Times New Roman" w:hAnsi="Times New Roman"/>
          <w:sz w:val="24"/>
          <w:szCs w:val="24"/>
        </w:rPr>
        <w:t xml:space="preserve"> d’entités du S</w:t>
      </w:r>
      <w:r w:rsidR="003E3C85">
        <w:rPr>
          <w:rFonts w:ascii="Times New Roman" w:hAnsi="Times New Roman"/>
          <w:sz w:val="24"/>
          <w:szCs w:val="24"/>
        </w:rPr>
        <w:t xml:space="preserve">ystème, en fonction des activités </w:t>
      </w:r>
      <w:r w:rsidR="003E3C85">
        <w:rPr>
          <w:rFonts w:ascii="Times New Roman" w:hAnsi="Times New Roman"/>
          <w:sz w:val="24"/>
          <w:szCs w:val="24"/>
        </w:rPr>
        <w:lastRenderedPageBreak/>
        <w:t>concernées, ne permettent pas seulement de rationaliser les ressources, mais aussi d’optimiser la gestion des délais.</w:t>
      </w:r>
    </w:p>
    <w:p w14:paraId="604B52E6" w14:textId="77777777" w:rsidR="00201CB4" w:rsidRPr="00C7258B" w:rsidRDefault="00201CB4" w:rsidP="005B22B2">
      <w:pPr>
        <w:spacing w:after="0" w:line="240" w:lineRule="auto"/>
        <w:jc w:val="both"/>
        <w:rPr>
          <w:rFonts w:ascii="Times New Roman" w:hAnsi="Times New Roman"/>
          <w:sz w:val="24"/>
          <w:szCs w:val="24"/>
        </w:rPr>
      </w:pPr>
    </w:p>
    <w:p w14:paraId="604B52E7" w14:textId="77777777" w:rsidR="00BA3DC6" w:rsidRPr="006B309F" w:rsidRDefault="00BA3DC6" w:rsidP="005B22B2">
      <w:pPr>
        <w:pStyle w:val="Titre2"/>
        <w:numPr>
          <w:ilvl w:val="1"/>
          <w:numId w:val="4"/>
        </w:numPr>
        <w:spacing w:before="0"/>
        <w:rPr>
          <w:color w:val="auto"/>
        </w:rPr>
      </w:pPr>
      <w:bookmarkStart w:id="243" w:name="_Toc499211628"/>
      <w:bookmarkStart w:id="244" w:name="_Toc500974555"/>
      <w:bookmarkStart w:id="245" w:name="_Toc502863915"/>
      <w:bookmarkStart w:id="246" w:name="_Toc505758487"/>
      <w:bookmarkStart w:id="247" w:name="_Toc506201579"/>
      <w:r w:rsidRPr="006B309F">
        <w:rPr>
          <w:color w:val="auto"/>
        </w:rPr>
        <w:t>Durabilité</w:t>
      </w:r>
      <w:bookmarkEnd w:id="243"/>
      <w:bookmarkEnd w:id="244"/>
      <w:bookmarkEnd w:id="245"/>
      <w:bookmarkEnd w:id="246"/>
      <w:bookmarkEnd w:id="247"/>
    </w:p>
    <w:p w14:paraId="604B52E8" w14:textId="77777777" w:rsidR="00BA3DC6" w:rsidRPr="006B309F" w:rsidRDefault="00BA3DC6" w:rsidP="005B22B2">
      <w:pPr>
        <w:pStyle w:val="Textebrut"/>
        <w:jc w:val="both"/>
        <w:rPr>
          <w:rFonts w:ascii="Times New Roman" w:hAnsi="Times New Roman"/>
          <w:sz w:val="24"/>
          <w:szCs w:val="24"/>
        </w:rPr>
      </w:pPr>
    </w:p>
    <w:p w14:paraId="604B52E9" w14:textId="77777777" w:rsidR="00BA3DC6" w:rsidRPr="006B309F" w:rsidRDefault="0015327E" w:rsidP="005B22B2">
      <w:pPr>
        <w:pStyle w:val="Textebrut"/>
        <w:jc w:val="both"/>
        <w:rPr>
          <w:rFonts w:ascii="Times New Roman" w:hAnsi="Times New Roman"/>
          <w:sz w:val="24"/>
          <w:szCs w:val="24"/>
        </w:rPr>
      </w:pPr>
      <w:r>
        <w:rPr>
          <w:rFonts w:ascii="Times New Roman" w:hAnsi="Times New Roman"/>
          <w:sz w:val="24"/>
          <w:szCs w:val="24"/>
        </w:rPr>
        <w:t>1</w:t>
      </w:r>
      <w:r w:rsidR="007E34BC">
        <w:rPr>
          <w:rFonts w:ascii="Times New Roman" w:hAnsi="Times New Roman"/>
          <w:sz w:val="24"/>
          <w:szCs w:val="24"/>
        </w:rPr>
        <w:t>60</w:t>
      </w:r>
      <w:r w:rsidR="00BA3DC6" w:rsidRPr="006B309F">
        <w:rPr>
          <w:rFonts w:ascii="Times New Roman" w:hAnsi="Times New Roman"/>
          <w:sz w:val="24"/>
          <w:szCs w:val="24"/>
        </w:rPr>
        <w:t>.</w:t>
      </w:r>
      <w:r w:rsidR="00D63D90" w:rsidRPr="006B309F">
        <w:rPr>
          <w:rFonts w:ascii="Times New Roman" w:hAnsi="Times New Roman"/>
          <w:sz w:val="24"/>
          <w:szCs w:val="24"/>
        </w:rPr>
        <w:tab/>
        <w:t>La durabilité des acquis d</w:t>
      </w:r>
      <w:r w:rsidR="00F65970">
        <w:rPr>
          <w:rFonts w:ascii="Times New Roman" w:hAnsi="Times New Roman"/>
          <w:sz w:val="24"/>
          <w:szCs w:val="24"/>
        </w:rPr>
        <w:t xml:space="preserve">e développement </w:t>
      </w:r>
      <w:r w:rsidR="00BA3DC6" w:rsidRPr="006B309F">
        <w:rPr>
          <w:rFonts w:ascii="Times New Roman" w:hAnsi="Times New Roman"/>
          <w:sz w:val="24"/>
          <w:szCs w:val="24"/>
        </w:rPr>
        <w:t>est fonction de déterminants clés, d’amont et d’aval. En amont, il y a la qualité des produits livrés</w:t>
      </w:r>
      <w:r w:rsidR="00D63D90" w:rsidRPr="006B309F">
        <w:rPr>
          <w:rFonts w:ascii="Times New Roman" w:hAnsi="Times New Roman"/>
          <w:sz w:val="24"/>
          <w:szCs w:val="24"/>
        </w:rPr>
        <w:t xml:space="preserve"> qui servent de supports tangibles aux effets éventuellement obtenus</w:t>
      </w:r>
      <w:r w:rsidR="00BA3DC6" w:rsidRPr="006B309F">
        <w:rPr>
          <w:rFonts w:ascii="Times New Roman" w:hAnsi="Times New Roman"/>
          <w:sz w:val="24"/>
          <w:szCs w:val="24"/>
        </w:rPr>
        <w:t>, et en aval la qualité de l’appropriation des bénéficiaires et leur capacité à prendre le relai</w:t>
      </w:r>
      <w:r w:rsidR="002A6E0C">
        <w:rPr>
          <w:rFonts w:ascii="Times New Roman" w:hAnsi="Times New Roman"/>
          <w:sz w:val="24"/>
          <w:szCs w:val="24"/>
        </w:rPr>
        <w:t>s</w:t>
      </w:r>
      <w:r w:rsidR="00BA3DC6" w:rsidRPr="006B309F">
        <w:rPr>
          <w:rFonts w:ascii="Times New Roman" w:hAnsi="Times New Roman"/>
          <w:sz w:val="24"/>
          <w:szCs w:val="24"/>
        </w:rPr>
        <w:t xml:space="preserve"> et à tenir un résultat</w:t>
      </w:r>
      <w:r w:rsidR="00D63D90" w:rsidRPr="006B309F">
        <w:rPr>
          <w:rFonts w:ascii="Times New Roman" w:hAnsi="Times New Roman"/>
          <w:sz w:val="24"/>
          <w:szCs w:val="24"/>
        </w:rPr>
        <w:t xml:space="preserve"> dans la suite des interventions du p</w:t>
      </w:r>
      <w:r w:rsidR="00F65970">
        <w:rPr>
          <w:rFonts w:ascii="Times New Roman" w:hAnsi="Times New Roman"/>
          <w:sz w:val="24"/>
          <w:szCs w:val="24"/>
        </w:rPr>
        <w:t>artenaire</w:t>
      </w:r>
      <w:r w:rsidR="00A261E4">
        <w:rPr>
          <w:rFonts w:ascii="Times New Roman" w:hAnsi="Times New Roman"/>
          <w:sz w:val="24"/>
          <w:szCs w:val="24"/>
        </w:rPr>
        <w:t xml:space="preserve">, celles-ci étant </w:t>
      </w:r>
      <w:r w:rsidR="00D63D90" w:rsidRPr="006B309F">
        <w:rPr>
          <w:rFonts w:ascii="Times New Roman" w:hAnsi="Times New Roman"/>
          <w:sz w:val="24"/>
          <w:szCs w:val="24"/>
        </w:rPr>
        <w:t>forcément limitées dans le temps</w:t>
      </w:r>
      <w:r w:rsidR="00BA3DC6" w:rsidRPr="006B309F">
        <w:rPr>
          <w:rFonts w:ascii="Times New Roman" w:hAnsi="Times New Roman"/>
          <w:sz w:val="24"/>
          <w:szCs w:val="24"/>
        </w:rPr>
        <w:t xml:space="preserve">. Sans produits de qualité, l’on ne peut envisager de réelle pérennité. Aussi bien, si de bons produits ont été livrés mais ne sont pas tenus comme ils devraient l’être et </w:t>
      </w:r>
      <w:r w:rsidR="00A261E4">
        <w:rPr>
          <w:rFonts w:ascii="Times New Roman" w:hAnsi="Times New Roman"/>
          <w:sz w:val="24"/>
          <w:szCs w:val="24"/>
        </w:rPr>
        <w:t>si</w:t>
      </w:r>
      <w:r w:rsidR="00BA3DC6" w:rsidRPr="006B309F">
        <w:rPr>
          <w:rFonts w:ascii="Times New Roman" w:hAnsi="Times New Roman"/>
          <w:sz w:val="24"/>
          <w:szCs w:val="24"/>
        </w:rPr>
        <w:t xml:space="preserve"> la partie nationale n’est pas réellement prête à les porter comme ils l’étaient dans le cycle de programmation révolu, l’on ne peut pas davantage parler de durabilité. </w:t>
      </w:r>
    </w:p>
    <w:p w14:paraId="604B52EA" w14:textId="77777777" w:rsidR="00BA3DC6" w:rsidRPr="006B309F" w:rsidRDefault="00BA3DC6" w:rsidP="005B22B2">
      <w:pPr>
        <w:pStyle w:val="Textebrut"/>
        <w:ind w:left="720"/>
        <w:jc w:val="both"/>
        <w:rPr>
          <w:rFonts w:ascii="Times New Roman" w:hAnsi="Times New Roman"/>
          <w:sz w:val="24"/>
          <w:szCs w:val="24"/>
        </w:rPr>
      </w:pPr>
    </w:p>
    <w:p w14:paraId="604B52EB" w14:textId="77777777" w:rsidR="0050158B" w:rsidRDefault="0015327E" w:rsidP="005B22B2">
      <w:pPr>
        <w:pStyle w:val="Textebrut"/>
        <w:jc w:val="both"/>
        <w:rPr>
          <w:rFonts w:ascii="Times New Roman" w:hAnsi="Times New Roman"/>
          <w:sz w:val="24"/>
          <w:szCs w:val="24"/>
        </w:rPr>
      </w:pPr>
      <w:r>
        <w:rPr>
          <w:rFonts w:ascii="Times New Roman" w:hAnsi="Times New Roman"/>
          <w:sz w:val="24"/>
          <w:szCs w:val="24"/>
        </w:rPr>
        <w:t>1</w:t>
      </w:r>
      <w:r w:rsidR="007E34BC">
        <w:rPr>
          <w:rFonts w:ascii="Times New Roman" w:hAnsi="Times New Roman"/>
          <w:sz w:val="24"/>
          <w:szCs w:val="24"/>
        </w:rPr>
        <w:t>61</w:t>
      </w:r>
      <w:r w:rsidR="00BA3DC6" w:rsidRPr="006B309F">
        <w:rPr>
          <w:rFonts w:ascii="Times New Roman" w:hAnsi="Times New Roman"/>
          <w:sz w:val="24"/>
          <w:szCs w:val="24"/>
        </w:rPr>
        <w:t>.</w:t>
      </w:r>
      <w:r w:rsidR="00BA3DC6" w:rsidRPr="006B309F">
        <w:rPr>
          <w:rFonts w:ascii="Times New Roman" w:hAnsi="Times New Roman"/>
          <w:sz w:val="24"/>
          <w:szCs w:val="24"/>
        </w:rPr>
        <w:tab/>
        <w:t xml:space="preserve">La qualité des livraisons faites </w:t>
      </w:r>
      <w:r w:rsidR="00F65970">
        <w:rPr>
          <w:rFonts w:ascii="Times New Roman" w:hAnsi="Times New Roman"/>
          <w:sz w:val="24"/>
          <w:szCs w:val="24"/>
        </w:rPr>
        <w:t>dans le cadre d</w:t>
      </w:r>
      <w:r w:rsidR="00A261E4">
        <w:rPr>
          <w:rFonts w:ascii="Times New Roman" w:hAnsi="Times New Roman"/>
          <w:sz w:val="24"/>
          <w:szCs w:val="24"/>
        </w:rPr>
        <w:t>u programme</w:t>
      </w:r>
      <w:r w:rsidR="00F65970">
        <w:rPr>
          <w:rFonts w:ascii="Times New Roman" w:hAnsi="Times New Roman"/>
          <w:sz w:val="24"/>
          <w:szCs w:val="24"/>
        </w:rPr>
        <w:t>,</w:t>
      </w:r>
      <w:r w:rsidR="00BA3DC6" w:rsidRPr="006B309F">
        <w:rPr>
          <w:rFonts w:ascii="Times New Roman" w:hAnsi="Times New Roman"/>
          <w:sz w:val="24"/>
          <w:szCs w:val="24"/>
        </w:rPr>
        <w:t xml:space="preserve"> comme inputs supports de </w:t>
      </w:r>
      <w:r w:rsidR="00A261E4">
        <w:rPr>
          <w:rFonts w:ascii="Times New Roman" w:hAnsi="Times New Roman"/>
          <w:sz w:val="24"/>
          <w:szCs w:val="24"/>
        </w:rPr>
        <w:t>son</w:t>
      </w:r>
      <w:r w:rsidR="00F65970">
        <w:rPr>
          <w:rFonts w:ascii="Times New Roman" w:hAnsi="Times New Roman"/>
          <w:sz w:val="24"/>
          <w:szCs w:val="24"/>
        </w:rPr>
        <w:t xml:space="preserve"> </w:t>
      </w:r>
      <w:r w:rsidR="00BA3DC6" w:rsidRPr="006B309F">
        <w:rPr>
          <w:rFonts w:ascii="Times New Roman" w:hAnsi="Times New Roman"/>
          <w:sz w:val="24"/>
          <w:szCs w:val="24"/>
        </w:rPr>
        <w:t xml:space="preserve">influence </w:t>
      </w:r>
      <w:r w:rsidR="00A261E4">
        <w:rPr>
          <w:rFonts w:ascii="Times New Roman" w:hAnsi="Times New Roman"/>
          <w:sz w:val="24"/>
          <w:szCs w:val="24"/>
        </w:rPr>
        <w:t>sur le milieu</w:t>
      </w:r>
      <w:r w:rsidR="00F65970">
        <w:rPr>
          <w:rFonts w:ascii="Times New Roman" w:hAnsi="Times New Roman"/>
          <w:sz w:val="24"/>
          <w:szCs w:val="24"/>
        </w:rPr>
        <w:t>, est naturellement à considérer au cas par cas</w:t>
      </w:r>
      <w:r w:rsidR="00BA3DC6" w:rsidRPr="006B309F">
        <w:rPr>
          <w:rFonts w:ascii="Times New Roman" w:hAnsi="Times New Roman"/>
          <w:sz w:val="24"/>
          <w:szCs w:val="24"/>
        </w:rPr>
        <w:t xml:space="preserve"> en fonction des produits concernés et de la manière dont ils touchent à l’environnement. </w:t>
      </w:r>
      <w:r w:rsidR="00F65970">
        <w:rPr>
          <w:rFonts w:ascii="Times New Roman" w:hAnsi="Times New Roman"/>
          <w:sz w:val="24"/>
          <w:szCs w:val="24"/>
        </w:rPr>
        <w:t xml:space="preserve">Ce qui en dit supra à la section sur l’efficience, à savoir que les standards de gestion de programme de rang international favorisent un rapport coût-avantage de bonne tenue, fonde également à considérer qu’en l’occurrence et généralement parlant les entités UN livrent dans l’environnement des produits suffisamment robustes pour </w:t>
      </w:r>
      <w:r w:rsidR="0050158B">
        <w:rPr>
          <w:rFonts w:ascii="Times New Roman" w:hAnsi="Times New Roman"/>
          <w:sz w:val="24"/>
          <w:szCs w:val="24"/>
        </w:rPr>
        <w:t>aspirer à être durables</w:t>
      </w:r>
      <w:r w:rsidR="00A261E4">
        <w:rPr>
          <w:rFonts w:ascii="Times New Roman" w:hAnsi="Times New Roman"/>
          <w:sz w:val="24"/>
          <w:szCs w:val="24"/>
        </w:rPr>
        <w:t>,</w:t>
      </w:r>
      <w:r w:rsidR="0050158B">
        <w:rPr>
          <w:rFonts w:ascii="Times New Roman" w:hAnsi="Times New Roman"/>
          <w:sz w:val="24"/>
          <w:szCs w:val="24"/>
        </w:rPr>
        <w:t xml:space="preserve"> si les conditions complémentaires requises sont effectivement réunies.</w:t>
      </w:r>
    </w:p>
    <w:p w14:paraId="604B52EC" w14:textId="77777777" w:rsidR="00BA3DC6" w:rsidRPr="006B309F" w:rsidRDefault="00BA3DC6" w:rsidP="005B22B2">
      <w:pPr>
        <w:pStyle w:val="Textebrut"/>
        <w:jc w:val="both"/>
        <w:rPr>
          <w:rFonts w:ascii="Times New Roman" w:hAnsi="Times New Roman"/>
          <w:sz w:val="24"/>
          <w:szCs w:val="24"/>
        </w:rPr>
      </w:pPr>
    </w:p>
    <w:p w14:paraId="604B52ED" w14:textId="77777777" w:rsidR="004F22E5" w:rsidRPr="003A1D53" w:rsidRDefault="0015327E" w:rsidP="005B22B2">
      <w:pPr>
        <w:pStyle w:val="Textebrut"/>
        <w:jc w:val="both"/>
        <w:rPr>
          <w:rFonts w:ascii="Times New Roman" w:hAnsi="Times New Roman"/>
          <w:sz w:val="24"/>
          <w:szCs w:val="24"/>
        </w:rPr>
      </w:pPr>
      <w:r>
        <w:rPr>
          <w:rFonts w:ascii="Times New Roman" w:hAnsi="Times New Roman"/>
          <w:sz w:val="24"/>
          <w:szCs w:val="24"/>
        </w:rPr>
        <w:t>1</w:t>
      </w:r>
      <w:r w:rsidR="007E34BC">
        <w:rPr>
          <w:rFonts w:ascii="Times New Roman" w:hAnsi="Times New Roman"/>
          <w:sz w:val="24"/>
          <w:szCs w:val="24"/>
        </w:rPr>
        <w:t>62</w:t>
      </w:r>
      <w:r w:rsidR="0024772E" w:rsidRPr="006B309F">
        <w:rPr>
          <w:rFonts w:ascii="Times New Roman" w:hAnsi="Times New Roman"/>
          <w:sz w:val="24"/>
          <w:szCs w:val="24"/>
        </w:rPr>
        <w:t>.</w:t>
      </w:r>
      <w:r w:rsidR="00BA3DC6" w:rsidRPr="006B309F">
        <w:rPr>
          <w:rFonts w:ascii="Times New Roman" w:hAnsi="Times New Roman"/>
          <w:sz w:val="24"/>
          <w:szCs w:val="24"/>
        </w:rPr>
        <w:tab/>
      </w:r>
      <w:r w:rsidR="0050158B">
        <w:rPr>
          <w:rFonts w:ascii="Times New Roman" w:hAnsi="Times New Roman"/>
          <w:sz w:val="24"/>
          <w:szCs w:val="24"/>
        </w:rPr>
        <w:t xml:space="preserve">Ces conditions complémentaires requises tournent autour de l’appropriation nationale. Les efforts d’institutionnalisation des interventions, </w:t>
      </w:r>
      <w:r w:rsidR="00A261E4">
        <w:rPr>
          <w:rFonts w:ascii="Times New Roman" w:hAnsi="Times New Roman"/>
          <w:sz w:val="24"/>
          <w:szCs w:val="24"/>
        </w:rPr>
        <w:t xml:space="preserve">avec un </w:t>
      </w:r>
      <w:r w:rsidR="0050158B">
        <w:rPr>
          <w:rFonts w:ascii="Times New Roman" w:hAnsi="Times New Roman"/>
          <w:sz w:val="24"/>
          <w:szCs w:val="24"/>
        </w:rPr>
        <w:t>ancr</w:t>
      </w:r>
      <w:r w:rsidR="00A261E4">
        <w:rPr>
          <w:rFonts w:ascii="Times New Roman" w:hAnsi="Times New Roman"/>
          <w:sz w:val="24"/>
          <w:szCs w:val="24"/>
        </w:rPr>
        <w:t>age</w:t>
      </w:r>
      <w:r w:rsidR="0050158B">
        <w:rPr>
          <w:rFonts w:ascii="Times New Roman" w:hAnsi="Times New Roman"/>
          <w:sz w:val="24"/>
          <w:szCs w:val="24"/>
        </w:rPr>
        <w:t xml:space="preserve"> dans les entités nationales</w:t>
      </w:r>
      <w:r w:rsidR="00A261E4">
        <w:rPr>
          <w:rFonts w:ascii="Times New Roman" w:hAnsi="Times New Roman"/>
          <w:sz w:val="24"/>
          <w:szCs w:val="24"/>
        </w:rPr>
        <w:t>,</w:t>
      </w:r>
      <w:r w:rsidR="0050158B">
        <w:rPr>
          <w:rFonts w:ascii="Times New Roman" w:hAnsi="Times New Roman"/>
          <w:sz w:val="24"/>
          <w:szCs w:val="24"/>
        </w:rPr>
        <w:t xml:space="preserve"> favorisent en droit cette appropriation </w:t>
      </w:r>
      <w:r w:rsidR="0050158B" w:rsidRPr="003A1D53">
        <w:rPr>
          <w:rFonts w:ascii="Times New Roman" w:hAnsi="Times New Roman"/>
          <w:sz w:val="24"/>
          <w:szCs w:val="24"/>
        </w:rPr>
        <w:t xml:space="preserve">et la capitalisation </w:t>
      </w:r>
      <w:r w:rsidR="00A261E4" w:rsidRPr="003A1D53">
        <w:rPr>
          <w:rFonts w:ascii="Times New Roman" w:hAnsi="Times New Roman"/>
          <w:sz w:val="24"/>
          <w:szCs w:val="24"/>
        </w:rPr>
        <w:t xml:space="preserve">nationale sur les </w:t>
      </w:r>
      <w:r w:rsidR="0050158B" w:rsidRPr="003A1D53">
        <w:rPr>
          <w:rFonts w:ascii="Times New Roman" w:hAnsi="Times New Roman"/>
          <w:sz w:val="24"/>
          <w:szCs w:val="24"/>
        </w:rPr>
        <w:t xml:space="preserve">acquis, </w:t>
      </w:r>
      <w:r w:rsidR="00A261E4" w:rsidRPr="003A1D53">
        <w:rPr>
          <w:rFonts w:ascii="Times New Roman" w:hAnsi="Times New Roman"/>
          <w:sz w:val="24"/>
          <w:szCs w:val="24"/>
        </w:rPr>
        <w:t xml:space="preserve">ce qui est </w:t>
      </w:r>
      <w:r w:rsidR="0050158B" w:rsidRPr="003A1D53">
        <w:rPr>
          <w:rFonts w:ascii="Times New Roman" w:hAnsi="Times New Roman"/>
          <w:sz w:val="24"/>
          <w:szCs w:val="24"/>
        </w:rPr>
        <w:t>source</w:t>
      </w:r>
      <w:r w:rsidR="00B6229F" w:rsidRPr="003A1D53">
        <w:rPr>
          <w:rFonts w:ascii="Times New Roman" w:hAnsi="Times New Roman"/>
          <w:sz w:val="24"/>
          <w:szCs w:val="24"/>
        </w:rPr>
        <w:t xml:space="preserve"> de pérennité. Dans les faits, le</w:t>
      </w:r>
      <w:r w:rsidR="0050158B" w:rsidRPr="003A1D53">
        <w:rPr>
          <w:rFonts w:ascii="Times New Roman" w:hAnsi="Times New Roman"/>
          <w:sz w:val="24"/>
          <w:szCs w:val="24"/>
        </w:rPr>
        <w:t xml:space="preserve"> département en charge de la </w:t>
      </w:r>
      <w:r w:rsidR="000A63FC" w:rsidRPr="003A1D53">
        <w:rPr>
          <w:rFonts w:ascii="Times New Roman" w:hAnsi="Times New Roman"/>
          <w:sz w:val="24"/>
          <w:szCs w:val="24"/>
        </w:rPr>
        <w:t xml:space="preserve">gestion de la coopération </w:t>
      </w:r>
      <w:r w:rsidR="00B6229F" w:rsidRPr="003A1D53">
        <w:rPr>
          <w:rFonts w:ascii="Times New Roman" w:hAnsi="Times New Roman"/>
          <w:sz w:val="24"/>
          <w:szCs w:val="24"/>
        </w:rPr>
        <w:t>multilatérale</w:t>
      </w:r>
      <w:r w:rsidR="0050158B" w:rsidRPr="003A1D53">
        <w:rPr>
          <w:rFonts w:ascii="Times New Roman" w:hAnsi="Times New Roman"/>
          <w:sz w:val="24"/>
          <w:szCs w:val="24"/>
        </w:rPr>
        <w:t xml:space="preserve"> devrait assurer la coordination des interfaces nationales ave</w:t>
      </w:r>
      <w:r w:rsidR="00B6229F" w:rsidRPr="003A1D53">
        <w:rPr>
          <w:rFonts w:ascii="Times New Roman" w:hAnsi="Times New Roman"/>
          <w:sz w:val="24"/>
          <w:szCs w:val="24"/>
        </w:rPr>
        <w:t>c les agences, et exercer un rée</w:t>
      </w:r>
      <w:r w:rsidR="0050158B" w:rsidRPr="003A1D53">
        <w:rPr>
          <w:rFonts w:ascii="Times New Roman" w:hAnsi="Times New Roman"/>
          <w:sz w:val="24"/>
          <w:szCs w:val="24"/>
        </w:rPr>
        <w:t>l</w:t>
      </w:r>
      <w:r w:rsidR="00B6229F" w:rsidRPr="003A1D53">
        <w:rPr>
          <w:rFonts w:ascii="Times New Roman" w:hAnsi="Times New Roman"/>
          <w:sz w:val="24"/>
          <w:szCs w:val="24"/>
        </w:rPr>
        <w:t xml:space="preserve"> </w:t>
      </w:r>
      <w:r w:rsidR="0050158B" w:rsidRPr="003A1D53">
        <w:rPr>
          <w:rFonts w:ascii="Times New Roman" w:hAnsi="Times New Roman"/>
          <w:sz w:val="24"/>
          <w:szCs w:val="24"/>
        </w:rPr>
        <w:t xml:space="preserve"> co-leadership </w:t>
      </w:r>
      <w:r w:rsidR="00B6229F" w:rsidRPr="003A1D53">
        <w:rPr>
          <w:rFonts w:ascii="Times New Roman" w:hAnsi="Times New Roman"/>
          <w:sz w:val="24"/>
          <w:szCs w:val="24"/>
        </w:rPr>
        <w:t xml:space="preserve">avec le Système sur le programme. La mission a cependant observé des divergences entre institutions nationales sur la gestion de l’interface avec le programme. Par exemple, le processus de priorisation des Objectifs de Développement Durable, que le Système accompagne et sur le résultat duquel le programme doit se réaligner, </w:t>
      </w:r>
      <w:r w:rsidR="00C44CF7" w:rsidRPr="003A1D53">
        <w:rPr>
          <w:rFonts w:ascii="Times New Roman" w:hAnsi="Times New Roman"/>
          <w:sz w:val="24"/>
          <w:szCs w:val="24"/>
        </w:rPr>
        <w:t>est toujours en attente de l’arbitrage des plus hautes autorités pour lui donner un ancrage dans l’un des trois départements qui professent leur légitimité à cet égard. Cet état de fait ne favorise pas l’</w:t>
      </w:r>
      <w:r w:rsidR="004F22E5" w:rsidRPr="003A1D53">
        <w:rPr>
          <w:rFonts w:ascii="Times New Roman" w:hAnsi="Times New Roman"/>
          <w:sz w:val="24"/>
          <w:szCs w:val="24"/>
        </w:rPr>
        <w:t xml:space="preserve">appropriation </w:t>
      </w:r>
      <w:r w:rsidR="00C44CF7" w:rsidRPr="003A1D53">
        <w:rPr>
          <w:rFonts w:ascii="Times New Roman" w:hAnsi="Times New Roman"/>
          <w:sz w:val="24"/>
          <w:szCs w:val="24"/>
        </w:rPr>
        <w:t>institutionnelle du programme par la partie nationale, qui a besoin d’être</w:t>
      </w:r>
      <w:r w:rsidR="000A63FC" w:rsidRPr="003A1D53">
        <w:rPr>
          <w:rFonts w:ascii="Times New Roman" w:hAnsi="Times New Roman"/>
          <w:sz w:val="24"/>
          <w:szCs w:val="24"/>
        </w:rPr>
        <w:t xml:space="preserve"> améliorée</w:t>
      </w:r>
      <w:r w:rsidR="004F22E5" w:rsidRPr="003A1D53">
        <w:rPr>
          <w:rFonts w:ascii="Times New Roman" w:hAnsi="Times New Roman"/>
          <w:sz w:val="24"/>
          <w:szCs w:val="24"/>
        </w:rPr>
        <w:t xml:space="preserve"> pour espérer entrevoir une réelle durabilité.</w:t>
      </w:r>
    </w:p>
    <w:p w14:paraId="604B52EE" w14:textId="77777777" w:rsidR="004F22E5" w:rsidRPr="003A1D53" w:rsidRDefault="004F22E5" w:rsidP="005B22B2">
      <w:pPr>
        <w:pStyle w:val="Textebrut"/>
        <w:jc w:val="both"/>
        <w:rPr>
          <w:rFonts w:ascii="Times New Roman" w:hAnsi="Times New Roman"/>
          <w:sz w:val="24"/>
          <w:szCs w:val="24"/>
        </w:rPr>
      </w:pPr>
    </w:p>
    <w:p w14:paraId="604B52EF" w14:textId="77777777" w:rsidR="00A53D60" w:rsidRPr="003A1D53" w:rsidRDefault="007E34BC" w:rsidP="00A53D60">
      <w:pPr>
        <w:spacing w:after="0" w:line="240" w:lineRule="auto"/>
        <w:jc w:val="both"/>
        <w:rPr>
          <w:rFonts w:ascii="Times New Roman" w:hAnsi="Times New Roman"/>
          <w:sz w:val="24"/>
          <w:szCs w:val="24"/>
        </w:rPr>
      </w:pPr>
      <w:r w:rsidRPr="003A1D53">
        <w:rPr>
          <w:rFonts w:ascii="Times New Roman" w:hAnsi="Times New Roman"/>
          <w:sz w:val="24"/>
          <w:szCs w:val="24"/>
        </w:rPr>
        <w:t>163.</w:t>
      </w:r>
      <w:r w:rsidR="00A53D60" w:rsidRPr="003A1D53">
        <w:rPr>
          <w:rFonts w:ascii="Times New Roman" w:hAnsi="Times New Roman"/>
          <w:sz w:val="24"/>
          <w:szCs w:val="24"/>
        </w:rPr>
        <w:tab/>
        <w:t>Les groupes de résultats qui assument la planification et le suivi de l’exécution des Effets sont en principes partenariaux, ouverts aux représentants du Système et à leurs homologues nationaux. Ces cadres sont même présidés par les institutionnels en prévenance des ministères. Dans les faits, la mission a observé que l’animation des groupes de résultats est assurée par les représentant des entités UN. C’est d’ailleurs ce biais que la partie nationale cherche à corriger en instituant des points focaux de résultats, pour gagner du leadership sur l’animation et le suivi des activités par Effet.</w:t>
      </w:r>
    </w:p>
    <w:p w14:paraId="604B52F0" w14:textId="77777777" w:rsidR="00A53D60" w:rsidRPr="003A1D53" w:rsidRDefault="00A53D60" w:rsidP="00A53D60">
      <w:pPr>
        <w:spacing w:after="0" w:line="240" w:lineRule="auto"/>
        <w:jc w:val="both"/>
        <w:rPr>
          <w:rFonts w:ascii="Times New Roman" w:hAnsi="Times New Roman"/>
          <w:sz w:val="24"/>
          <w:szCs w:val="24"/>
        </w:rPr>
      </w:pPr>
    </w:p>
    <w:p w14:paraId="604B52F1" w14:textId="77777777" w:rsidR="00A53D60" w:rsidRPr="003A1D53" w:rsidRDefault="007E34BC" w:rsidP="00A53D60">
      <w:pPr>
        <w:spacing w:after="0" w:line="240" w:lineRule="auto"/>
        <w:jc w:val="both"/>
        <w:rPr>
          <w:rFonts w:ascii="Times New Roman" w:hAnsi="Times New Roman"/>
          <w:sz w:val="24"/>
          <w:szCs w:val="24"/>
        </w:rPr>
      </w:pPr>
      <w:r w:rsidRPr="003A1D53">
        <w:rPr>
          <w:rFonts w:ascii="Times New Roman" w:hAnsi="Times New Roman"/>
          <w:sz w:val="24"/>
          <w:szCs w:val="24"/>
        </w:rPr>
        <w:t>164.</w:t>
      </w:r>
      <w:r w:rsidR="00A53D60" w:rsidRPr="003A1D53">
        <w:rPr>
          <w:rFonts w:ascii="Times New Roman" w:hAnsi="Times New Roman"/>
          <w:sz w:val="24"/>
          <w:szCs w:val="24"/>
        </w:rPr>
        <w:tab/>
        <w:t xml:space="preserve">Ces points focaux sont en place depuis peu et comme l’indique le département de coordination, le manque de moyens dédiés ne permet pas pour le moment leur opérationnalité. Au passe de la mission, depuis leur mise en place, ils ne se seraient réunis qu’une fois. La mission les ayant rencontrés en réunion commune au Ministère chargé de l’économie, autour de la Cellule de Suivi du CREDD, a perçu qu’ils avaient encore un très faible niveau </w:t>
      </w:r>
      <w:r w:rsidR="00A53D60" w:rsidRPr="003A1D53">
        <w:rPr>
          <w:rFonts w:ascii="Times New Roman" w:hAnsi="Times New Roman"/>
          <w:sz w:val="24"/>
          <w:szCs w:val="24"/>
        </w:rPr>
        <w:lastRenderedPageBreak/>
        <w:t>d’information sur le programme. De surcroît, dans un point focal au moins questionne régulièrement ce qui est perçu dans son ministère comme un dédoublement de la gestion du programme par rapport au cadre national de pilotage et de suivi des politiques de développement du pays.</w:t>
      </w:r>
    </w:p>
    <w:p w14:paraId="604B52F2" w14:textId="77777777" w:rsidR="00A53D60" w:rsidRPr="003A1D53" w:rsidRDefault="00A53D60" w:rsidP="00A53D60">
      <w:pPr>
        <w:spacing w:after="0" w:line="240" w:lineRule="auto"/>
        <w:jc w:val="both"/>
        <w:rPr>
          <w:rFonts w:ascii="Times New Roman" w:hAnsi="Times New Roman"/>
          <w:sz w:val="24"/>
          <w:szCs w:val="24"/>
        </w:rPr>
      </w:pPr>
    </w:p>
    <w:p w14:paraId="604B52F3" w14:textId="77777777" w:rsidR="00A53D60" w:rsidRPr="003A1D53" w:rsidRDefault="007E34BC" w:rsidP="00A53D60">
      <w:pPr>
        <w:spacing w:after="0" w:line="240" w:lineRule="auto"/>
        <w:jc w:val="both"/>
        <w:rPr>
          <w:rFonts w:ascii="Times New Roman" w:hAnsi="Times New Roman"/>
          <w:sz w:val="24"/>
          <w:szCs w:val="24"/>
        </w:rPr>
      </w:pPr>
      <w:r w:rsidRPr="003A1D53">
        <w:rPr>
          <w:rFonts w:ascii="Times New Roman" w:hAnsi="Times New Roman"/>
          <w:sz w:val="24"/>
          <w:szCs w:val="24"/>
        </w:rPr>
        <w:t>165.</w:t>
      </w:r>
      <w:r w:rsidR="00A53D60" w:rsidRPr="003A1D53">
        <w:rPr>
          <w:rFonts w:ascii="Times New Roman" w:hAnsi="Times New Roman"/>
          <w:sz w:val="24"/>
          <w:szCs w:val="24"/>
        </w:rPr>
        <w:tab/>
        <w:t>La question revient souvent de savoir pourquoi le programme est revu hors des cadres de revue des politiques publiques du Mali dans lesquelles il a vocation à s’insérer. Il est fait grief au cadre de revue du programme d’utiliser des indicateurs de mesure ou des données différents des outils et production de l’appareil statistique national. Et de fait,   la mission a observé que bien que l’appareil statistique ait aménagé un sous-module de suivi de suivi des indicateurs de l’UNDAF depuis les cycles antérieurs, le programme n’a plus vraiment actualisé ce module depuis 2011. Une nouvelle batterie d’indicateurs en rapport avec la matrice du cycle actuelle a bien été transmise à l’Institut statistique national, mais dans une version anglaise restée inexploitée par les techniciens nationaux.</w:t>
      </w:r>
    </w:p>
    <w:p w14:paraId="604B52F4" w14:textId="77777777" w:rsidR="00A53D60" w:rsidRPr="003A1D53" w:rsidRDefault="00A53D60" w:rsidP="005B22B2">
      <w:pPr>
        <w:pStyle w:val="Textebrut"/>
        <w:jc w:val="both"/>
        <w:rPr>
          <w:rFonts w:ascii="Times New Roman" w:hAnsi="Times New Roman"/>
          <w:sz w:val="24"/>
          <w:szCs w:val="24"/>
        </w:rPr>
      </w:pPr>
    </w:p>
    <w:p w14:paraId="604B52F5" w14:textId="77777777" w:rsidR="00A53D60" w:rsidRPr="003A1D53" w:rsidRDefault="007E34BC" w:rsidP="00A53D60">
      <w:pPr>
        <w:spacing w:after="0" w:line="240" w:lineRule="auto"/>
        <w:jc w:val="both"/>
        <w:rPr>
          <w:rFonts w:ascii="Times New Roman" w:hAnsi="Times New Roman"/>
          <w:sz w:val="24"/>
          <w:szCs w:val="24"/>
          <w:lang w:val="pt-PT"/>
        </w:rPr>
      </w:pPr>
      <w:r w:rsidRPr="003A1D53">
        <w:rPr>
          <w:rFonts w:ascii="Times New Roman" w:hAnsi="Times New Roman"/>
          <w:sz w:val="24"/>
          <w:szCs w:val="24"/>
        </w:rPr>
        <w:t>166.</w:t>
      </w:r>
      <w:r w:rsidR="00A53D60" w:rsidRPr="003A1D53">
        <w:rPr>
          <w:rFonts w:ascii="Times New Roman" w:hAnsi="Times New Roman"/>
          <w:sz w:val="24"/>
          <w:szCs w:val="24"/>
        </w:rPr>
        <w:tab/>
        <w:t>L</w:t>
      </w:r>
      <w:r w:rsidR="00A53D60" w:rsidRPr="003A1D53">
        <w:rPr>
          <w:rFonts w:ascii="Times New Roman" w:hAnsi="Times New Roman"/>
          <w:sz w:val="24"/>
          <w:szCs w:val="24"/>
          <w:lang w:val="pt-PT"/>
        </w:rPr>
        <w:t>’exécution nationale, lieu par nature de développement de compétences, est la modalité qui domine globalement dans la mise en eouvre du programme, mais ceci apparaît plus comme une survivance des modes de coopération de la période d’avant crise, et un principe qui, dans la réalité, est relativisé par d’importantes pratiques de paiements directs. La planification des activités et des produits est faite entre la partie nationale et l’entité UN concernées. A ce niveau stratégique, il y a bien de la place pour un processus d’apprentissage, même si des partenaires nationaux rencontrés font valoir qu’ils n’ont pas toujours une prise suffisante sur cet aspect de contenu. En effet, il arrive que des activités planifiés soient réajsutement d’autorité par le Système, souvent pour des raissons objectives de budget, mais sans que la partie nationale soit partie prenante de l’arditrage sous-jaçant.</w:t>
      </w:r>
    </w:p>
    <w:p w14:paraId="604B52F6" w14:textId="77777777" w:rsidR="00A53D60" w:rsidRPr="003A1D53" w:rsidRDefault="00A53D60" w:rsidP="00A53D60">
      <w:pPr>
        <w:spacing w:after="0" w:line="240" w:lineRule="auto"/>
        <w:jc w:val="both"/>
        <w:rPr>
          <w:rFonts w:ascii="Times New Roman" w:hAnsi="Times New Roman"/>
          <w:sz w:val="24"/>
          <w:szCs w:val="24"/>
          <w:lang w:val="pt-PT"/>
        </w:rPr>
      </w:pPr>
    </w:p>
    <w:p w14:paraId="604B52F7" w14:textId="77777777" w:rsidR="00A53D60" w:rsidRPr="003A1D53" w:rsidRDefault="007E34BC" w:rsidP="00A53D60">
      <w:pPr>
        <w:spacing w:after="0" w:line="240" w:lineRule="auto"/>
        <w:jc w:val="both"/>
        <w:rPr>
          <w:rFonts w:ascii="Times New Roman" w:hAnsi="Times New Roman"/>
          <w:sz w:val="24"/>
          <w:szCs w:val="24"/>
          <w:lang w:val="pt-PT"/>
        </w:rPr>
      </w:pPr>
      <w:r w:rsidRPr="003A1D53">
        <w:rPr>
          <w:rFonts w:ascii="Times New Roman" w:hAnsi="Times New Roman"/>
          <w:sz w:val="24"/>
          <w:szCs w:val="24"/>
          <w:lang w:val="pt-PT"/>
        </w:rPr>
        <w:t>167.</w:t>
      </w:r>
      <w:r w:rsidR="00A53D60" w:rsidRPr="003A1D53">
        <w:rPr>
          <w:rFonts w:ascii="Times New Roman" w:hAnsi="Times New Roman"/>
          <w:sz w:val="24"/>
          <w:szCs w:val="24"/>
          <w:lang w:val="pt-PT"/>
        </w:rPr>
        <w:tab/>
        <w:t>A cette réserve près, la planification stratégique des</w:t>
      </w:r>
      <w:r w:rsidR="003B48EF" w:rsidRPr="003A1D53">
        <w:rPr>
          <w:rFonts w:ascii="Times New Roman" w:hAnsi="Times New Roman"/>
          <w:sz w:val="24"/>
          <w:szCs w:val="24"/>
          <w:lang w:val="pt-PT"/>
        </w:rPr>
        <w:t xml:space="preserve"> </w:t>
      </w:r>
      <w:r w:rsidR="00A53D60" w:rsidRPr="003A1D53">
        <w:rPr>
          <w:rFonts w:ascii="Times New Roman" w:hAnsi="Times New Roman"/>
          <w:sz w:val="24"/>
          <w:szCs w:val="24"/>
          <w:lang w:val="pt-PT"/>
        </w:rPr>
        <w:t>activités et produits du programme donne des opportunités de renforcement de leurs capacités par les entités nationales, qu’lil s’agisse des structures étatiques ou des organisations de la société locale. Ces dernières sont en effet fortement présentes sur le terrain, y compris dans les zones à contraintes de sécurité élevées, et servent en quelque sorte de bras armé du Système pour délivrer des biens et services au plus près des communautés. Le renforcment de capacités porte également sur la maîtrise des procédure d’exéuction des entités UN, qui forment régulièrment leurs partenaires d’exécution. Mais là aussi, nombre de bénéfciaires de ces formations rencontré par la mission d’évalaution lui ont fait connaître qu’ils continuaient de ressentir beaucoup de complexité dans les rocédures des entités du Système, signe que les capacités à ce niveau restent encore à améliorer.</w:t>
      </w:r>
    </w:p>
    <w:p w14:paraId="604B52F8" w14:textId="77777777" w:rsidR="00A53D60" w:rsidRPr="003A1D53" w:rsidRDefault="00A53D60" w:rsidP="00A53D60">
      <w:pPr>
        <w:spacing w:after="0" w:line="240" w:lineRule="auto"/>
        <w:jc w:val="both"/>
        <w:rPr>
          <w:rFonts w:ascii="Times New Roman" w:hAnsi="Times New Roman"/>
          <w:sz w:val="24"/>
          <w:szCs w:val="24"/>
          <w:lang w:val="pt-PT"/>
        </w:rPr>
      </w:pPr>
    </w:p>
    <w:p w14:paraId="604B52F9" w14:textId="77777777" w:rsidR="00A53D60" w:rsidRPr="003A1D53" w:rsidRDefault="007E34BC" w:rsidP="00A53D60">
      <w:pPr>
        <w:spacing w:after="0" w:line="240" w:lineRule="auto"/>
        <w:jc w:val="both"/>
        <w:rPr>
          <w:rFonts w:ascii="Times New Roman" w:hAnsi="Times New Roman"/>
          <w:sz w:val="24"/>
          <w:szCs w:val="24"/>
          <w:lang w:val="pt-PT"/>
        </w:rPr>
      </w:pPr>
      <w:r w:rsidRPr="003A1D53">
        <w:rPr>
          <w:rFonts w:ascii="Times New Roman" w:hAnsi="Times New Roman"/>
          <w:sz w:val="24"/>
          <w:szCs w:val="24"/>
          <w:lang w:val="pt-PT"/>
        </w:rPr>
        <w:t>168.</w:t>
      </w:r>
      <w:r w:rsidR="00A53D60" w:rsidRPr="003A1D53">
        <w:rPr>
          <w:rFonts w:ascii="Times New Roman" w:hAnsi="Times New Roman"/>
          <w:sz w:val="24"/>
          <w:szCs w:val="24"/>
          <w:lang w:val="pt-PT"/>
        </w:rPr>
        <w:tab/>
        <w:t xml:space="preserve">Les paiements directs pratiqués souvent, même en contexte d’exécution nationale, sont généralement vécus par les partenaires nationaux comme autant d’occasions manquées de développement de capacités en matière d’exécution budgétaire. Les biens et services planifiés sont commandés à des fournisseurs, qui sont directement réglés par le services des opérations de l’entité UN. D’une manière générale les partenaires nationaux considèrent que dès lors que les mico évaluations donnent acte du fait que leur niveau de risque fiduciaire est compatible avec une exécution nationale, ces paiements directs sont incompréhensibles, sauf dans les cas d’acquisitions lourdes où l’avantage comaparatif du Système est constant. Il a également été observation une situation singulière où une entité nationale donne à exécuter une partie de son budget national d’investissement à une entité UN, à titre précotionneux. En effet, craignant de perdre une partie de ces ressources en cours d’année du fait des rabots budgétaires que l’Etat fait  </w:t>
      </w:r>
    </w:p>
    <w:p w14:paraId="604B52FA" w14:textId="77777777" w:rsidR="00A53D60" w:rsidRPr="003A1D53" w:rsidRDefault="00A53D60" w:rsidP="005B22B2">
      <w:pPr>
        <w:pStyle w:val="Textebrut"/>
        <w:jc w:val="both"/>
        <w:rPr>
          <w:rFonts w:ascii="Times New Roman" w:hAnsi="Times New Roman"/>
          <w:sz w:val="24"/>
          <w:szCs w:val="24"/>
          <w:lang w:val="pt-PT"/>
        </w:rPr>
      </w:pPr>
    </w:p>
    <w:p w14:paraId="604B52FB" w14:textId="77777777" w:rsidR="00A53D60" w:rsidRPr="003A1D53" w:rsidRDefault="00A53D60" w:rsidP="005B22B2">
      <w:pPr>
        <w:pStyle w:val="Textebrut"/>
        <w:jc w:val="both"/>
        <w:rPr>
          <w:rFonts w:ascii="Times New Roman" w:hAnsi="Times New Roman"/>
          <w:sz w:val="24"/>
          <w:szCs w:val="24"/>
        </w:rPr>
      </w:pPr>
    </w:p>
    <w:p w14:paraId="604B52FC" w14:textId="77777777" w:rsidR="00BA3DC6" w:rsidRPr="003A1D53" w:rsidRDefault="0015327E" w:rsidP="005B22B2">
      <w:pPr>
        <w:pStyle w:val="Textebrut"/>
        <w:jc w:val="both"/>
        <w:rPr>
          <w:rFonts w:ascii="Times New Roman" w:hAnsi="Times New Roman"/>
          <w:sz w:val="24"/>
          <w:szCs w:val="24"/>
        </w:rPr>
      </w:pPr>
      <w:r w:rsidRPr="003A1D53">
        <w:rPr>
          <w:rFonts w:ascii="Times New Roman" w:hAnsi="Times New Roman"/>
          <w:sz w:val="24"/>
          <w:szCs w:val="24"/>
        </w:rPr>
        <w:t>1</w:t>
      </w:r>
      <w:r w:rsidR="007E34BC" w:rsidRPr="003A1D53">
        <w:rPr>
          <w:rFonts w:ascii="Times New Roman" w:hAnsi="Times New Roman"/>
          <w:sz w:val="24"/>
          <w:szCs w:val="24"/>
        </w:rPr>
        <w:t>69</w:t>
      </w:r>
      <w:r w:rsidR="00837111" w:rsidRPr="003A1D53">
        <w:rPr>
          <w:rFonts w:ascii="Times New Roman" w:hAnsi="Times New Roman"/>
          <w:sz w:val="24"/>
          <w:szCs w:val="24"/>
        </w:rPr>
        <w:t>.</w:t>
      </w:r>
      <w:r w:rsidR="004F22E5" w:rsidRPr="003A1D53">
        <w:rPr>
          <w:rFonts w:ascii="Times New Roman" w:hAnsi="Times New Roman"/>
          <w:sz w:val="24"/>
          <w:szCs w:val="24"/>
        </w:rPr>
        <w:tab/>
      </w:r>
      <w:r w:rsidR="00A53D60" w:rsidRPr="003A1D53">
        <w:rPr>
          <w:rFonts w:ascii="Times New Roman" w:hAnsi="Times New Roman"/>
          <w:sz w:val="24"/>
          <w:szCs w:val="24"/>
        </w:rPr>
        <w:t>Il y a lieu de noter aussi que l’a</w:t>
      </w:r>
      <w:r w:rsidR="004F22E5" w:rsidRPr="003A1D53">
        <w:rPr>
          <w:rFonts w:ascii="Times New Roman" w:hAnsi="Times New Roman"/>
          <w:sz w:val="24"/>
          <w:szCs w:val="24"/>
        </w:rPr>
        <w:t xml:space="preserve">ppropriation </w:t>
      </w:r>
      <w:r w:rsidR="00A53D60" w:rsidRPr="003A1D53">
        <w:rPr>
          <w:rFonts w:ascii="Times New Roman" w:hAnsi="Times New Roman"/>
          <w:sz w:val="24"/>
          <w:szCs w:val="24"/>
        </w:rPr>
        <w:t>se nuance quelque peu entre le n</w:t>
      </w:r>
      <w:r w:rsidR="004F22E5" w:rsidRPr="003A1D53">
        <w:rPr>
          <w:rFonts w:ascii="Times New Roman" w:hAnsi="Times New Roman"/>
          <w:sz w:val="24"/>
          <w:szCs w:val="24"/>
        </w:rPr>
        <w:t xml:space="preserve">iveau stratégique transversal </w:t>
      </w:r>
      <w:r w:rsidR="00A53D60" w:rsidRPr="003A1D53">
        <w:rPr>
          <w:rFonts w:ascii="Times New Roman" w:hAnsi="Times New Roman"/>
          <w:sz w:val="24"/>
          <w:szCs w:val="24"/>
        </w:rPr>
        <w:t>et le</w:t>
      </w:r>
      <w:r w:rsidR="004F22E5" w:rsidRPr="003A1D53">
        <w:rPr>
          <w:rFonts w:ascii="Times New Roman" w:hAnsi="Times New Roman"/>
          <w:sz w:val="24"/>
          <w:szCs w:val="24"/>
        </w:rPr>
        <w:t>s secteurs qui ont des interfaces plus techniques et opérationnelles avec</w:t>
      </w:r>
      <w:r w:rsidR="00C44CF7" w:rsidRPr="003A1D53">
        <w:rPr>
          <w:rFonts w:ascii="Times New Roman" w:hAnsi="Times New Roman"/>
          <w:sz w:val="24"/>
          <w:szCs w:val="24"/>
        </w:rPr>
        <w:t xml:space="preserve"> </w:t>
      </w:r>
      <w:r w:rsidR="004F22E5" w:rsidRPr="003A1D53">
        <w:rPr>
          <w:rFonts w:ascii="Times New Roman" w:hAnsi="Times New Roman"/>
          <w:sz w:val="24"/>
          <w:szCs w:val="24"/>
        </w:rPr>
        <w:t xml:space="preserve">les entités UN. Les départements comme </w:t>
      </w:r>
      <w:r w:rsidR="00DE029F" w:rsidRPr="003A1D53">
        <w:rPr>
          <w:rFonts w:ascii="Times New Roman" w:hAnsi="Times New Roman"/>
          <w:sz w:val="24"/>
          <w:szCs w:val="24"/>
        </w:rPr>
        <w:t xml:space="preserve">l’Environnement, ou encore la Décentralisation, l’Administration du territoire, mais aussi </w:t>
      </w:r>
      <w:r w:rsidR="004F22E5" w:rsidRPr="003A1D53">
        <w:rPr>
          <w:rFonts w:ascii="Times New Roman" w:hAnsi="Times New Roman"/>
          <w:sz w:val="24"/>
          <w:szCs w:val="24"/>
        </w:rPr>
        <w:t>la Santé</w:t>
      </w:r>
      <w:r w:rsidR="00DE029F" w:rsidRPr="003A1D53">
        <w:rPr>
          <w:rFonts w:ascii="Times New Roman" w:hAnsi="Times New Roman"/>
          <w:sz w:val="24"/>
          <w:szCs w:val="24"/>
        </w:rPr>
        <w:t xml:space="preserve"> et</w:t>
      </w:r>
      <w:r w:rsidR="004F22E5" w:rsidRPr="003A1D53">
        <w:rPr>
          <w:rFonts w:ascii="Times New Roman" w:hAnsi="Times New Roman"/>
          <w:sz w:val="24"/>
          <w:szCs w:val="24"/>
        </w:rPr>
        <w:t xml:space="preserve"> l’Education, ont une adhérence robuste </w:t>
      </w:r>
      <w:r w:rsidR="00C44CF7" w:rsidRPr="003A1D53">
        <w:rPr>
          <w:rFonts w:ascii="Times New Roman" w:hAnsi="Times New Roman"/>
          <w:sz w:val="24"/>
          <w:szCs w:val="24"/>
        </w:rPr>
        <w:t xml:space="preserve">sur </w:t>
      </w:r>
      <w:r w:rsidR="004F22E5" w:rsidRPr="003A1D53">
        <w:rPr>
          <w:rFonts w:ascii="Times New Roman" w:hAnsi="Times New Roman"/>
          <w:sz w:val="24"/>
          <w:szCs w:val="24"/>
        </w:rPr>
        <w:t xml:space="preserve">les programmes de coopération avec leurs partenaires sectoriels, et donc montrent des dispositions réelles </w:t>
      </w:r>
      <w:r w:rsidR="00C44CF7" w:rsidRPr="003A1D53">
        <w:rPr>
          <w:rFonts w:ascii="Times New Roman" w:hAnsi="Times New Roman"/>
          <w:sz w:val="24"/>
          <w:szCs w:val="24"/>
        </w:rPr>
        <w:t xml:space="preserve">pour mieux </w:t>
      </w:r>
      <w:r w:rsidR="00DB4695" w:rsidRPr="003A1D53">
        <w:rPr>
          <w:rFonts w:ascii="Times New Roman" w:hAnsi="Times New Roman"/>
          <w:sz w:val="24"/>
          <w:szCs w:val="24"/>
        </w:rPr>
        <w:t>ing</w:t>
      </w:r>
      <w:r w:rsidR="00C44CF7" w:rsidRPr="003A1D53">
        <w:rPr>
          <w:rFonts w:ascii="Times New Roman" w:hAnsi="Times New Roman"/>
          <w:sz w:val="24"/>
          <w:szCs w:val="24"/>
        </w:rPr>
        <w:t>érer les</w:t>
      </w:r>
      <w:r w:rsidR="00DB4695" w:rsidRPr="003A1D53">
        <w:rPr>
          <w:rFonts w:ascii="Times New Roman" w:hAnsi="Times New Roman"/>
          <w:sz w:val="24"/>
          <w:szCs w:val="24"/>
        </w:rPr>
        <w:t xml:space="preserve"> capacités techniques </w:t>
      </w:r>
      <w:r w:rsidR="00C44CF7" w:rsidRPr="003A1D53">
        <w:rPr>
          <w:rFonts w:ascii="Times New Roman" w:hAnsi="Times New Roman"/>
          <w:sz w:val="24"/>
          <w:szCs w:val="24"/>
        </w:rPr>
        <w:t xml:space="preserve">qu’ils en reçoivent </w:t>
      </w:r>
      <w:r w:rsidR="00DB4695" w:rsidRPr="003A1D53">
        <w:rPr>
          <w:rFonts w:ascii="Times New Roman" w:hAnsi="Times New Roman"/>
          <w:sz w:val="24"/>
          <w:szCs w:val="24"/>
        </w:rPr>
        <w:t xml:space="preserve">et </w:t>
      </w:r>
      <w:r w:rsidR="004F22E5" w:rsidRPr="003A1D53">
        <w:rPr>
          <w:rFonts w:ascii="Times New Roman" w:hAnsi="Times New Roman"/>
          <w:sz w:val="24"/>
          <w:szCs w:val="24"/>
        </w:rPr>
        <w:t>capitalis</w:t>
      </w:r>
      <w:r w:rsidR="00C44CF7" w:rsidRPr="003A1D53">
        <w:rPr>
          <w:rFonts w:ascii="Times New Roman" w:hAnsi="Times New Roman"/>
          <w:sz w:val="24"/>
          <w:szCs w:val="24"/>
        </w:rPr>
        <w:t xml:space="preserve">er sur </w:t>
      </w:r>
      <w:r w:rsidR="00DB4695" w:rsidRPr="003A1D53">
        <w:rPr>
          <w:rFonts w:ascii="Times New Roman" w:hAnsi="Times New Roman"/>
          <w:sz w:val="24"/>
          <w:szCs w:val="24"/>
        </w:rPr>
        <w:t>les acquis. En revanche, le glissement des interventions du Système du registre du développement vers celui de l’urgence humanitaire</w:t>
      </w:r>
      <w:r w:rsidR="00C44CF7" w:rsidRPr="003A1D53">
        <w:rPr>
          <w:rFonts w:ascii="Times New Roman" w:hAnsi="Times New Roman"/>
          <w:sz w:val="24"/>
          <w:szCs w:val="24"/>
        </w:rPr>
        <w:t>, dû à la dégradation de la situation sécuritaire,</w:t>
      </w:r>
      <w:r w:rsidR="00DB4695" w:rsidRPr="003A1D53">
        <w:rPr>
          <w:rFonts w:ascii="Times New Roman" w:hAnsi="Times New Roman"/>
          <w:sz w:val="24"/>
          <w:szCs w:val="24"/>
        </w:rPr>
        <w:t xml:space="preserve"> est sans conteste un facteur d’abaissement du coefficient de durabilité des rendus</w:t>
      </w:r>
      <w:r w:rsidR="00C44CF7" w:rsidRPr="003A1D53">
        <w:rPr>
          <w:rFonts w:ascii="Times New Roman" w:hAnsi="Times New Roman"/>
          <w:sz w:val="24"/>
          <w:szCs w:val="24"/>
        </w:rPr>
        <w:t>.</w:t>
      </w:r>
    </w:p>
    <w:p w14:paraId="604B52FD" w14:textId="77777777" w:rsidR="000A63FC" w:rsidRPr="003A1D53" w:rsidRDefault="000A63FC" w:rsidP="005B22B2">
      <w:pPr>
        <w:pStyle w:val="Textebrut"/>
        <w:jc w:val="both"/>
        <w:rPr>
          <w:rFonts w:ascii="Times New Roman" w:hAnsi="Times New Roman"/>
          <w:sz w:val="24"/>
          <w:szCs w:val="24"/>
        </w:rPr>
      </w:pPr>
    </w:p>
    <w:p w14:paraId="604B52FE" w14:textId="77777777" w:rsidR="000A63FC" w:rsidRPr="003A1D53" w:rsidRDefault="0015327E" w:rsidP="005B22B2">
      <w:pPr>
        <w:pStyle w:val="Textebrut"/>
        <w:jc w:val="both"/>
        <w:rPr>
          <w:rFonts w:ascii="Times New Roman" w:hAnsi="Times New Roman"/>
          <w:sz w:val="24"/>
          <w:szCs w:val="24"/>
        </w:rPr>
      </w:pPr>
      <w:r w:rsidRPr="003A1D53">
        <w:rPr>
          <w:rFonts w:ascii="Times New Roman" w:hAnsi="Times New Roman"/>
          <w:sz w:val="24"/>
          <w:szCs w:val="24"/>
        </w:rPr>
        <w:t>1</w:t>
      </w:r>
      <w:r w:rsidR="007E34BC" w:rsidRPr="003A1D53">
        <w:rPr>
          <w:rFonts w:ascii="Times New Roman" w:hAnsi="Times New Roman"/>
          <w:sz w:val="24"/>
          <w:szCs w:val="24"/>
        </w:rPr>
        <w:t>70</w:t>
      </w:r>
      <w:r w:rsidRPr="003A1D53">
        <w:rPr>
          <w:rFonts w:ascii="Times New Roman" w:hAnsi="Times New Roman"/>
          <w:sz w:val="24"/>
          <w:szCs w:val="24"/>
        </w:rPr>
        <w:t>.</w:t>
      </w:r>
      <w:r w:rsidR="00C44CF7" w:rsidRPr="003A1D53">
        <w:rPr>
          <w:rFonts w:ascii="Times New Roman" w:hAnsi="Times New Roman"/>
          <w:sz w:val="24"/>
          <w:szCs w:val="24"/>
        </w:rPr>
        <w:tab/>
        <w:t xml:space="preserve">Enfin, cette </w:t>
      </w:r>
      <w:r w:rsidR="000A63FC" w:rsidRPr="003A1D53">
        <w:rPr>
          <w:rFonts w:ascii="Times New Roman" w:hAnsi="Times New Roman"/>
          <w:sz w:val="24"/>
          <w:szCs w:val="24"/>
        </w:rPr>
        <w:t xml:space="preserve">dégradation du contexte sécuritaire déteint négativement sur la pérennité des actifs du programme. Dans le secteur judiciaire par exemple, des infrastructures réhabilitées ou </w:t>
      </w:r>
      <w:r w:rsidR="00C44CF7" w:rsidRPr="003A1D53">
        <w:rPr>
          <w:rFonts w:ascii="Times New Roman" w:hAnsi="Times New Roman"/>
          <w:sz w:val="24"/>
          <w:szCs w:val="24"/>
        </w:rPr>
        <w:t xml:space="preserve">nouvellement </w:t>
      </w:r>
      <w:r w:rsidR="000A63FC" w:rsidRPr="003A1D53">
        <w:rPr>
          <w:rFonts w:ascii="Times New Roman" w:hAnsi="Times New Roman"/>
          <w:sz w:val="24"/>
          <w:szCs w:val="24"/>
        </w:rPr>
        <w:t>construites ne fonctionnent pas adéquatement parce que les magistrats ne peuvent y servir dans la sécurité et la sérénité que requiert l’exercice de leur charge</w:t>
      </w:r>
      <w:r w:rsidR="00C44CF7" w:rsidRPr="003A1D53">
        <w:rPr>
          <w:rFonts w:ascii="Times New Roman" w:hAnsi="Times New Roman"/>
          <w:sz w:val="24"/>
          <w:szCs w:val="24"/>
        </w:rPr>
        <w:t xml:space="preserve"> (CPS/Justice)</w:t>
      </w:r>
      <w:r w:rsidR="000A63FC" w:rsidRPr="003A1D53">
        <w:rPr>
          <w:rFonts w:ascii="Times New Roman" w:hAnsi="Times New Roman"/>
          <w:sz w:val="24"/>
          <w:szCs w:val="24"/>
        </w:rPr>
        <w:t xml:space="preserve">. Les activités de résilience économique sont également assez sensibles aux questions d’insécurité : </w:t>
      </w:r>
      <w:r w:rsidR="003B5AA2" w:rsidRPr="003A1D53">
        <w:rPr>
          <w:rFonts w:ascii="Times New Roman" w:hAnsi="Times New Roman"/>
          <w:sz w:val="24"/>
          <w:szCs w:val="24"/>
        </w:rPr>
        <w:t xml:space="preserve">souvent </w:t>
      </w:r>
      <w:r w:rsidR="000A63FC" w:rsidRPr="003A1D53">
        <w:rPr>
          <w:rFonts w:ascii="Times New Roman" w:hAnsi="Times New Roman"/>
          <w:sz w:val="24"/>
          <w:szCs w:val="24"/>
        </w:rPr>
        <w:t>essentiellement articulées sur la valorisation des ressources du milieu, les populations partent et laissent tout derrière elles lorsque les conditions de sécurité se détériorent.</w:t>
      </w:r>
    </w:p>
    <w:p w14:paraId="604B52FF" w14:textId="77777777" w:rsidR="006E3E82" w:rsidRPr="003A1D53" w:rsidRDefault="006E3E82" w:rsidP="005B22B2">
      <w:pPr>
        <w:pStyle w:val="Textebrut"/>
        <w:jc w:val="both"/>
        <w:rPr>
          <w:rFonts w:ascii="Times New Roman" w:hAnsi="Times New Roman"/>
          <w:sz w:val="24"/>
          <w:szCs w:val="24"/>
        </w:rPr>
      </w:pPr>
    </w:p>
    <w:p w14:paraId="604B5300" w14:textId="77777777" w:rsidR="006E3E82" w:rsidRPr="003A1D53" w:rsidRDefault="0015327E" w:rsidP="005B22B2">
      <w:pPr>
        <w:pStyle w:val="Textebrut"/>
        <w:jc w:val="both"/>
        <w:rPr>
          <w:rFonts w:ascii="Times New Roman" w:hAnsi="Times New Roman"/>
          <w:sz w:val="24"/>
          <w:szCs w:val="24"/>
        </w:rPr>
      </w:pPr>
      <w:r w:rsidRPr="003A1D53">
        <w:rPr>
          <w:rFonts w:ascii="Times New Roman" w:hAnsi="Times New Roman"/>
          <w:sz w:val="24"/>
          <w:szCs w:val="24"/>
        </w:rPr>
        <w:t>1</w:t>
      </w:r>
      <w:r w:rsidR="007E34BC" w:rsidRPr="003A1D53">
        <w:rPr>
          <w:rFonts w:ascii="Times New Roman" w:hAnsi="Times New Roman"/>
          <w:sz w:val="24"/>
          <w:szCs w:val="24"/>
        </w:rPr>
        <w:t>71</w:t>
      </w:r>
      <w:r w:rsidRPr="003A1D53">
        <w:rPr>
          <w:rFonts w:ascii="Times New Roman" w:hAnsi="Times New Roman"/>
          <w:sz w:val="24"/>
          <w:szCs w:val="24"/>
        </w:rPr>
        <w:t>.</w:t>
      </w:r>
      <w:r w:rsidR="006E3E82" w:rsidRPr="003A1D53">
        <w:rPr>
          <w:rFonts w:ascii="Times New Roman" w:hAnsi="Times New Roman"/>
          <w:sz w:val="24"/>
          <w:szCs w:val="24"/>
        </w:rPr>
        <w:tab/>
        <w:t>Au niveau institutionnel stratégique, ce n’est pas l’insécurité qui érode la pérennité des acquis, mais quelques autres facteurs comme les modalités d’exécution et l’instabilité institutionnelle. Les faibles capacités</w:t>
      </w:r>
      <w:r w:rsidR="003B5AA2" w:rsidRPr="003A1D53">
        <w:rPr>
          <w:rFonts w:ascii="Times New Roman" w:hAnsi="Times New Roman"/>
          <w:sz w:val="24"/>
          <w:szCs w:val="24"/>
        </w:rPr>
        <w:t>,</w:t>
      </w:r>
      <w:r w:rsidR="006E3E82" w:rsidRPr="003A1D53">
        <w:rPr>
          <w:rFonts w:ascii="Times New Roman" w:hAnsi="Times New Roman"/>
          <w:sz w:val="24"/>
          <w:szCs w:val="24"/>
        </w:rPr>
        <w:t xml:space="preserve"> diagnostiquées </w:t>
      </w:r>
      <w:r w:rsidR="003B5AA2" w:rsidRPr="003A1D53">
        <w:rPr>
          <w:rFonts w:ascii="Times New Roman" w:hAnsi="Times New Roman"/>
          <w:sz w:val="24"/>
          <w:szCs w:val="24"/>
        </w:rPr>
        <w:t xml:space="preserve">intuitivement ou dans le cadre de micro évaluations, </w:t>
      </w:r>
      <w:r w:rsidR="006E3E82" w:rsidRPr="003A1D53">
        <w:rPr>
          <w:rFonts w:ascii="Times New Roman" w:hAnsi="Times New Roman"/>
          <w:sz w:val="24"/>
          <w:szCs w:val="24"/>
        </w:rPr>
        <w:t>conduisent les partenaires en général d’ailleurs</w:t>
      </w:r>
      <w:r w:rsidR="003B5AA2" w:rsidRPr="003A1D53">
        <w:rPr>
          <w:rFonts w:ascii="Times New Roman" w:hAnsi="Times New Roman"/>
          <w:sz w:val="24"/>
          <w:szCs w:val="24"/>
        </w:rPr>
        <w:t>,</w:t>
      </w:r>
      <w:r w:rsidR="006E3E82" w:rsidRPr="003A1D53">
        <w:rPr>
          <w:rFonts w:ascii="Times New Roman" w:hAnsi="Times New Roman"/>
          <w:sz w:val="24"/>
          <w:szCs w:val="24"/>
        </w:rPr>
        <w:t xml:space="preserve"> et pas uniquement dans le Système, à privilégier l’exécution directe ou de projet. </w:t>
      </w:r>
      <w:r w:rsidR="003B5AA2" w:rsidRPr="003A1D53">
        <w:rPr>
          <w:rFonts w:ascii="Times New Roman" w:hAnsi="Times New Roman"/>
          <w:sz w:val="24"/>
          <w:szCs w:val="24"/>
        </w:rPr>
        <w:t xml:space="preserve">Même lorsque l’exécution est dite nationale, elle est régulièrement corrigée de pratiques de paiements directs, surtout sur les acquisitions lourdes. Globalement, </w:t>
      </w:r>
      <w:r w:rsidR="006E3E82" w:rsidRPr="003A1D53">
        <w:rPr>
          <w:rFonts w:ascii="Times New Roman" w:hAnsi="Times New Roman"/>
          <w:sz w:val="24"/>
          <w:szCs w:val="24"/>
        </w:rPr>
        <w:t>ce</w:t>
      </w:r>
      <w:r w:rsidR="003B5AA2" w:rsidRPr="003A1D53">
        <w:rPr>
          <w:rFonts w:ascii="Times New Roman" w:hAnsi="Times New Roman"/>
          <w:sz w:val="24"/>
          <w:szCs w:val="24"/>
        </w:rPr>
        <w:t xml:space="preserve">s modèles d’exécution financière entretiennent une certaine frustration de la partie nationale, et une moindre adhérence sur les sections de programme concernées (même si elle est partie prenante à la programmation et à la mise en œuvre des activités). </w:t>
      </w:r>
      <w:r w:rsidR="006E3E82" w:rsidRPr="003A1D53">
        <w:rPr>
          <w:rFonts w:ascii="Times New Roman" w:hAnsi="Times New Roman"/>
          <w:sz w:val="24"/>
          <w:szCs w:val="24"/>
        </w:rPr>
        <w:t xml:space="preserve">Cette </w:t>
      </w:r>
      <w:r w:rsidR="003B5AA2" w:rsidRPr="003A1D53">
        <w:rPr>
          <w:rFonts w:ascii="Times New Roman" w:hAnsi="Times New Roman"/>
          <w:sz w:val="24"/>
          <w:szCs w:val="24"/>
        </w:rPr>
        <w:t xml:space="preserve">tendance n’épargne pas les </w:t>
      </w:r>
      <w:r w:rsidR="006E3E82" w:rsidRPr="003A1D53">
        <w:rPr>
          <w:rFonts w:ascii="Times New Roman" w:hAnsi="Times New Roman"/>
          <w:sz w:val="24"/>
          <w:szCs w:val="24"/>
        </w:rPr>
        <w:t>appuis budgétaires</w:t>
      </w:r>
      <w:r w:rsidR="003B5AA2" w:rsidRPr="003A1D53">
        <w:rPr>
          <w:rFonts w:ascii="Times New Roman" w:hAnsi="Times New Roman"/>
          <w:sz w:val="24"/>
          <w:szCs w:val="24"/>
        </w:rPr>
        <w:t>, quasiment abandonné par les partenaires d</w:t>
      </w:r>
      <w:r w:rsidR="006E3E82" w:rsidRPr="003A1D53">
        <w:rPr>
          <w:rFonts w:ascii="Times New Roman" w:hAnsi="Times New Roman"/>
          <w:sz w:val="24"/>
          <w:szCs w:val="24"/>
        </w:rPr>
        <w:t>u pays, à l’exception de quelques partenaires multilatéraux. Du côté malie</w:t>
      </w:r>
      <w:r w:rsidR="00B87D11" w:rsidRPr="003A1D53">
        <w:rPr>
          <w:rFonts w:ascii="Times New Roman" w:hAnsi="Times New Roman"/>
          <w:sz w:val="24"/>
          <w:szCs w:val="24"/>
        </w:rPr>
        <w:t xml:space="preserve">n, l’instabilité des cadres à la tête des entités nationales ne facilite pas non plus une </w:t>
      </w:r>
      <w:r w:rsidR="007B1C3C" w:rsidRPr="003A1D53">
        <w:rPr>
          <w:rFonts w:ascii="Times New Roman" w:hAnsi="Times New Roman"/>
          <w:sz w:val="24"/>
          <w:szCs w:val="24"/>
        </w:rPr>
        <w:t xml:space="preserve">capacité de </w:t>
      </w:r>
      <w:r w:rsidR="00B87D11" w:rsidRPr="003A1D53">
        <w:rPr>
          <w:rFonts w:ascii="Times New Roman" w:hAnsi="Times New Roman"/>
          <w:sz w:val="24"/>
          <w:szCs w:val="24"/>
        </w:rPr>
        <w:t>capitalisation au long cours synonyme de durabilité.</w:t>
      </w:r>
      <w:r w:rsidR="006E3E82" w:rsidRPr="003A1D53">
        <w:rPr>
          <w:rFonts w:ascii="Times New Roman" w:hAnsi="Times New Roman"/>
          <w:sz w:val="24"/>
          <w:szCs w:val="24"/>
        </w:rPr>
        <w:t xml:space="preserve"> </w:t>
      </w:r>
    </w:p>
    <w:p w14:paraId="604B5301" w14:textId="77777777" w:rsidR="0045466A" w:rsidRPr="003A1D53" w:rsidRDefault="0045466A" w:rsidP="005B22B2">
      <w:pPr>
        <w:pStyle w:val="Textebrut"/>
        <w:jc w:val="both"/>
        <w:rPr>
          <w:rFonts w:ascii="Times New Roman" w:hAnsi="Times New Roman"/>
          <w:sz w:val="24"/>
          <w:szCs w:val="24"/>
        </w:rPr>
      </w:pPr>
    </w:p>
    <w:p w14:paraId="604B5302" w14:textId="77777777" w:rsidR="00A53D60" w:rsidRPr="003A1D53" w:rsidRDefault="00A53D60" w:rsidP="005B22B2">
      <w:pPr>
        <w:pStyle w:val="Textebrut"/>
        <w:jc w:val="both"/>
        <w:rPr>
          <w:rFonts w:ascii="Times New Roman" w:hAnsi="Times New Roman"/>
          <w:sz w:val="24"/>
          <w:szCs w:val="24"/>
        </w:rPr>
      </w:pPr>
    </w:p>
    <w:p w14:paraId="604B5303" w14:textId="77777777" w:rsidR="00BA3DC6" w:rsidRPr="003A1D53" w:rsidRDefault="00BA3DC6" w:rsidP="005B22B2">
      <w:pPr>
        <w:pStyle w:val="Titre1"/>
        <w:spacing w:before="0" w:line="240" w:lineRule="auto"/>
        <w:rPr>
          <w:color w:val="auto"/>
        </w:rPr>
      </w:pPr>
      <w:bookmarkStart w:id="248" w:name="_Toc499211629"/>
      <w:bookmarkStart w:id="249" w:name="_Toc500974556"/>
      <w:bookmarkStart w:id="250" w:name="_Toc502863916"/>
      <w:bookmarkStart w:id="251" w:name="_Toc505758488"/>
      <w:bookmarkStart w:id="252" w:name="_Toc506201580"/>
      <w:r w:rsidRPr="003A1D53">
        <w:rPr>
          <w:color w:val="auto"/>
        </w:rPr>
        <w:t>Conclusion</w:t>
      </w:r>
      <w:bookmarkEnd w:id="248"/>
      <w:bookmarkEnd w:id="249"/>
      <w:bookmarkEnd w:id="250"/>
      <w:bookmarkEnd w:id="251"/>
      <w:bookmarkEnd w:id="252"/>
    </w:p>
    <w:p w14:paraId="604B5304" w14:textId="77777777" w:rsidR="00BA3DC6" w:rsidRPr="003A1D53" w:rsidRDefault="00BA3DC6" w:rsidP="005B22B2">
      <w:pPr>
        <w:spacing w:after="0" w:line="240" w:lineRule="auto"/>
      </w:pPr>
    </w:p>
    <w:p w14:paraId="604B5305" w14:textId="77777777" w:rsidR="00BA3DC6" w:rsidRPr="003A1D53" w:rsidRDefault="00BA3DC6" w:rsidP="005B22B2">
      <w:pPr>
        <w:pStyle w:val="Titre2"/>
        <w:numPr>
          <w:ilvl w:val="0"/>
          <w:numId w:val="5"/>
        </w:numPr>
        <w:spacing w:before="0"/>
        <w:rPr>
          <w:rFonts w:ascii="Times New Roman" w:hAnsi="Times New Roman"/>
          <w:color w:val="auto"/>
          <w:sz w:val="24"/>
          <w:szCs w:val="24"/>
        </w:rPr>
      </w:pPr>
      <w:bookmarkStart w:id="253" w:name="_Toc499211630"/>
      <w:bookmarkStart w:id="254" w:name="_Toc500974557"/>
      <w:bookmarkStart w:id="255" w:name="_Toc502863917"/>
      <w:bookmarkStart w:id="256" w:name="_Toc505758489"/>
      <w:bookmarkStart w:id="257" w:name="_Toc506201581"/>
      <w:r w:rsidRPr="003A1D53">
        <w:rPr>
          <w:rFonts w:ascii="Times New Roman" w:hAnsi="Times New Roman"/>
          <w:color w:val="auto"/>
          <w:sz w:val="24"/>
          <w:szCs w:val="24"/>
        </w:rPr>
        <w:t>Principales constations sur le Programme</w:t>
      </w:r>
      <w:bookmarkEnd w:id="253"/>
      <w:bookmarkEnd w:id="254"/>
      <w:bookmarkEnd w:id="255"/>
      <w:bookmarkEnd w:id="256"/>
      <w:bookmarkEnd w:id="257"/>
    </w:p>
    <w:p w14:paraId="604B5306" w14:textId="77777777" w:rsidR="00BA3DC6" w:rsidRPr="003A1D53" w:rsidRDefault="00BA3DC6" w:rsidP="005B22B2">
      <w:pPr>
        <w:autoSpaceDE w:val="0"/>
        <w:autoSpaceDN w:val="0"/>
        <w:adjustRightInd w:val="0"/>
        <w:spacing w:after="0" w:line="240" w:lineRule="auto"/>
        <w:rPr>
          <w:rFonts w:ascii="Times New Roman" w:hAnsi="Times New Roman"/>
          <w:bCs/>
          <w:sz w:val="24"/>
          <w:szCs w:val="24"/>
        </w:rPr>
      </w:pPr>
    </w:p>
    <w:p w14:paraId="604B5307" w14:textId="77777777" w:rsidR="00587651" w:rsidRPr="003A1D53" w:rsidRDefault="007E34BC" w:rsidP="00587651">
      <w:pPr>
        <w:spacing w:after="0" w:line="240" w:lineRule="auto"/>
        <w:jc w:val="both"/>
        <w:rPr>
          <w:rFonts w:ascii="Times New Roman" w:hAnsi="Times New Roman"/>
          <w:sz w:val="24"/>
          <w:szCs w:val="24"/>
        </w:rPr>
      </w:pPr>
      <w:r w:rsidRPr="003A1D53">
        <w:rPr>
          <w:rFonts w:ascii="Times New Roman" w:hAnsi="Times New Roman"/>
          <w:sz w:val="24"/>
          <w:szCs w:val="24"/>
        </w:rPr>
        <w:t>172</w:t>
      </w:r>
      <w:r w:rsidR="00587651" w:rsidRPr="003A1D53">
        <w:rPr>
          <w:rFonts w:ascii="Times New Roman" w:hAnsi="Times New Roman"/>
          <w:sz w:val="24"/>
          <w:szCs w:val="24"/>
        </w:rPr>
        <w:t>.</w:t>
      </w:r>
      <w:r w:rsidR="00587651" w:rsidRPr="003A1D53">
        <w:rPr>
          <w:rFonts w:ascii="Times New Roman" w:hAnsi="Times New Roman"/>
          <w:sz w:val="24"/>
          <w:szCs w:val="24"/>
        </w:rPr>
        <w:tab/>
      </w:r>
      <w:r w:rsidR="00587651" w:rsidRPr="003A1D53">
        <w:rPr>
          <w:rFonts w:ascii="Times New Roman" w:hAnsi="Times New Roman"/>
          <w:b/>
          <w:bCs/>
          <w:i/>
          <w:sz w:val="24"/>
          <w:szCs w:val="24"/>
        </w:rPr>
        <w:t>Pertinence</w:t>
      </w:r>
      <w:r w:rsidR="00587651" w:rsidRPr="003A1D53">
        <w:rPr>
          <w:rFonts w:ascii="Times New Roman" w:hAnsi="Times New Roman"/>
          <w:sz w:val="24"/>
          <w:szCs w:val="24"/>
        </w:rPr>
        <w:t> : L’UNDAF</w:t>
      </w:r>
      <w:r w:rsidR="00587651" w:rsidRPr="003A1D53">
        <w:rPr>
          <w:rFonts w:ascii="Times New Roman" w:hAnsi="Times New Roman"/>
          <w:sz w:val="24"/>
          <w:szCs w:val="24"/>
          <w:vertAlign w:val="superscript"/>
        </w:rPr>
        <w:t>+</w:t>
      </w:r>
      <w:r w:rsidR="00587651" w:rsidRPr="003A1D53">
        <w:rPr>
          <w:rFonts w:ascii="Times New Roman" w:hAnsi="Times New Roman"/>
          <w:sz w:val="24"/>
          <w:szCs w:val="24"/>
        </w:rPr>
        <w:t xml:space="preserve"> montre un bon alignement stratégique sur les référentiels de développement du pays en vigueur au moment de sa formulation, ainsi que sur le CREDD qui a été élaboré ultérieurement mais qui capitalise assez sur les anciennes générations d’outils nationaux de programmation, d’une part, sur la Stratégie Spécifique de Développement du Nord, d’autre part. Malgré tout, la deuxième phase du cycle devrait être réalignée sur des éléments nouveaux à l’œuvre dans le contexte actuel, notamment : les Objectifs de Développement Durables, la Stratégie des Nations Unies pour le Sahel, en rapport avec l’émergence sur la scène régionale du G5 Sahel, la Réforme du Système des Nations Unies impulsée par le nouveau Secrétaire Général, mais aussi la Stratégie de transition en cours de stabilisation au sein de la MINUSMA.</w:t>
      </w:r>
    </w:p>
    <w:p w14:paraId="604B5308" w14:textId="77777777" w:rsidR="00587651" w:rsidRPr="003A1D53" w:rsidRDefault="00587651" w:rsidP="00587651">
      <w:pPr>
        <w:spacing w:after="0" w:line="240" w:lineRule="auto"/>
        <w:jc w:val="both"/>
        <w:rPr>
          <w:rFonts w:ascii="Times New Roman" w:hAnsi="Times New Roman"/>
          <w:sz w:val="24"/>
          <w:szCs w:val="24"/>
        </w:rPr>
      </w:pPr>
    </w:p>
    <w:p w14:paraId="604B5309" w14:textId="77777777" w:rsidR="00587651" w:rsidRPr="003A1D53" w:rsidRDefault="007E34BC" w:rsidP="00587651">
      <w:pPr>
        <w:spacing w:after="0" w:line="240" w:lineRule="auto"/>
        <w:jc w:val="both"/>
        <w:rPr>
          <w:rFonts w:ascii="Times New Roman" w:hAnsi="Times New Roman"/>
          <w:sz w:val="24"/>
          <w:szCs w:val="24"/>
        </w:rPr>
      </w:pPr>
      <w:r w:rsidRPr="003A1D53">
        <w:rPr>
          <w:rFonts w:ascii="Times New Roman" w:hAnsi="Times New Roman"/>
          <w:sz w:val="24"/>
          <w:szCs w:val="24"/>
        </w:rPr>
        <w:lastRenderedPageBreak/>
        <w:t>173</w:t>
      </w:r>
      <w:r w:rsidR="00587651" w:rsidRPr="003A1D53">
        <w:rPr>
          <w:rFonts w:ascii="Times New Roman" w:hAnsi="Times New Roman"/>
          <w:sz w:val="24"/>
          <w:szCs w:val="24"/>
        </w:rPr>
        <w:t>.</w:t>
      </w:r>
      <w:r w:rsidR="00587651" w:rsidRPr="003A1D53">
        <w:rPr>
          <w:rFonts w:ascii="Times New Roman" w:hAnsi="Times New Roman"/>
          <w:sz w:val="24"/>
          <w:szCs w:val="24"/>
        </w:rPr>
        <w:tab/>
        <w:t>L’UNDAF</w:t>
      </w:r>
      <w:r w:rsidR="00587651" w:rsidRPr="003A1D53">
        <w:rPr>
          <w:rFonts w:ascii="Times New Roman" w:hAnsi="Times New Roman"/>
          <w:sz w:val="24"/>
          <w:szCs w:val="24"/>
          <w:vertAlign w:val="superscript"/>
        </w:rPr>
        <w:t>+</w:t>
      </w:r>
      <w:r w:rsidR="00587651" w:rsidRPr="003A1D53">
        <w:rPr>
          <w:rFonts w:ascii="Times New Roman" w:hAnsi="Times New Roman"/>
          <w:sz w:val="24"/>
          <w:szCs w:val="24"/>
        </w:rPr>
        <w:t xml:space="preserve"> est par ailleurs adossé à un fond de programmation qui mériterait d’être amélioré. Jusqu’ici, le programmation conjointe est plutôt une compilation de programmes thématiques déjà élaborés, de leur côté, par les  entités parties. Le programme est pourtant porté par des cadres de coordination et d’animation globalement robustes : une Equipe Pays, qui s’appuie sur une Equipe au Programme et une Equipe aux Opérations, ainsi que sur des Groupes de Résultats et des Groupes Thématiques, le tout fonctionnant plutôt normalement dans l’ensemble, malgré des limites de reporting venant surtout d’un décalage réel d’avec les capacités et caractéristiques de l’appareil statistique national. Le potentiel de coordination et d’animation inter-entités est donc en attente d’être converti en capacité de co-programmation, entendue encore une fois par autre chose qu’une simple compilation des programmes des entités parties.</w:t>
      </w:r>
    </w:p>
    <w:p w14:paraId="604B530A" w14:textId="77777777" w:rsidR="00587651" w:rsidRPr="003A1D53" w:rsidRDefault="00587651" w:rsidP="00587651">
      <w:pPr>
        <w:spacing w:after="0" w:line="240" w:lineRule="auto"/>
        <w:jc w:val="both"/>
        <w:rPr>
          <w:rFonts w:ascii="Times New Roman" w:hAnsi="Times New Roman"/>
          <w:sz w:val="24"/>
          <w:szCs w:val="24"/>
        </w:rPr>
      </w:pPr>
    </w:p>
    <w:p w14:paraId="604B530B" w14:textId="77777777" w:rsidR="00587651" w:rsidRPr="003A1D53" w:rsidRDefault="00587651" w:rsidP="00587651">
      <w:pPr>
        <w:spacing w:after="0" w:line="240" w:lineRule="auto"/>
        <w:jc w:val="both"/>
        <w:rPr>
          <w:rFonts w:ascii="Times New Roman" w:hAnsi="Times New Roman"/>
          <w:sz w:val="24"/>
          <w:szCs w:val="24"/>
        </w:rPr>
      </w:pPr>
    </w:p>
    <w:p w14:paraId="604B530C" w14:textId="77777777" w:rsidR="00587651" w:rsidRPr="003A1D53" w:rsidRDefault="007E34BC" w:rsidP="00587651">
      <w:pPr>
        <w:spacing w:after="0" w:line="240" w:lineRule="auto"/>
        <w:jc w:val="both"/>
        <w:rPr>
          <w:rFonts w:ascii="Times New Roman" w:hAnsi="Times New Roman"/>
          <w:sz w:val="24"/>
          <w:szCs w:val="24"/>
        </w:rPr>
      </w:pPr>
      <w:r w:rsidRPr="003A1D53">
        <w:rPr>
          <w:rFonts w:ascii="Times New Roman" w:hAnsi="Times New Roman"/>
          <w:sz w:val="24"/>
          <w:szCs w:val="24"/>
        </w:rPr>
        <w:t>174</w:t>
      </w:r>
      <w:r w:rsidR="00587651" w:rsidRPr="003A1D53">
        <w:rPr>
          <w:rFonts w:ascii="Times New Roman" w:hAnsi="Times New Roman"/>
          <w:sz w:val="24"/>
          <w:szCs w:val="24"/>
        </w:rPr>
        <w:t>.</w:t>
      </w:r>
      <w:r w:rsidR="00587651" w:rsidRPr="003A1D53">
        <w:rPr>
          <w:rFonts w:ascii="Times New Roman" w:hAnsi="Times New Roman"/>
          <w:sz w:val="24"/>
          <w:szCs w:val="24"/>
        </w:rPr>
        <w:tab/>
      </w:r>
      <w:r w:rsidR="00587651" w:rsidRPr="003A1D53">
        <w:rPr>
          <w:rFonts w:ascii="Times New Roman" w:hAnsi="Times New Roman"/>
          <w:b/>
          <w:bCs/>
          <w:i/>
          <w:sz w:val="24"/>
          <w:szCs w:val="24"/>
        </w:rPr>
        <w:t>Efficacité</w:t>
      </w:r>
      <w:r w:rsidR="00587651" w:rsidRPr="003A1D53">
        <w:rPr>
          <w:rFonts w:ascii="Times New Roman" w:hAnsi="Times New Roman"/>
          <w:sz w:val="24"/>
          <w:szCs w:val="24"/>
        </w:rPr>
        <w:t> : Le Programme 2015-2019, à mi parcours de son cycle, a généré des résultats significatifs autour des 5 effets prévus. Toutefois, les rendus sont contrastés d’un Effet à l’autre : plus importants en rapport l’Effet 5 sur le renforcement de leur résilience socioéconomique, et beaucoup plus mitigés sous l’Effet 4 relatif l’accès des populations aux services sociaux de base. Dans ces cadres, les groupes sensibles comme les femmes et les jeunes, et les plus vulnérables comme les déplacés et les ex réfugiés retournés chez eux, ont été spécifiquement impactés.  Il y a eu plus d’inertie sur les sujets de gouvernance, de paix et de réconciliation nationale.</w:t>
      </w:r>
    </w:p>
    <w:p w14:paraId="604B530D" w14:textId="77777777" w:rsidR="00587651" w:rsidRPr="003A1D53" w:rsidRDefault="00587651" w:rsidP="00587651">
      <w:pPr>
        <w:spacing w:after="0" w:line="240" w:lineRule="auto"/>
        <w:jc w:val="both"/>
        <w:rPr>
          <w:rFonts w:ascii="Times New Roman" w:hAnsi="Times New Roman"/>
          <w:sz w:val="24"/>
          <w:szCs w:val="24"/>
        </w:rPr>
      </w:pPr>
    </w:p>
    <w:p w14:paraId="604B530E" w14:textId="77777777" w:rsidR="00587651" w:rsidRPr="003A1D53" w:rsidRDefault="007E34BC" w:rsidP="00587651">
      <w:pPr>
        <w:spacing w:after="0" w:line="240" w:lineRule="auto"/>
        <w:jc w:val="both"/>
        <w:rPr>
          <w:rFonts w:ascii="Times New Roman" w:hAnsi="Times New Roman"/>
          <w:sz w:val="24"/>
          <w:szCs w:val="24"/>
        </w:rPr>
      </w:pPr>
      <w:r w:rsidRPr="003A1D53">
        <w:rPr>
          <w:rFonts w:ascii="Times New Roman" w:hAnsi="Times New Roman"/>
          <w:sz w:val="24"/>
          <w:szCs w:val="24"/>
        </w:rPr>
        <w:t>175</w:t>
      </w:r>
      <w:r w:rsidR="00587651" w:rsidRPr="003A1D53">
        <w:rPr>
          <w:rFonts w:ascii="Times New Roman" w:hAnsi="Times New Roman"/>
          <w:sz w:val="24"/>
          <w:szCs w:val="24"/>
        </w:rPr>
        <w:t>.</w:t>
      </w:r>
      <w:r w:rsidR="00587651" w:rsidRPr="003A1D53">
        <w:rPr>
          <w:rFonts w:ascii="Times New Roman" w:hAnsi="Times New Roman"/>
          <w:sz w:val="24"/>
          <w:szCs w:val="24"/>
        </w:rPr>
        <w:tab/>
        <w:t>La signature de l’Accord d’Alger est un acquis majeur, mais sa mise en œuvre reste un défi, bien que certaines de ses diligences internes soient en place. La restauration de l’autorité de l’Etat, bien qu’appuyée sur des têtes de pont essentielles comme la réhabilitation des infrastructures publiques au Nord et le redéploiement des titulaires de charge clés dans le commandement territorial et la magistrature, est toujours rendue vacillante par la volatilité de la situation sécuritaire. La transition de l’humanitaire vers le développement, puisque c’est cette dynamique que doit préparer le nexus entre les deux, cette transition donc a eu peu de résonnance dans la mesure où l’on assiste plutôt à une expansion des urgences humanitaires vers le Centre et l’Ouest, qui en étaient relativement épargnées à l’entame du programme. Cette logique de dégradation n’est le fait de l’UNDAF</w:t>
      </w:r>
      <w:r w:rsidR="00587651" w:rsidRPr="003A1D53">
        <w:rPr>
          <w:rFonts w:ascii="Times New Roman" w:hAnsi="Times New Roman"/>
          <w:sz w:val="24"/>
          <w:szCs w:val="24"/>
          <w:vertAlign w:val="superscript"/>
        </w:rPr>
        <w:t>+</w:t>
      </w:r>
      <w:r w:rsidR="00587651" w:rsidRPr="003A1D53">
        <w:rPr>
          <w:rFonts w:ascii="Times New Roman" w:hAnsi="Times New Roman"/>
          <w:sz w:val="24"/>
          <w:szCs w:val="24"/>
        </w:rPr>
        <w:t>, mais celui d’un environnement global où l’Etat n’arrive pas encore à actionner les leviers de changement pertinents.</w:t>
      </w:r>
    </w:p>
    <w:p w14:paraId="604B530F" w14:textId="77777777" w:rsidR="00587651" w:rsidRPr="003A1D53" w:rsidRDefault="00587651" w:rsidP="00587651">
      <w:pPr>
        <w:spacing w:after="0" w:line="240" w:lineRule="auto"/>
        <w:jc w:val="both"/>
        <w:rPr>
          <w:rFonts w:ascii="Times New Roman" w:hAnsi="Times New Roman"/>
          <w:sz w:val="24"/>
          <w:szCs w:val="24"/>
        </w:rPr>
      </w:pPr>
    </w:p>
    <w:p w14:paraId="604B5310" w14:textId="77777777" w:rsidR="00587651" w:rsidRPr="003A1D53" w:rsidRDefault="007E34BC" w:rsidP="00587651">
      <w:pPr>
        <w:spacing w:after="0" w:line="240" w:lineRule="auto"/>
        <w:jc w:val="both"/>
        <w:rPr>
          <w:rFonts w:ascii="Times New Roman" w:hAnsi="Times New Roman"/>
          <w:sz w:val="24"/>
          <w:szCs w:val="24"/>
        </w:rPr>
      </w:pPr>
      <w:r w:rsidRPr="003A1D53">
        <w:rPr>
          <w:rFonts w:ascii="Times New Roman" w:hAnsi="Times New Roman"/>
          <w:sz w:val="24"/>
          <w:szCs w:val="24"/>
        </w:rPr>
        <w:t>176</w:t>
      </w:r>
      <w:r w:rsidR="00587651" w:rsidRPr="003A1D53">
        <w:rPr>
          <w:rFonts w:ascii="Times New Roman" w:hAnsi="Times New Roman"/>
          <w:sz w:val="24"/>
          <w:szCs w:val="24"/>
        </w:rPr>
        <w:t>.</w:t>
      </w:r>
      <w:r w:rsidR="00587651" w:rsidRPr="003A1D53">
        <w:rPr>
          <w:rFonts w:ascii="Times New Roman" w:hAnsi="Times New Roman"/>
          <w:sz w:val="24"/>
          <w:szCs w:val="24"/>
        </w:rPr>
        <w:tab/>
      </w:r>
      <w:r w:rsidR="00587651" w:rsidRPr="003A1D53">
        <w:rPr>
          <w:rFonts w:ascii="Times New Roman" w:hAnsi="Times New Roman"/>
          <w:b/>
          <w:bCs/>
          <w:i/>
          <w:sz w:val="24"/>
          <w:szCs w:val="24"/>
        </w:rPr>
        <w:t>Efficience</w:t>
      </w:r>
      <w:r w:rsidR="00587651" w:rsidRPr="003A1D53">
        <w:rPr>
          <w:rFonts w:ascii="Times New Roman" w:hAnsi="Times New Roman"/>
          <w:sz w:val="24"/>
          <w:szCs w:val="24"/>
        </w:rPr>
        <w:t> : Le programme est adossé, en programmation initiale, sur une prévision de ressources de 1,138 milliard de dollar des Etats Unis d’Amérique. Au 30 Juin 2017, c’est-à-dire à mi-parcours précisément, 40% de cet objectif est déjà mobilisé. Cette disponibilité est essentiellement le fait des entités parties, les ressources conjointes de 6 projets dits conjoints étant limitées. 61% de ces ressources sont effectivement exécutées à cette date. Autrement dit, près de 40% des ressources mobilisées et près de 25% du budget initial global du programme, bien que disponible, n’est pas absorbé, dans un environnement pourtant caractérisé par de multiples besoins et sollicitations. L’efficience est, en revanche, confortée par la qualité des processus de mise en œuvre des programmes, qui sont inspirées par les standards de gouvernance qui font la culture de gestion des agences, d’une part, par la mutualisation d’une douzaine de sous-fonctions d’opérations qui permet des économies de ressources et de temps (Groupe OMT), d’autre part.</w:t>
      </w:r>
    </w:p>
    <w:p w14:paraId="604B5311" w14:textId="77777777" w:rsidR="00587651" w:rsidRPr="003A1D53" w:rsidRDefault="00587651" w:rsidP="00587651">
      <w:pPr>
        <w:spacing w:after="0" w:line="240" w:lineRule="auto"/>
        <w:jc w:val="both"/>
        <w:rPr>
          <w:rFonts w:ascii="Times New Roman" w:hAnsi="Times New Roman"/>
          <w:sz w:val="24"/>
          <w:szCs w:val="24"/>
        </w:rPr>
      </w:pPr>
    </w:p>
    <w:p w14:paraId="604B5312" w14:textId="77777777" w:rsidR="00587651" w:rsidRPr="003A1D53" w:rsidRDefault="007E34BC" w:rsidP="00587651">
      <w:pPr>
        <w:spacing w:after="0" w:line="240" w:lineRule="auto"/>
        <w:jc w:val="both"/>
        <w:rPr>
          <w:rFonts w:ascii="Times New Roman" w:hAnsi="Times New Roman"/>
          <w:sz w:val="24"/>
          <w:szCs w:val="24"/>
        </w:rPr>
      </w:pPr>
      <w:r w:rsidRPr="003A1D53">
        <w:rPr>
          <w:rFonts w:ascii="Times New Roman" w:hAnsi="Times New Roman"/>
          <w:sz w:val="24"/>
          <w:szCs w:val="24"/>
        </w:rPr>
        <w:t>177.</w:t>
      </w:r>
      <w:r w:rsidR="00587651" w:rsidRPr="003A1D53">
        <w:rPr>
          <w:rFonts w:ascii="Times New Roman" w:hAnsi="Times New Roman"/>
          <w:sz w:val="24"/>
          <w:szCs w:val="24"/>
        </w:rPr>
        <w:tab/>
        <w:t xml:space="preserve">Toujours dans le cadre de l’efficience, la situation des Effets 4 et 5 mérite d’être mise en exergue. Avec le premier, le programme affiche une efficience stratégique élevée : pratiquement l’ensemble des cibles de produit sont atteints avec à peine 30% des ressources </w:t>
      </w:r>
      <w:r w:rsidR="00587651" w:rsidRPr="003A1D53">
        <w:rPr>
          <w:rFonts w:ascii="Times New Roman" w:hAnsi="Times New Roman"/>
          <w:sz w:val="24"/>
          <w:szCs w:val="24"/>
        </w:rPr>
        <w:lastRenderedPageBreak/>
        <w:t xml:space="preserve">prévues dans le document de programme. Sous l’Effet 5, en revanche, plus de la moitié des produits sont sous le seuil de satisfaction, tandis le budget prévisionnel a été décaissé 1,26 fois, dénotant à priori une efficience particulièrement faible. Si l’on considère la dégradation des conditions sécuritaires, entame les rendements sous tous les Effets, des conditions préalables de mise en œuvre de produits spécifiques, absentes ou retardées, ainsi que quelques autres influences examinées dans les sections du rapport dédiées aux facteurs explicatifs, ont pu jouer dans ces disparités d’efficience. </w:t>
      </w:r>
    </w:p>
    <w:p w14:paraId="604B5313" w14:textId="77777777" w:rsidR="00587651" w:rsidRPr="003A1D53" w:rsidRDefault="00587651" w:rsidP="00587651">
      <w:pPr>
        <w:spacing w:after="0" w:line="240" w:lineRule="auto"/>
        <w:jc w:val="both"/>
        <w:rPr>
          <w:rFonts w:ascii="Times New Roman" w:hAnsi="Times New Roman"/>
          <w:sz w:val="24"/>
          <w:szCs w:val="24"/>
        </w:rPr>
      </w:pPr>
    </w:p>
    <w:p w14:paraId="604B5314" w14:textId="77777777" w:rsidR="00587651" w:rsidRPr="003A1D53" w:rsidRDefault="007E34BC" w:rsidP="00587651">
      <w:pPr>
        <w:spacing w:after="0" w:line="240" w:lineRule="auto"/>
        <w:jc w:val="both"/>
        <w:rPr>
          <w:rFonts w:ascii="Times New Roman" w:hAnsi="Times New Roman"/>
          <w:sz w:val="24"/>
          <w:szCs w:val="24"/>
        </w:rPr>
      </w:pPr>
      <w:r w:rsidRPr="003A1D53">
        <w:rPr>
          <w:rFonts w:ascii="Times New Roman" w:hAnsi="Times New Roman"/>
          <w:sz w:val="24"/>
          <w:szCs w:val="24"/>
        </w:rPr>
        <w:t>178</w:t>
      </w:r>
      <w:r w:rsidR="00587651" w:rsidRPr="003A1D53">
        <w:rPr>
          <w:rFonts w:ascii="Times New Roman" w:hAnsi="Times New Roman"/>
          <w:sz w:val="24"/>
          <w:szCs w:val="24"/>
        </w:rPr>
        <w:t>.</w:t>
      </w:r>
      <w:r w:rsidR="00587651" w:rsidRPr="003A1D53">
        <w:rPr>
          <w:rFonts w:ascii="Times New Roman" w:hAnsi="Times New Roman"/>
          <w:sz w:val="24"/>
          <w:szCs w:val="24"/>
        </w:rPr>
        <w:tab/>
      </w:r>
      <w:r w:rsidR="00587651" w:rsidRPr="003A1D53">
        <w:rPr>
          <w:rFonts w:ascii="Times New Roman" w:hAnsi="Times New Roman"/>
          <w:b/>
          <w:bCs/>
          <w:i/>
          <w:sz w:val="24"/>
          <w:szCs w:val="24"/>
        </w:rPr>
        <w:t>Durabilité</w:t>
      </w:r>
      <w:r w:rsidR="00587651" w:rsidRPr="003A1D53">
        <w:rPr>
          <w:rFonts w:ascii="Times New Roman" w:hAnsi="Times New Roman"/>
          <w:sz w:val="24"/>
          <w:szCs w:val="24"/>
        </w:rPr>
        <w:t> : La durabilité de résultats ayant pour condition essentielle le fait qu’ils soient supportés, à la base, par des produits de qualité, en termes de biens, de services et de capacités de toutes sortes, délivrés par le programme, ce pré requis ressort satisfait globalement (opinion corroborée par la revue documentaire et les entretiens avec les parties). Malgré tout, plusieurs facteurs se dressent dans l’environnement de livraison du programme comme autant de contrariétés, réelles ou potentielles, à la durabilité de ses actifs de développement : une appropriation nationale peu robuste, que ne sert pas non plus la pratique de l’exécution directe répandue dans le programme du fait de la crise ; l’enlisement de la crise elle-même et la volatilité de la situation sécuritaire qui s’y greffe ; notamment. A titre d’illustration de cette problématique, dans le secteur judiciaire, malgré la réhabilitation, par le programme, de cours et tribunaux dans les régions du Nord, le redéploiement de magistrats dans certains des ressorts concernés se heurte à des problèmes aigus de sécurité.</w:t>
      </w:r>
    </w:p>
    <w:p w14:paraId="604B5315" w14:textId="77777777" w:rsidR="00587651" w:rsidRPr="003A1D53" w:rsidRDefault="00587651" w:rsidP="00587651">
      <w:pPr>
        <w:spacing w:after="0" w:line="240" w:lineRule="auto"/>
        <w:jc w:val="both"/>
        <w:rPr>
          <w:rFonts w:ascii="Times New Roman" w:hAnsi="Times New Roman"/>
          <w:sz w:val="24"/>
          <w:szCs w:val="24"/>
        </w:rPr>
      </w:pPr>
    </w:p>
    <w:p w14:paraId="604B5316" w14:textId="77777777" w:rsidR="00F02379" w:rsidRPr="003A1D53" w:rsidRDefault="00F02379" w:rsidP="005B22B2">
      <w:pPr>
        <w:spacing w:after="0" w:line="240" w:lineRule="auto"/>
        <w:jc w:val="both"/>
        <w:rPr>
          <w:rFonts w:ascii="Times New Roman" w:hAnsi="Times New Roman"/>
          <w:sz w:val="24"/>
          <w:szCs w:val="24"/>
        </w:rPr>
      </w:pPr>
    </w:p>
    <w:p w14:paraId="604B5317" w14:textId="77777777" w:rsidR="003B48EF" w:rsidRPr="003A1D53" w:rsidRDefault="00587651" w:rsidP="003B48EF">
      <w:pPr>
        <w:pStyle w:val="Titre2"/>
        <w:numPr>
          <w:ilvl w:val="0"/>
          <w:numId w:val="5"/>
        </w:numPr>
        <w:spacing w:before="0"/>
        <w:rPr>
          <w:rFonts w:ascii="Times New Roman" w:hAnsi="Times New Roman"/>
          <w:color w:val="auto"/>
          <w:sz w:val="24"/>
          <w:szCs w:val="24"/>
        </w:rPr>
      </w:pPr>
      <w:bookmarkStart w:id="258" w:name="_Toc506201582"/>
      <w:r w:rsidRPr="003A1D53">
        <w:rPr>
          <w:rFonts w:ascii="Times New Roman" w:hAnsi="Times New Roman"/>
          <w:color w:val="auto"/>
          <w:sz w:val="24"/>
          <w:szCs w:val="24"/>
        </w:rPr>
        <w:t xml:space="preserve">Les défis au </w:t>
      </w:r>
      <w:r w:rsidR="003B48EF" w:rsidRPr="003A1D53">
        <w:rPr>
          <w:rFonts w:ascii="Times New Roman" w:hAnsi="Times New Roman"/>
          <w:color w:val="auto"/>
          <w:sz w:val="24"/>
          <w:szCs w:val="24"/>
        </w:rPr>
        <w:t>Programme</w:t>
      </w:r>
      <w:bookmarkEnd w:id="258"/>
    </w:p>
    <w:p w14:paraId="604B5318" w14:textId="77777777" w:rsidR="00F02379" w:rsidRPr="003A1D53" w:rsidRDefault="00F02379" w:rsidP="005B22B2">
      <w:pPr>
        <w:spacing w:after="0" w:line="240" w:lineRule="auto"/>
        <w:jc w:val="both"/>
        <w:rPr>
          <w:rFonts w:ascii="Times New Roman" w:hAnsi="Times New Roman"/>
          <w:sz w:val="24"/>
          <w:szCs w:val="24"/>
        </w:rPr>
      </w:pPr>
    </w:p>
    <w:p w14:paraId="604B5319" w14:textId="77777777" w:rsidR="00F02379" w:rsidRPr="003A1D53" w:rsidRDefault="00F02379" w:rsidP="005B22B2">
      <w:pPr>
        <w:spacing w:after="0" w:line="240" w:lineRule="auto"/>
        <w:jc w:val="both"/>
        <w:rPr>
          <w:rFonts w:ascii="Times New Roman" w:hAnsi="Times New Roman"/>
          <w:b/>
          <w:sz w:val="24"/>
          <w:szCs w:val="24"/>
        </w:rPr>
      </w:pPr>
      <w:r w:rsidRPr="003A1D53">
        <w:rPr>
          <w:rFonts w:ascii="Times New Roman" w:hAnsi="Times New Roman"/>
          <w:b/>
          <w:sz w:val="24"/>
          <w:szCs w:val="24"/>
        </w:rPr>
        <w:tab/>
      </w:r>
      <w:r w:rsidR="00574525" w:rsidRPr="003A1D53">
        <w:rPr>
          <w:rFonts w:ascii="Times New Roman" w:hAnsi="Times New Roman"/>
          <w:b/>
          <w:sz w:val="24"/>
          <w:szCs w:val="24"/>
        </w:rPr>
        <w:t>P</w:t>
      </w:r>
      <w:r w:rsidR="00587651" w:rsidRPr="003A1D53">
        <w:rPr>
          <w:rFonts w:ascii="Times New Roman" w:hAnsi="Times New Roman"/>
          <w:b/>
          <w:sz w:val="24"/>
          <w:szCs w:val="24"/>
        </w:rPr>
        <w:t>rogrammation</w:t>
      </w:r>
    </w:p>
    <w:p w14:paraId="604B531A" w14:textId="77777777" w:rsidR="00F02379" w:rsidRPr="003A1D53" w:rsidRDefault="00F02379" w:rsidP="005B22B2">
      <w:pPr>
        <w:spacing w:after="0" w:line="240" w:lineRule="auto"/>
        <w:jc w:val="both"/>
        <w:rPr>
          <w:rFonts w:ascii="Times New Roman" w:hAnsi="Times New Roman"/>
          <w:sz w:val="24"/>
          <w:szCs w:val="24"/>
        </w:rPr>
      </w:pPr>
    </w:p>
    <w:p w14:paraId="604B531B" w14:textId="77777777" w:rsidR="00537670" w:rsidRPr="003A1D53" w:rsidRDefault="00837111"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A4083F" w:rsidRPr="003A1D53">
        <w:rPr>
          <w:rFonts w:ascii="Times New Roman" w:hAnsi="Times New Roman"/>
          <w:sz w:val="24"/>
          <w:szCs w:val="24"/>
        </w:rPr>
        <w:t>79</w:t>
      </w:r>
      <w:r w:rsidRPr="003A1D53">
        <w:rPr>
          <w:rFonts w:ascii="Times New Roman" w:hAnsi="Times New Roman"/>
          <w:sz w:val="24"/>
          <w:szCs w:val="24"/>
        </w:rPr>
        <w:t>.</w:t>
      </w:r>
      <w:r w:rsidR="00F02379" w:rsidRPr="003A1D53">
        <w:rPr>
          <w:rFonts w:ascii="Times New Roman" w:hAnsi="Times New Roman"/>
          <w:sz w:val="24"/>
          <w:szCs w:val="24"/>
        </w:rPr>
        <w:tab/>
        <w:t xml:space="preserve">La programmation est, conceptuellement, la porte d’entrée naturelle de l’unité d’action visée par la Réforme UNDAF. C’est le moment où les différentes entités du Système dessinent la carte stratégique et opérationnelle intégrant leurs interventions dans le pays. Au niveau stratégique des effets substantifs dérivés des objectifs de développement nationaux sont déclinés, et </w:t>
      </w:r>
      <w:r w:rsidR="00537670" w:rsidRPr="003A1D53">
        <w:rPr>
          <w:rFonts w:ascii="Times New Roman" w:hAnsi="Times New Roman"/>
          <w:sz w:val="24"/>
          <w:szCs w:val="24"/>
        </w:rPr>
        <w:t xml:space="preserve">à un niveau </w:t>
      </w:r>
      <w:r w:rsidR="00F02379" w:rsidRPr="003A1D53">
        <w:rPr>
          <w:rFonts w:ascii="Times New Roman" w:hAnsi="Times New Roman"/>
          <w:sz w:val="24"/>
          <w:szCs w:val="24"/>
        </w:rPr>
        <w:t>plus opérationnel des produits spécifiques leurs sont attachés dans le cadre d’un plan d’action ou d’un cadre d’opérationnalisation.</w:t>
      </w:r>
      <w:r w:rsidR="00537670" w:rsidRPr="003A1D53">
        <w:rPr>
          <w:rFonts w:ascii="Times New Roman" w:hAnsi="Times New Roman"/>
          <w:sz w:val="24"/>
          <w:szCs w:val="24"/>
        </w:rPr>
        <w:t xml:space="preserve"> Ces produits peuvent d’ailleurs être fixés au niveau des programmes d’agence, mais le sont à l’échelle de l’UNDAF dans le ca</w:t>
      </w:r>
      <w:r w:rsidR="00F02379" w:rsidRPr="003A1D53">
        <w:rPr>
          <w:rFonts w:ascii="Times New Roman" w:hAnsi="Times New Roman"/>
          <w:sz w:val="24"/>
          <w:szCs w:val="24"/>
        </w:rPr>
        <w:t xml:space="preserve">s du </w:t>
      </w:r>
      <w:r w:rsidR="002D3C58" w:rsidRPr="003A1D53">
        <w:rPr>
          <w:rFonts w:ascii="Times New Roman" w:hAnsi="Times New Roman"/>
          <w:sz w:val="24"/>
          <w:szCs w:val="24"/>
        </w:rPr>
        <w:t>Mali</w:t>
      </w:r>
      <w:r w:rsidR="00537670" w:rsidRPr="003A1D53">
        <w:rPr>
          <w:rFonts w:ascii="Times New Roman" w:hAnsi="Times New Roman"/>
          <w:sz w:val="24"/>
          <w:szCs w:val="24"/>
        </w:rPr>
        <w:t>.</w:t>
      </w:r>
    </w:p>
    <w:p w14:paraId="604B531C" w14:textId="77777777" w:rsidR="00537670" w:rsidRPr="003A1D53" w:rsidRDefault="00537670" w:rsidP="005B22B2">
      <w:pPr>
        <w:spacing w:after="0" w:line="240" w:lineRule="auto"/>
        <w:jc w:val="both"/>
        <w:rPr>
          <w:rFonts w:ascii="Times New Roman" w:hAnsi="Times New Roman"/>
          <w:sz w:val="24"/>
          <w:szCs w:val="24"/>
        </w:rPr>
      </w:pPr>
    </w:p>
    <w:p w14:paraId="604B531D" w14:textId="77777777" w:rsidR="004927B1"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180.</w:t>
      </w:r>
      <w:r w:rsidR="00537670" w:rsidRPr="003A1D53">
        <w:rPr>
          <w:rFonts w:ascii="Times New Roman" w:hAnsi="Times New Roman"/>
          <w:sz w:val="24"/>
          <w:szCs w:val="24"/>
        </w:rPr>
        <w:tab/>
        <w:t xml:space="preserve">Le </w:t>
      </w:r>
      <w:r w:rsidR="00F02379" w:rsidRPr="003A1D53">
        <w:rPr>
          <w:rFonts w:ascii="Times New Roman" w:hAnsi="Times New Roman"/>
          <w:sz w:val="24"/>
          <w:szCs w:val="24"/>
        </w:rPr>
        <w:t>cycle 201</w:t>
      </w:r>
      <w:r w:rsidR="002D3C58" w:rsidRPr="003A1D53">
        <w:rPr>
          <w:rFonts w:ascii="Times New Roman" w:hAnsi="Times New Roman"/>
          <w:sz w:val="24"/>
          <w:szCs w:val="24"/>
        </w:rPr>
        <w:t>5-2019</w:t>
      </w:r>
      <w:r w:rsidR="00537670" w:rsidRPr="003A1D53">
        <w:rPr>
          <w:rFonts w:ascii="Times New Roman" w:hAnsi="Times New Roman"/>
          <w:sz w:val="24"/>
          <w:szCs w:val="24"/>
        </w:rPr>
        <w:t xml:space="preserve"> de l’UNDAF</w:t>
      </w:r>
      <w:r w:rsidR="00537670" w:rsidRPr="003A1D53">
        <w:rPr>
          <w:rFonts w:ascii="Times New Roman" w:hAnsi="Times New Roman"/>
          <w:sz w:val="24"/>
          <w:szCs w:val="24"/>
          <w:vertAlign w:val="superscript"/>
        </w:rPr>
        <w:t xml:space="preserve">+ </w:t>
      </w:r>
      <w:r w:rsidR="00537670" w:rsidRPr="003A1D53">
        <w:rPr>
          <w:rFonts w:ascii="Times New Roman" w:hAnsi="Times New Roman"/>
          <w:sz w:val="24"/>
          <w:szCs w:val="24"/>
        </w:rPr>
        <w:t xml:space="preserve">structure </w:t>
      </w:r>
      <w:r w:rsidR="002D3C58" w:rsidRPr="003A1D53">
        <w:rPr>
          <w:rFonts w:ascii="Times New Roman" w:hAnsi="Times New Roman"/>
          <w:sz w:val="24"/>
          <w:szCs w:val="24"/>
        </w:rPr>
        <w:t>une chaîne d’</w:t>
      </w:r>
      <w:r w:rsidR="00F02379" w:rsidRPr="003A1D53">
        <w:rPr>
          <w:rFonts w:ascii="Times New Roman" w:hAnsi="Times New Roman"/>
          <w:sz w:val="24"/>
          <w:szCs w:val="24"/>
        </w:rPr>
        <w:t>effets, de produits e</w:t>
      </w:r>
      <w:r w:rsidR="002D3C58" w:rsidRPr="003A1D53">
        <w:rPr>
          <w:rFonts w:ascii="Times New Roman" w:hAnsi="Times New Roman"/>
          <w:sz w:val="24"/>
          <w:szCs w:val="24"/>
        </w:rPr>
        <w:t xml:space="preserve">t d’indicateurs </w:t>
      </w:r>
      <w:r w:rsidR="00F02379" w:rsidRPr="003A1D53">
        <w:rPr>
          <w:rFonts w:ascii="Times New Roman" w:hAnsi="Times New Roman"/>
          <w:sz w:val="24"/>
          <w:szCs w:val="24"/>
        </w:rPr>
        <w:t xml:space="preserve">globalement </w:t>
      </w:r>
      <w:r w:rsidR="002D3C58" w:rsidRPr="003A1D53">
        <w:rPr>
          <w:rFonts w:ascii="Times New Roman" w:hAnsi="Times New Roman"/>
          <w:sz w:val="24"/>
          <w:szCs w:val="24"/>
        </w:rPr>
        <w:t xml:space="preserve">pléthoriques, parfois peu robustes du point de vue des normes techniques qui régissent </w:t>
      </w:r>
      <w:r w:rsidR="00537670" w:rsidRPr="003A1D53">
        <w:rPr>
          <w:rFonts w:ascii="Times New Roman" w:hAnsi="Times New Roman"/>
          <w:sz w:val="24"/>
          <w:szCs w:val="24"/>
        </w:rPr>
        <w:t xml:space="preserve">la formation de </w:t>
      </w:r>
      <w:r w:rsidR="002D3C58" w:rsidRPr="003A1D53">
        <w:rPr>
          <w:rFonts w:ascii="Times New Roman" w:hAnsi="Times New Roman"/>
          <w:sz w:val="24"/>
          <w:szCs w:val="24"/>
        </w:rPr>
        <w:t>ces outils de planification (</w:t>
      </w:r>
      <w:r w:rsidR="00537670" w:rsidRPr="003A1D53">
        <w:rPr>
          <w:rFonts w:ascii="Times New Roman" w:hAnsi="Times New Roman"/>
          <w:sz w:val="24"/>
          <w:szCs w:val="24"/>
        </w:rPr>
        <w:t>cf.</w:t>
      </w:r>
      <w:r w:rsidR="002D3C58" w:rsidRPr="003A1D53">
        <w:rPr>
          <w:rFonts w:ascii="Times New Roman" w:hAnsi="Times New Roman"/>
          <w:sz w:val="24"/>
          <w:szCs w:val="24"/>
        </w:rPr>
        <w:t xml:space="preserve"> l’analyse faite à cet égard dans la revue de pertinence du cadre logique). </w:t>
      </w:r>
      <w:r w:rsidR="00F02379" w:rsidRPr="003A1D53">
        <w:rPr>
          <w:rFonts w:ascii="Times New Roman" w:hAnsi="Times New Roman"/>
          <w:sz w:val="24"/>
          <w:szCs w:val="24"/>
        </w:rPr>
        <w:t xml:space="preserve">Cette situation </w:t>
      </w:r>
      <w:r w:rsidR="00537670" w:rsidRPr="003A1D53">
        <w:rPr>
          <w:rFonts w:ascii="Times New Roman" w:hAnsi="Times New Roman"/>
          <w:sz w:val="24"/>
          <w:szCs w:val="24"/>
        </w:rPr>
        <w:t>est</w:t>
      </w:r>
      <w:r w:rsidR="00F02379" w:rsidRPr="003A1D53">
        <w:rPr>
          <w:rFonts w:ascii="Times New Roman" w:hAnsi="Times New Roman"/>
          <w:sz w:val="24"/>
          <w:szCs w:val="24"/>
        </w:rPr>
        <w:t xml:space="preserve"> fondamentalement </w:t>
      </w:r>
      <w:r w:rsidR="00633B06" w:rsidRPr="003A1D53">
        <w:rPr>
          <w:rFonts w:ascii="Times New Roman" w:hAnsi="Times New Roman"/>
          <w:sz w:val="24"/>
          <w:szCs w:val="24"/>
        </w:rPr>
        <w:t xml:space="preserve">dommageable </w:t>
      </w:r>
      <w:r w:rsidR="00F02379" w:rsidRPr="003A1D53">
        <w:rPr>
          <w:rFonts w:ascii="Times New Roman" w:hAnsi="Times New Roman"/>
          <w:sz w:val="24"/>
          <w:szCs w:val="24"/>
        </w:rPr>
        <w:t>à la qualité du processus de planification</w:t>
      </w:r>
      <w:r w:rsidR="00537670" w:rsidRPr="003A1D53">
        <w:rPr>
          <w:rFonts w:ascii="Times New Roman" w:hAnsi="Times New Roman"/>
          <w:sz w:val="24"/>
          <w:szCs w:val="24"/>
        </w:rPr>
        <w:t>, dont les parties professent (entretien et débriefings) qu’il se ramène à une compilation de programmes et plans de travail déjà élaborés et stabilisés au sein des Agences, Fonds, Programmes et entités de la Mission.</w:t>
      </w:r>
      <w:r w:rsidR="004927B1" w:rsidRPr="003A1D53">
        <w:rPr>
          <w:rFonts w:ascii="Times New Roman" w:hAnsi="Times New Roman"/>
          <w:sz w:val="24"/>
          <w:szCs w:val="24"/>
        </w:rPr>
        <w:t xml:space="preserve"> </w:t>
      </w:r>
      <w:r w:rsidR="00C84BF9" w:rsidRPr="003A1D53">
        <w:rPr>
          <w:rFonts w:ascii="Times New Roman" w:hAnsi="Times New Roman"/>
          <w:sz w:val="24"/>
          <w:szCs w:val="24"/>
        </w:rPr>
        <w:t xml:space="preserve">Signés avec les vis-à-vis institutionnels nationaux, ces cadres de planification ne peuvent qu’être entérinés par la programmation dite conjointe. Celle-ci </w:t>
      </w:r>
      <w:r w:rsidR="00537670" w:rsidRPr="003A1D53">
        <w:rPr>
          <w:rFonts w:ascii="Times New Roman" w:hAnsi="Times New Roman"/>
          <w:sz w:val="24"/>
          <w:szCs w:val="24"/>
        </w:rPr>
        <w:t xml:space="preserve">est aussi gênée par </w:t>
      </w:r>
      <w:r w:rsidR="00F02379" w:rsidRPr="003A1D53">
        <w:rPr>
          <w:rFonts w:ascii="Times New Roman" w:hAnsi="Times New Roman"/>
          <w:sz w:val="24"/>
          <w:szCs w:val="24"/>
        </w:rPr>
        <w:t xml:space="preserve">l’esprit qui anime encore les agences </w:t>
      </w:r>
      <w:r w:rsidR="00537670" w:rsidRPr="003A1D53">
        <w:rPr>
          <w:rFonts w:ascii="Times New Roman" w:hAnsi="Times New Roman"/>
          <w:sz w:val="24"/>
          <w:szCs w:val="24"/>
        </w:rPr>
        <w:t xml:space="preserve">et entités, soucieuses de conserver une </w:t>
      </w:r>
      <w:r w:rsidR="00F02379" w:rsidRPr="003A1D53">
        <w:rPr>
          <w:rFonts w:ascii="Times New Roman" w:hAnsi="Times New Roman"/>
          <w:sz w:val="24"/>
          <w:szCs w:val="24"/>
        </w:rPr>
        <w:t>vi</w:t>
      </w:r>
      <w:r w:rsidR="00C84BF9" w:rsidRPr="003A1D53">
        <w:rPr>
          <w:rFonts w:ascii="Times New Roman" w:hAnsi="Times New Roman"/>
          <w:sz w:val="24"/>
          <w:szCs w:val="24"/>
        </w:rPr>
        <w:t>sibilité d’entité individuelle</w:t>
      </w:r>
      <w:r w:rsidR="00F02379" w:rsidRPr="003A1D53">
        <w:rPr>
          <w:rFonts w:ascii="Times New Roman" w:hAnsi="Times New Roman"/>
          <w:sz w:val="24"/>
          <w:szCs w:val="24"/>
        </w:rPr>
        <w:t xml:space="preserve">. Cet arrière-fond </w:t>
      </w:r>
      <w:r w:rsidR="004927B1" w:rsidRPr="003A1D53">
        <w:rPr>
          <w:rFonts w:ascii="Times New Roman" w:hAnsi="Times New Roman"/>
          <w:sz w:val="24"/>
          <w:szCs w:val="24"/>
        </w:rPr>
        <w:t xml:space="preserve">fait que les programmes et plans de travails spécifiques aux entités restent </w:t>
      </w:r>
      <w:r w:rsidR="00C84BF9" w:rsidRPr="003A1D53">
        <w:rPr>
          <w:rFonts w:ascii="Times New Roman" w:hAnsi="Times New Roman"/>
          <w:sz w:val="24"/>
          <w:szCs w:val="24"/>
        </w:rPr>
        <w:t xml:space="preserve">prééminents et </w:t>
      </w:r>
      <w:r w:rsidR="004927B1" w:rsidRPr="003A1D53">
        <w:rPr>
          <w:rFonts w:ascii="Times New Roman" w:hAnsi="Times New Roman"/>
          <w:sz w:val="24"/>
          <w:szCs w:val="24"/>
        </w:rPr>
        <w:t xml:space="preserve">ne laissent pas à </w:t>
      </w:r>
      <w:r w:rsidR="00C84BF9" w:rsidRPr="003A1D53">
        <w:rPr>
          <w:rFonts w:ascii="Times New Roman" w:hAnsi="Times New Roman"/>
          <w:sz w:val="24"/>
          <w:szCs w:val="24"/>
        </w:rPr>
        <w:t>la programmation conjointe</w:t>
      </w:r>
      <w:r w:rsidR="004927B1" w:rsidRPr="003A1D53">
        <w:rPr>
          <w:rFonts w:ascii="Times New Roman" w:hAnsi="Times New Roman"/>
          <w:sz w:val="24"/>
          <w:szCs w:val="24"/>
        </w:rPr>
        <w:t xml:space="preserve"> </w:t>
      </w:r>
      <w:r w:rsidR="00E22565" w:rsidRPr="003A1D53">
        <w:rPr>
          <w:rFonts w:ascii="Times New Roman" w:hAnsi="Times New Roman"/>
          <w:sz w:val="24"/>
          <w:szCs w:val="24"/>
        </w:rPr>
        <w:t xml:space="preserve">le soin </w:t>
      </w:r>
      <w:r w:rsidR="004927B1" w:rsidRPr="003A1D53">
        <w:rPr>
          <w:rFonts w:ascii="Times New Roman" w:hAnsi="Times New Roman"/>
          <w:sz w:val="24"/>
          <w:szCs w:val="24"/>
        </w:rPr>
        <w:t>d’être la force d’entraînement du programme.</w:t>
      </w:r>
      <w:r w:rsidR="00FF3F9E" w:rsidRPr="003A1D53">
        <w:rPr>
          <w:rFonts w:ascii="Times New Roman" w:hAnsi="Times New Roman"/>
          <w:sz w:val="24"/>
          <w:szCs w:val="24"/>
        </w:rPr>
        <w:t xml:space="preserve"> Enfin les différences de cycles de planification entre entités joue également contre les dynamiques de conjointes : les cycles varient entre 6 mois et 5 ans.</w:t>
      </w:r>
    </w:p>
    <w:p w14:paraId="604B531E" w14:textId="77777777" w:rsidR="004927B1" w:rsidRPr="003A1D53" w:rsidRDefault="004927B1" w:rsidP="005B22B2">
      <w:pPr>
        <w:spacing w:after="0" w:line="240" w:lineRule="auto"/>
        <w:jc w:val="both"/>
        <w:rPr>
          <w:rFonts w:ascii="Times New Roman" w:hAnsi="Times New Roman"/>
          <w:sz w:val="24"/>
          <w:szCs w:val="24"/>
        </w:rPr>
      </w:pPr>
    </w:p>
    <w:p w14:paraId="604B531F" w14:textId="77777777" w:rsidR="00275653" w:rsidRPr="003A1D53" w:rsidRDefault="00275653" w:rsidP="005B22B2">
      <w:pPr>
        <w:spacing w:after="0" w:line="240" w:lineRule="auto"/>
        <w:jc w:val="both"/>
        <w:rPr>
          <w:rFonts w:ascii="Times New Roman" w:hAnsi="Times New Roman"/>
          <w:sz w:val="24"/>
          <w:szCs w:val="24"/>
        </w:rPr>
      </w:pPr>
    </w:p>
    <w:p w14:paraId="604B5320" w14:textId="77777777" w:rsidR="00F02379" w:rsidRPr="003A1D53" w:rsidRDefault="003C3770" w:rsidP="005B22B2">
      <w:pPr>
        <w:spacing w:after="0" w:line="240" w:lineRule="auto"/>
        <w:jc w:val="both"/>
        <w:rPr>
          <w:rFonts w:ascii="Times New Roman" w:hAnsi="Times New Roman"/>
          <w:b/>
          <w:sz w:val="24"/>
          <w:szCs w:val="24"/>
        </w:rPr>
      </w:pPr>
      <w:r w:rsidRPr="003A1D53">
        <w:rPr>
          <w:rFonts w:ascii="Times New Roman" w:hAnsi="Times New Roman"/>
          <w:b/>
          <w:sz w:val="24"/>
          <w:szCs w:val="24"/>
        </w:rPr>
        <w:tab/>
      </w:r>
      <w:r w:rsidR="00B36C02" w:rsidRPr="003A1D53">
        <w:rPr>
          <w:rFonts w:ascii="Times New Roman" w:hAnsi="Times New Roman"/>
          <w:b/>
          <w:sz w:val="24"/>
          <w:szCs w:val="24"/>
        </w:rPr>
        <w:t>R</w:t>
      </w:r>
      <w:r w:rsidR="00F02379" w:rsidRPr="003A1D53">
        <w:rPr>
          <w:rFonts w:ascii="Times New Roman" w:hAnsi="Times New Roman"/>
          <w:b/>
          <w:sz w:val="24"/>
          <w:szCs w:val="24"/>
        </w:rPr>
        <w:t>essources</w:t>
      </w:r>
    </w:p>
    <w:p w14:paraId="604B5321" w14:textId="77777777" w:rsidR="00F02379" w:rsidRPr="003A1D53" w:rsidRDefault="00F02379" w:rsidP="005B22B2">
      <w:pPr>
        <w:spacing w:after="0" w:line="240" w:lineRule="auto"/>
        <w:jc w:val="both"/>
        <w:rPr>
          <w:rFonts w:ascii="Times New Roman" w:hAnsi="Times New Roman"/>
          <w:sz w:val="24"/>
          <w:szCs w:val="24"/>
        </w:rPr>
      </w:pPr>
    </w:p>
    <w:p w14:paraId="604B5322" w14:textId="77777777" w:rsidR="00F02379" w:rsidRPr="003A1D53" w:rsidRDefault="00837111"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A4083F" w:rsidRPr="003A1D53">
        <w:rPr>
          <w:rFonts w:ascii="Times New Roman" w:hAnsi="Times New Roman"/>
          <w:sz w:val="24"/>
          <w:szCs w:val="24"/>
        </w:rPr>
        <w:t>81</w:t>
      </w:r>
      <w:r w:rsidR="00F02379" w:rsidRPr="003A1D53">
        <w:rPr>
          <w:rFonts w:ascii="Times New Roman" w:hAnsi="Times New Roman"/>
          <w:sz w:val="24"/>
          <w:szCs w:val="24"/>
        </w:rPr>
        <w:t>.</w:t>
      </w:r>
      <w:r w:rsidR="00F02379" w:rsidRPr="003A1D53">
        <w:rPr>
          <w:rFonts w:ascii="Times New Roman" w:hAnsi="Times New Roman"/>
          <w:sz w:val="24"/>
          <w:szCs w:val="24"/>
        </w:rPr>
        <w:tab/>
        <w:t xml:space="preserve">Le programme </w:t>
      </w:r>
      <w:r w:rsidR="00040771" w:rsidRPr="003A1D53">
        <w:rPr>
          <w:rFonts w:ascii="Times New Roman" w:hAnsi="Times New Roman"/>
          <w:sz w:val="24"/>
          <w:szCs w:val="24"/>
        </w:rPr>
        <w:t>vient de se doter d’une stratégie de mobilisation de ressources, qui n’a pas pu être mise en œuvre dans cette première moitié du cycle. Il n’a</w:t>
      </w:r>
      <w:r w:rsidR="00F02379" w:rsidRPr="003A1D53">
        <w:rPr>
          <w:rFonts w:ascii="Times New Roman" w:hAnsi="Times New Roman"/>
          <w:sz w:val="24"/>
          <w:szCs w:val="24"/>
        </w:rPr>
        <w:t>vait donc pas une capacité financière différente de celle des différentes agences participantes. D’une manière générale, les interventions se sont appuyées sur les ressources spécifiques des agences elles mêmes</w:t>
      </w:r>
      <w:r w:rsidR="00040771" w:rsidRPr="003A1D53">
        <w:rPr>
          <w:rFonts w:ascii="Times New Roman" w:hAnsi="Times New Roman"/>
          <w:sz w:val="24"/>
          <w:szCs w:val="24"/>
        </w:rPr>
        <w:t>, mises à part les ressources limitées d’une demi-douzaine de projets conjoints</w:t>
      </w:r>
      <w:r w:rsidR="00F02379" w:rsidRPr="003A1D53">
        <w:rPr>
          <w:rFonts w:ascii="Times New Roman" w:hAnsi="Times New Roman"/>
          <w:sz w:val="24"/>
          <w:szCs w:val="24"/>
        </w:rPr>
        <w:t xml:space="preserve">. Un des principes de la programmation conjointe est articulé sur les ressources, </w:t>
      </w:r>
      <w:r w:rsidR="004927B1" w:rsidRPr="003A1D53">
        <w:rPr>
          <w:rFonts w:ascii="Times New Roman" w:hAnsi="Times New Roman"/>
          <w:sz w:val="24"/>
          <w:szCs w:val="24"/>
        </w:rPr>
        <w:t xml:space="preserve">qui peuvent être </w:t>
      </w:r>
      <w:r w:rsidR="00F02379" w:rsidRPr="003A1D53">
        <w:rPr>
          <w:rFonts w:ascii="Times New Roman" w:hAnsi="Times New Roman"/>
          <w:sz w:val="24"/>
          <w:szCs w:val="24"/>
        </w:rPr>
        <w:t>unifiées dans le cadre d’"un même budget".</w:t>
      </w:r>
      <w:r w:rsidR="00FF3F9E" w:rsidRPr="003A1D53">
        <w:rPr>
          <w:rFonts w:ascii="Times New Roman" w:hAnsi="Times New Roman"/>
          <w:sz w:val="24"/>
          <w:szCs w:val="24"/>
        </w:rPr>
        <w:t xml:space="preserve"> </w:t>
      </w:r>
      <w:r w:rsidR="004927B1" w:rsidRPr="003A1D53">
        <w:rPr>
          <w:rFonts w:ascii="Times New Roman" w:hAnsi="Times New Roman"/>
          <w:sz w:val="24"/>
          <w:szCs w:val="24"/>
        </w:rPr>
        <w:tab/>
        <w:t xml:space="preserve">Au Mali, le Système n’a pas encore retenu ce principe d’un budget unique. Malgré tout, la problématique des ressources est régulièrement ressortie dans comme prééminente dans les entretiens avec les parties, notamment au sein des Agences, Fonds et Programmes de développement, et mérite d’être regardée avec un surcroît d’attention. </w:t>
      </w:r>
    </w:p>
    <w:p w14:paraId="604B5323" w14:textId="77777777" w:rsidR="00F02379" w:rsidRPr="003A1D53" w:rsidRDefault="00F02379" w:rsidP="005B22B2">
      <w:pPr>
        <w:spacing w:after="0" w:line="240" w:lineRule="auto"/>
        <w:jc w:val="both"/>
        <w:rPr>
          <w:rFonts w:ascii="Times New Roman" w:hAnsi="Times New Roman"/>
          <w:sz w:val="24"/>
          <w:szCs w:val="24"/>
        </w:rPr>
      </w:pPr>
    </w:p>
    <w:p w14:paraId="604B5324" w14:textId="77777777" w:rsidR="001D2972" w:rsidRPr="003A1D53" w:rsidRDefault="00837111"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A4083F" w:rsidRPr="003A1D53">
        <w:rPr>
          <w:rFonts w:ascii="Times New Roman" w:hAnsi="Times New Roman"/>
          <w:sz w:val="24"/>
          <w:szCs w:val="24"/>
        </w:rPr>
        <w:t>82</w:t>
      </w:r>
      <w:r w:rsidRPr="003A1D53">
        <w:rPr>
          <w:rFonts w:ascii="Times New Roman" w:hAnsi="Times New Roman"/>
          <w:sz w:val="24"/>
          <w:szCs w:val="24"/>
        </w:rPr>
        <w:t>.</w:t>
      </w:r>
      <w:r w:rsidR="00F02379" w:rsidRPr="003A1D53">
        <w:rPr>
          <w:rFonts w:ascii="Times New Roman" w:hAnsi="Times New Roman"/>
          <w:sz w:val="24"/>
          <w:szCs w:val="24"/>
        </w:rPr>
        <w:tab/>
      </w:r>
      <w:r w:rsidR="00FF3F9E" w:rsidRPr="003A1D53">
        <w:rPr>
          <w:rFonts w:ascii="Times New Roman" w:hAnsi="Times New Roman"/>
          <w:sz w:val="24"/>
          <w:szCs w:val="24"/>
        </w:rPr>
        <w:t>la mission a observé l’émergence de deux courants de pensée sur la question névralgique des ressources. D’un côté les entités techniques spécialisées tendent à considérer que l’existence de</w:t>
      </w:r>
      <w:r w:rsidR="00F02379" w:rsidRPr="003A1D53">
        <w:rPr>
          <w:rFonts w:ascii="Times New Roman" w:hAnsi="Times New Roman"/>
          <w:sz w:val="24"/>
          <w:szCs w:val="24"/>
        </w:rPr>
        <w:t xml:space="preserve"> ressources conjointes </w:t>
      </w:r>
      <w:r w:rsidR="00FF3F9E" w:rsidRPr="003A1D53">
        <w:rPr>
          <w:rFonts w:ascii="Times New Roman" w:hAnsi="Times New Roman"/>
          <w:sz w:val="24"/>
          <w:szCs w:val="24"/>
        </w:rPr>
        <w:t>serait</w:t>
      </w:r>
      <w:r w:rsidR="00F02379" w:rsidRPr="003A1D53">
        <w:rPr>
          <w:rFonts w:ascii="Times New Roman" w:hAnsi="Times New Roman"/>
          <w:sz w:val="24"/>
          <w:szCs w:val="24"/>
        </w:rPr>
        <w:t xml:space="preserve"> </w:t>
      </w:r>
      <w:r w:rsidR="00FF3F9E" w:rsidRPr="003A1D53">
        <w:rPr>
          <w:rFonts w:ascii="Times New Roman" w:hAnsi="Times New Roman"/>
          <w:sz w:val="24"/>
          <w:szCs w:val="24"/>
        </w:rPr>
        <w:t>mobilisatrice</w:t>
      </w:r>
      <w:r w:rsidR="00F02379" w:rsidRPr="003A1D53">
        <w:rPr>
          <w:rFonts w:ascii="Times New Roman" w:hAnsi="Times New Roman"/>
          <w:sz w:val="24"/>
          <w:szCs w:val="24"/>
        </w:rPr>
        <w:t xml:space="preserve"> pour aller ensemble dans des projets conjoints. </w:t>
      </w:r>
      <w:r w:rsidR="00FF3F9E" w:rsidRPr="003A1D53">
        <w:rPr>
          <w:rFonts w:ascii="Times New Roman" w:hAnsi="Times New Roman"/>
          <w:sz w:val="24"/>
          <w:szCs w:val="24"/>
        </w:rPr>
        <w:t>A contrario les stratégies solitaires de mobilisation de ressources leur apparaissent entretenir un climat de compétition peu adéquat avec l’esprit de famille qui doit caractériser le système. Ils font aussi valoir que de plus en plus ce ne sont pas les métiers et les spécialités des entités qui déterminent leurs profils d’intervention sur le terrain, mais les ressources qu’elles trouvent. Des entités qui étaient jadis des cadre</w:t>
      </w:r>
      <w:r w:rsidR="001D2972" w:rsidRPr="003A1D53">
        <w:rPr>
          <w:rFonts w:ascii="Times New Roman" w:hAnsi="Times New Roman"/>
          <w:sz w:val="24"/>
          <w:szCs w:val="24"/>
        </w:rPr>
        <w:t>s techniques de mobilisation de ressources, qu’elles pouvaient ensuite relayer vers les agences spécialisées, se mettraient de plus à exécuter elles-mêmes de telles ressources.</w:t>
      </w:r>
    </w:p>
    <w:p w14:paraId="604B5325" w14:textId="77777777" w:rsidR="001D2972" w:rsidRPr="003A1D53" w:rsidRDefault="001D2972" w:rsidP="005B22B2">
      <w:pPr>
        <w:spacing w:after="0" w:line="240" w:lineRule="auto"/>
        <w:jc w:val="both"/>
        <w:rPr>
          <w:rFonts w:ascii="Times New Roman" w:hAnsi="Times New Roman"/>
          <w:sz w:val="24"/>
          <w:szCs w:val="24"/>
        </w:rPr>
      </w:pPr>
    </w:p>
    <w:p w14:paraId="604B5326" w14:textId="77777777" w:rsidR="00F02379"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183.</w:t>
      </w:r>
      <w:r w:rsidR="001D2972" w:rsidRPr="003A1D53">
        <w:rPr>
          <w:rFonts w:ascii="Times New Roman" w:hAnsi="Times New Roman"/>
          <w:sz w:val="24"/>
          <w:szCs w:val="24"/>
        </w:rPr>
        <w:tab/>
        <w:t xml:space="preserve">De l’autre côté, les entités, généralement à fortes capacités budgétaires opérationnelles, prônent la poursuite du statu quo, c’est-à-dire que le Système continue donc de ne pas s’engager dans le principe du budget commun. Pour ces entités, les ressources </w:t>
      </w:r>
      <w:r w:rsidR="00F02379" w:rsidRPr="003A1D53">
        <w:rPr>
          <w:rFonts w:ascii="Times New Roman" w:hAnsi="Times New Roman"/>
          <w:sz w:val="24"/>
          <w:szCs w:val="24"/>
        </w:rPr>
        <w:t xml:space="preserve">mobilisées auprès des partenaires sont </w:t>
      </w:r>
      <w:r w:rsidR="001D2972" w:rsidRPr="003A1D53">
        <w:rPr>
          <w:rFonts w:ascii="Times New Roman" w:hAnsi="Times New Roman"/>
          <w:sz w:val="24"/>
          <w:szCs w:val="24"/>
        </w:rPr>
        <w:t xml:space="preserve">dès le point de départ </w:t>
      </w:r>
      <w:r w:rsidR="00F02379" w:rsidRPr="003A1D53">
        <w:rPr>
          <w:rFonts w:ascii="Times New Roman" w:hAnsi="Times New Roman"/>
          <w:sz w:val="24"/>
          <w:szCs w:val="24"/>
        </w:rPr>
        <w:t xml:space="preserve">ciblées sur </w:t>
      </w:r>
      <w:r w:rsidR="001D2972" w:rsidRPr="003A1D53">
        <w:rPr>
          <w:rFonts w:ascii="Times New Roman" w:hAnsi="Times New Roman"/>
          <w:sz w:val="24"/>
          <w:szCs w:val="24"/>
        </w:rPr>
        <w:t>des objectifs et des métiers</w:t>
      </w:r>
      <w:r w:rsidR="00F02379" w:rsidRPr="003A1D53">
        <w:rPr>
          <w:rFonts w:ascii="Times New Roman" w:hAnsi="Times New Roman"/>
          <w:sz w:val="24"/>
          <w:szCs w:val="24"/>
        </w:rPr>
        <w:t xml:space="preserve"> et</w:t>
      </w:r>
      <w:r w:rsidR="001D2972" w:rsidRPr="003A1D53">
        <w:rPr>
          <w:rFonts w:ascii="Times New Roman" w:hAnsi="Times New Roman"/>
          <w:sz w:val="24"/>
          <w:szCs w:val="24"/>
        </w:rPr>
        <w:t xml:space="preserve"> </w:t>
      </w:r>
      <w:r w:rsidR="00F02379" w:rsidRPr="003A1D53">
        <w:rPr>
          <w:rFonts w:ascii="Times New Roman" w:hAnsi="Times New Roman"/>
          <w:sz w:val="24"/>
          <w:szCs w:val="24"/>
        </w:rPr>
        <w:t xml:space="preserve">ne sauraient </w:t>
      </w:r>
      <w:r w:rsidR="001D2972" w:rsidRPr="003A1D53">
        <w:rPr>
          <w:rFonts w:ascii="Times New Roman" w:hAnsi="Times New Roman"/>
          <w:sz w:val="24"/>
          <w:szCs w:val="24"/>
        </w:rPr>
        <w:t xml:space="preserve">donc être </w:t>
      </w:r>
      <w:r w:rsidR="00F02379" w:rsidRPr="003A1D53">
        <w:rPr>
          <w:rFonts w:ascii="Times New Roman" w:hAnsi="Times New Roman"/>
          <w:sz w:val="24"/>
          <w:szCs w:val="24"/>
        </w:rPr>
        <w:t>réorient</w:t>
      </w:r>
      <w:r w:rsidR="001D2972" w:rsidRPr="003A1D53">
        <w:rPr>
          <w:rFonts w:ascii="Times New Roman" w:hAnsi="Times New Roman"/>
          <w:sz w:val="24"/>
          <w:szCs w:val="24"/>
        </w:rPr>
        <w:t>é</w:t>
      </w:r>
      <w:r w:rsidR="00F02379" w:rsidRPr="003A1D53">
        <w:rPr>
          <w:rFonts w:ascii="Times New Roman" w:hAnsi="Times New Roman"/>
          <w:sz w:val="24"/>
          <w:szCs w:val="24"/>
        </w:rPr>
        <w:t>e</w:t>
      </w:r>
      <w:r w:rsidR="001D2972" w:rsidRPr="003A1D53">
        <w:rPr>
          <w:rFonts w:ascii="Times New Roman" w:hAnsi="Times New Roman"/>
          <w:sz w:val="24"/>
          <w:szCs w:val="24"/>
        </w:rPr>
        <w:t>s</w:t>
      </w:r>
      <w:r w:rsidR="00F02379" w:rsidRPr="003A1D53">
        <w:rPr>
          <w:rFonts w:ascii="Times New Roman" w:hAnsi="Times New Roman"/>
          <w:sz w:val="24"/>
          <w:szCs w:val="24"/>
        </w:rPr>
        <w:t xml:space="preserve"> vers d’autres </w:t>
      </w:r>
      <w:r w:rsidR="001D2972" w:rsidRPr="003A1D53">
        <w:rPr>
          <w:rFonts w:ascii="Times New Roman" w:hAnsi="Times New Roman"/>
          <w:sz w:val="24"/>
          <w:szCs w:val="24"/>
        </w:rPr>
        <w:t xml:space="preserve">entités et </w:t>
      </w:r>
      <w:r w:rsidR="00F02379" w:rsidRPr="003A1D53">
        <w:rPr>
          <w:rFonts w:ascii="Times New Roman" w:hAnsi="Times New Roman"/>
          <w:sz w:val="24"/>
          <w:szCs w:val="24"/>
        </w:rPr>
        <w:t>emplois</w:t>
      </w:r>
      <w:r w:rsidR="001D2972" w:rsidRPr="003A1D53">
        <w:rPr>
          <w:rFonts w:ascii="Times New Roman" w:hAnsi="Times New Roman"/>
          <w:sz w:val="24"/>
          <w:szCs w:val="24"/>
        </w:rPr>
        <w:t>,</w:t>
      </w:r>
      <w:r w:rsidR="00F02379" w:rsidRPr="003A1D53">
        <w:rPr>
          <w:rFonts w:ascii="Times New Roman" w:hAnsi="Times New Roman"/>
          <w:sz w:val="24"/>
          <w:szCs w:val="24"/>
        </w:rPr>
        <w:t xml:space="preserve"> sans risque de prêter le flanc à ce qui peut être regardé comme un détournement d’objectif</w:t>
      </w:r>
      <w:r w:rsidR="000E638B" w:rsidRPr="003A1D53">
        <w:rPr>
          <w:rFonts w:ascii="Times New Roman" w:hAnsi="Times New Roman"/>
          <w:sz w:val="24"/>
          <w:szCs w:val="24"/>
        </w:rPr>
        <w:t>,</w:t>
      </w:r>
      <w:r w:rsidR="00F02379" w:rsidRPr="003A1D53">
        <w:rPr>
          <w:rFonts w:ascii="Times New Roman" w:hAnsi="Times New Roman"/>
          <w:sz w:val="24"/>
          <w:szCs w:val="24"/>
        </w:rPr>
        <w:t xml:space="preserve"> et de devoir en répondre à la fois devant le bailleur et devant le</w:t>
      </w:r>
      <w:r w:rsidR="000E638B" w:rsidRPr="003A1D53">
        <w:rPr>
          <w:rFonts w:ascii="Times New Roman" w:hAnsi="Times New Roman"/>
          <w:sz w:val="24"/>
          <w:szCs w:val="24"/>
        </w:rPr>
        <w:t xml:space="preserve"> siège de l’entité elle-même.</w:t>
      </w:r>
      <w:r w:rsidR="00F02379" w:rsidRPr="003A1D53">
        <w:rPr>
          <w:rFonts w:ascii="Times New Roman" w:hAnsi="Times New Roman"/>
          <w:sz w:val="24"/>
          <w:szCs w:val="24"/>
        </w:rPr>
        <w:t xml:space="preserve"> Cet argument, pour le moins robuste, laisse seulement, à la marge, à l’intérieur de</w:t>
      </w:r>
      <w:r w:rsidR="000E638B" w:rsidRPr="003A1D53">
        <w:rPr>
          <w:rFonts w:ascii="Times New Roman" w:hAnsi="Times New Roman"/>
          <w:sz w:val="24"/>
          <w:szCs w:val="24"/>
        </w:rPr>
        <w:t xml:space="preserve">s </w:t>
      </w:r>
      <w:r w:rsidR="00F02379" w:rsidRPr="003A1D53">
        <w:rPr>
          <w:rFonts w:ascii="Times New Roman" w:hAnsi="Times New Roman"/>
          <w:sz w:val="24"/>
          <w:szCs w:val="24"/>
        </w:rPr>
        <w:t>ressources</w:t>
      </w:r>
      <w:r w:rsidR="000E638B" w:rsidRPr="003A1D53">
        <w:rPr>
          <w:rFonts w:ascii="Times New Roman" w:hAnsi="Times New Roman"/>
          <w:sz w:val="24"/>
          <w:szCs w:val="24"/>
        </w:rPr>
        <w:t xml:space="preserve"> d’une même entité</w:t>
      </w:r>
      <w:r w:rsidR="00F02379" w:rsidRPr="003A1D53">
        <w:rPr>
          <w:rFonts w:ascii="Times New Roman" w:hAnsi="Times New Roman"/>
          <w:sz w:val="24"/>
          <w:szCs w:val="24"/>
        </w:rPr>
        <w:t xml:space="preserve">, la possibilité de recourir à une ou plusieurs </w:t>
      </w:r>
      <w:r w:rsidR="000E638B" w:rsidRPr="003A1D53">
        <w:rPr>
          <w:rFonts w:ascii="Times New Roman" w:hAnsi="Times New Roman"/>
          <w:sz w:val="24"/>
          <w:szCs w:val="24"/>
        </w:rPr>
        <w:t>autres</w:t>
      </w:r>
      <w:r w:rsidR="00F02379" w:rsidRPr="003A1D53">
        <w:rPr>
          <w:rFonts w:ascii="Times New Roman" w:hAnsi="Times New Roman"/>
          <w:sz w:val="24"/>
          <w:szCs w:val="24"/>
        </w:rPr>
        <w:t xml:space="preserve"> lorsque l’</w:t>
      </w:r>
      <w:r w:rsidR="000E638B" w:rsidRPr="003A1D53">
        <w:rPr>
          <w:rFonts w:ascii="Times New Roman" w:hAnsi="Times New Roman"/>
          <w:sz w:val="24"/>
          <w:szCs w:val="24"/>
        </w:rPr>
        <w:t xml:space="preserve">activité financée </w:t>
      </w:r>
      <w:r w:rsidR="00F02379" w:rsidRPr="003A1D53">
        <w:rPr>
          <w:rFonts w:ascii="Times New Roman" w:hAnsi="Times New Roman"/>
          <w:sz w:val="24"/>
          <w:szCs w:val="24"/>
        </w:rPr>
        <w:t xml:space="preserve">comporte des volets </w:t>
      </w:r>
      <w:r w:rsidR="00040771" w:rsidRPr="003A1D53">
        <w:rPr>
          <w:rFonts w:ascii="Times New Roman" w:hAnsi="Times New Roman"/>
          <w:sz w:val="24"/>
          <w:szCs w:val="24"/>
        </w:rPr>
        <w:t>qui tombent dans leur mandat.</w:t>
      </w:r>
    </w:p>
    <w:p w14:paraId="604B5327" w14:textId="77777777" w:rsidR="00F02379" w:rsidRPr="003A1D53" w:rsidRDefault="00F02379" w:rsidP="005B22B2">
      <w:pPr>
        <w:spacing w:after="0" w:line="240" w:lineRule="auto"/>
        <w:jc w:val="both"/>
        <w:rPr>
          <w:rFonts w:ascii="Times New Roman" w:hAnsi="Times New Roman"/>
          <w:sz w:val="24"/>
          <w:szCs w:val="24"/>
        </w:rPr>
      </w:pPr>
    </w:p>
    <w:p w14:paraId="604B5328" w14:textId="77777777" w:rsidR="00F02379"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184</w:t>
      </w:r>
      <w:r w:rsidR="00837111" w:rsidRPr="003A1D53">
        <w:rPr>
          <w:rFonts w:ascii="Times New Roman" w:hAnsi="Times New Roman"/>
          <w:sz w:val="24"/>
          <w:szCs w:val="24"/>
        </w:rPr>
        <w:t>.</w:t>
      </w:r>
      <w:r w:rsidR="00F02379" w:rsidRPr="003A1D53">
        <w:rPr>
          <w:rFonts w:ascii="Times New Roman" w:hAnsi="Times New Roman"/>
          <w:sz w:val="24"/>
          <w:szCs w:val="24"/>
        </w:rPr>
        <w:tab/>
      </w:r>
      <w:r w:rsidR="00CB634D" w:rsidRPr="003A1D53">
        <w:rPr>
          <w:rFonts w:ascii="Times New Roman" w:hAnsi="Times New Roman"/>
          <w:sz w:val="24"/>
          <w:szCs w:val="24"/>
        </w:rPr>
        <w:t>Ce</w:t>
      </w:r>
      <w:r w:rsidR="00F02379" w:rsidRPr="003A1D53">
        <w:rPr>
          <w:rFonts w:ascii="Times New Roman" w:hAnsi="Times New Roman"/>
          <w:sz w:val="24"/>
          <w:szCs w:val="24"/>
        </w:rPr>
        <w:t>tte solution de subsidiarité est pratiquée dans certains cas</w:t>
      </w:r>
      <w:r w:rsidR="00CB634D" w:rsidRPr="003A1D53">
        <w:rPr>
          <w:rFonts w:ascii="Times New Roman" w:hAnsi="Times New Roman"/>
          <w:sz w:val="24"/>
          <w:szCs w:val="24"/>
        </w:rPr>
        <w:t xml:space="preserve"> : la coordination arrive ainsi à orienter ses entités vers d’autres pour des synergies d’action à l’intérieur d’une problématique partagée. Mais la subsidiarité n’est pas, non plus, </w:t>
      </w:r>
      <w:r w:rsidR="00F02379" w:rsidRPr="003A1D53">
        <w:rPr>
          <w:rFonts w:ascii="Times New Roman" w:hAnsi="Times New Roman"/>
          <w:sz w:val="24"/>
          <w:szCs w:val="24"/>
        </w:rPr>
        <w:t>s</w:t>
      </w:r>
      <w:r w:rsidR="00CB634D" w:rsidRPr="003A1D53">
        <w:rPr>
          <w:rFonts w:ascii="Times New Roman" w:hAnsi="Times New Roman"/>
          <w:sz w:val="24"/>
          <w:szCs w:val="24"/>
        </w:rPr>
        <w:t>ys</w:t>
      </w:r>
      <w:r w:rsidR="00F02379" w:rsidRPr="003A1D53">
        <w:rPr>
          <w:rFonts w:ascii="Times New Roman" w:hAnsi="Times New Roman"/>
          <w:sz w:val="24"/>
          <w:szCs w:val="24"/>
        </w:rPr>
        <w:t xml:space="preserve">tématiquement </w:t>
      </w:r>
      <w:r w:rsidR="00CB634D" w:rsidRPr="003A1D53">
        <w:rPr>
          <w:rFonts w:ascii="Times New Roman" w:hAnsi="Times New Roman"/>
          <w:sz w:val="24"/>
          <w:szCs w:val="24"/>
        </w:rPr>
        <w:t>pratiquée</w:t>
      </w:r>
      <w:r w:rsidR="00F02379" w:rsidRPr="003A1D53">
        <w:rPr>
          <w:rFonts w:ascii="Times New Roman" w:hAnsi="Times New Roman"/>
          <w:sz w:val="24"/>
          <w:szCs w:val="24"/>
        </w:rPr>
        <w:t xml:space="preserve">. </w:t>
      </w:r>
      <w:r w:rsidR="00CB634D" w:rsidRPr="003A1D53">
        <w:rPr>
          <w:rFonts w:ascii="Times New Roman" w:hAnsi="Times New Roman"/>
          <w:sz w:val="24"/>
          <w:szCs w:val="24"/>
        </w:rPr>
        <w:t xml:space="preserve">C’est que le </w:t>
      </w:r>
      <w:r w:rsidR="00F02379" w:rsidRPr="003A1D53">
        <w:rPr>
          <w:rFonts w:ascii="Times New Roman" w:hAnsi="Times New Roman"/>
          <w:sz w:val="24"/>
          <w:szCs w:val="24"/>
        </w:rPr>
        <w:t xml:space="preserve">fait de recourir à titre subsidiaire et complémentaire aux compétences d’une </w:t>
      </w:r>
      <w:r w:rsidR="00CB634D" w:rsidRPr="003A1D53">
        <w:rPr>
          <w:rFonts w:ascii="Times New Roman" w:hAnsi="Times New Roman"/>
          <w:sz w:val="24"/>
          <w:szCs w:val="24"/>
        </w:rPr>
        <w:t xml:space="preserve">entité </w:t>
      </w:r>
      <w:r w:rsidR="00F02379" w:rsidRPr="003A1D53">
        <w:rPr>
          <w:rFonts w:ascii="Times New Roman" w:hAnsi="Times New Roman"/>
          <w:sz w:val="24"/>
          <w:szCs w:val="24"/>
        </w:rPr>
        <w:t>sœur</w:t>
      </w:r>
      <w:r w:rsidR="00CB634D" w:rsidRPr="003A1D53">
        <w:rPr>
          <w:rFonts w:ascii="Times New Roman" w:hAnsi="Times New Roman"/>
          <w:sz w:val="24"/>
          <w:szCs w:val="24"/>
        </w:rPr>
        <w:t xml:space="preserve">, pour lui faire exécuter une part de ses propres ressources, </w:t>
      </w:r>
      <w:r w:rsidR="00F02379" w:rsidRPr="003A1D53">
        <w:rPr>
          <w:rFonts w:ascii="Times New Roman" w:hAnsi="Times New Roman"/>
          <w:sz w:val="24"/>
          <w:szCs w:val="24"/>
        </w:rPr>
        <w:t>a aussi l’inconvénient de ne pas toujours permettre de garder la main sur l’ensemble d</w:t>
      </w:r>
      <w:r w:rsidR="00CB634D" w:rsidRPr="003A1D53">
        <w:rPr>
          <w:rFonts w:ascii="Times New Roman" w:hAnsi="Times New Roman"/>
          <w:sz w:val="24"/>
          <w:szCs w:val="24"/>
        </w:rPr>
        <w:t xml:space="preserve">e l’agenda de l’intervention. Il arrive donc que la </w:t>
      </w:r>
      <w:r w:rsidR="00D5438C" w:rsidRPr="003A1D53">
        <w:rPr>
          <w:rFonts w:ascii="Times New Roman" w:hAnsi="Times New Roman"/>
          <w:sz w:val="24"/>
          <w:szCs w:val="24"/>
        </w:rPr>
        <w:t>subsidiarité</w:t>
      </w:r>
      <w:r w:rsidR="00CB634D" w:rsidRPr="003A1D53">
        <w:rPr>
          <w:rFonts w:ascii="Times New Roman" w:hAnsi="Times New Roman"/>
          <w:sz w:val="24"/>
          <w:szCs w:val="24"/>
        </w:rPr>
        <w:t xml:space="preserve"> intra UN soit </w:t>
      </w:r>
      <w:r w:rsidR="00F02379" w:rsidRPr="003A1D53">
        <w:rPr>
          <w:rFonts w:ascii="Times New Roman" w:hAnsi="Times New Roman"/>
          <w:sz w:val="24"/>
          <w:szCs w:val="24"/>
        </w:rPr>
        <w:t xml:space="preserve">mise en concurrence avec d’autres solutions, notamment celle de mobiliser une </w:t>
      </w:r>
      <w:r w:rsidR="00CB634D" w:rsidRPr="003A1D53">
        <w:rPr>
          <w:rFonts w:ascii="Times New Roman" w:hAnsi="Times New Roman"/>
          <w:sz w:val="24"/>
          <w:szCs w:val="24"/>
        </w:rPr>
        <w:t xml:space="preserve">capacité externe </w:t>
      </w:r>
      <w:r w:rsidR="00F02379" w:rsidRPr="003A1D53">
        <w:rPr>
          <w:rFonts w:ascii="Times New Roman" w:hAnsi="Times New Roman"/>
          <w:sz w:val="24"/>
          <w:szCs w:val="24"/>
        </w:rPr>
        <w:t xml:space="preserve">plus susceptible d’être insérée dans son </w:t>
      </w:r>
      <w:r w:rsidR="00CB634D" w:rsidRPr="003A1D53">
        <w:rPr>
          <w:rFonts w:ascii="Times New Roman" w:hAnsi="Times New Roman"/>
          <w:sz w:val="24"/>
          <w:szCs w:val="24"/>
        </w:rPr>
        <w:t xml:space="preserve">propre momentum </w:t>
      </w:r>
      <w:r w:rsidR="00F02379" w:rsidRPr="003A1D53">
        <w:rPr>
          <w:rFonts w:ascii="Times New Roman" w:hAnsi="Times New Roman"/>
          <w:sz w:val="24"/>
          <w:szCs w:val="24"/>
        </w:rPr>
        <w:t xml:space="preserve">qu’une autre </w:t>
      </w:r>
      <w:r w:rsidR="00CB634D" w:rsidRPr="003A1D53">
        <w:rPr>
          <w:rFonts w:ascii="Times New Roman" w:hAnsi="Times New Roman"/>
          <w:sz w:val="24"/>
          <w:szCs w:val="24"/>
        </w:rPr>
        <w:t>entité du Système</w:t>
      </w:r>
      <w:r w:rsidR="00F02379" w:rsidRPr="003A1D53">
        <w:rPr>
          <w:rFonts w:ascii="Times New Roman" w:hAnsi="Times New Roman"/>
          <w:sz w:val="24"/>
          <w:szCs w:val="24"/>
        </w:rPr>
        <w:t xml:space="preserve"> qui a forcément son agenda et</w:t>
      </w:r>
      <w:r w:rsidR="00CB634D" w:rsidRPr="003A1D53">
        <w:rPr>
          <w:rFonts w:ascii="Times New Roman" w:hAnsi="Times New Roman"/>
          <w:sz w:val="24"/>
          <w:szCs w:val="24"/>
        </w:rPr>
        <w:t>,</w:t>
      </w:r>
      <w:r w:rsidR="00F02379" w:rsidRPr="003A1D53">
        <w:rPr>
          <w:rFonts w:ascii="Times New Roman" w:hAnsi="Times New Roman"/>
          <w:sz w:val="24"/>
          <w:szCs w:val="24"/>
        </w:rPr>
        <w:t xml:space="preserve"> souvent</w:t>
      </w:r>
      <w:r w:rsidR="00CB634D" w:rsidRPr="003A1D53">
        <w:rPr>
          <w:rFonts w:ascii="Times New Roman" w:hAnsi="Times New Roman"/>
          <w:sz w:val="24"/>
          <w:szCs w:val="24"/>
        </w:rPr>
        <w:t>,</w:t>
      </w:r>
      <w:r w:rsidR="00F02379" w:rsidRPr="003A1D53">
        <w:rPr>
          <w:rFonts w:ascii="Times New Roman" w:hAnsi="Times New Roman"/>
          <w:sz w:val="24"/>
          <w:szCs w:val="24"/>
        </w:rPr>
        <w:t xml:space="preserve"> des procédures différentes ayant leur propre gourmandise en process et délai.</w:t>
      </w:r>
    </w:p>
    <w:p w14:paraId="604B5329" w14:textId="77777777" w:rsidR="00F02379" w:rsidRPr="003A1D53" w:rsidRDefault="00F02379" w:rsidP="005B22B2">
      <w:pPr>
        <w:spacing w:after="0" w:line="240" w:lineRule="auto"/>
        <w:jc w:val="both"/>
        <w:rPr>
          <w:rFonts w:ascii="Times New Roman" w:hAnsi="Times New Roman"/>
          <w:sz w:val="24"/>
          <w:szCs w:val="24"/>
        </w:rPr>
      </w:pPr>
    </w:p>
    <w:p w14:paraId="604B532A" w14:textId="77777777" w:rsidR="00775E11" w:rsidRPr="003A1D53" w:rsidRDefault="0015327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A4083F" w:rsidRPr="003A1D53">
        <w:rPr>
          <w:rFonts w:ascii="Times New Roman" w:hAnsi="Times New Roman"/>
          <w:sz w:val="24"/>
          <w:szCs w:val="24"/>
        </w:rPr>
        <w:t>85</w:t>
      </w:r>
      <w:r w:rsidR="00837111" w:rsidRPr="003A1D53">
        <w:rPr>
          <w:rFonts w:ascii="Times New Roman" w:hAnsi="Times New Roman"/>
          <w:sz w:val="24"/>
          <w:szCs w:val="24"/>
        </w:rPr>
        <w:t>.</w:t>
      </w:r>
      <w:r w:rsidR="00F02379" w:rsidRPr="003A1D53">
        <w:rPr>
          <w:rFonts w:ascii="Times New Roman" w:hAnsi="Times New Roman"/>
          <w:sz w:val="24"/>
          <w:szCs w:val="24"/>
        </w:rPr>
        <w:tab/>
        <w:t xml:space="preserve">Reste alors les ressources mobilisées conjointement, dans le cadre d’une stratégie </w:t>
      </w:r>
      <w:r w:rsidR="00964461" w:rsidRPr="003A1D53">
        <w:rPr>
          <w:rFonts w:ascii="Times New Roman" w:hAnsi="Times New Roman"/>
          <w:sz w:val="24"/>
          <w:szCs w:val="24"/>
        </w:rPr>
        <w:t>partagée</w:t>
      </w:r>
      <w:r w:rsidR="00F02379" w:rsidRPr="003A1D53">
        <w:rPr>
          <w:rFonts w:ascii="Times New Roman" w:hAnsi="Times New Roman"/>
          <w:sz w:val="24"/>
          <w:szCs w:val="24"/>
        </w:rPr>
        <w:t xml:space="preserve">, comme celle </w:t>
      </w:r>
      <w:r w:rsidR="00935A68" w:rsidRPr="003A1D53">
        <w:rPr>
          <w:rFonts w:ascii="Times New Roman" w:hAnsi="Times New Roman"/>
          <w:sz w:val="24"/>
          <w:szCs w:val="24"/>
        </w:rPr>
        <w:t>qui vient d’être dé</w:t>
      </w:r>
      <w:r w:rsidR="00F02379" w:rsidRPr="003A1D53">
        <w:rPr>
          <w:rFonts w:ascii="Times New Roman" w:hAnsi="Times New Roman"/>
          <w:sz w:val="24"/>
          <w:szCs w:val="24"/>
        </w:rPr>
        <w:t>veloppée en direction d</w:t>
      </w:r>
      <w:r w:rsidR="00935A68" w:rsidRPr="003A1D53">
        <w:rPr>
          <w:rFonts w:ascii="Times New Roman" w:hAnsi="Times New Roman"/>
          <w:sz w:val="24"/>
          <w:szCs w:val="24"/>
        </w:rPr>
        <w:t>’</w:t>
      </w:r>
      <w:r w:rsidR="00F02379" w:rsidRPr="003A1D53">
        <w:rPr>
          <w:rFonts w:ascii="Times New Roman" w:hAnsi="Times New Roman"/>
          <w:sz w:val="24"/>
          <w:szCs w:val="24"/>
        </w:rPr>
        <w:t>u</w:t>
      </w:r>
      <w:r w:rsidR="00935A68" w:rsidRPr="003A1D53">
        <w:rPr>
          <w:rFonts w:ascii="Times New Roman" w:hAnsi="Times New Roman"/>
          <w:sz w:val="24"/>
          <w:szCs w:val="24"/>
        </w:rPr>
        <w:t>n nouveau c</w:t>
      </w:r>
      <w:r w:rsidR="00F02379" w:rsidRPr="003A1D53">
        <w:rPr>
          <w:rFonts w:ascii="Times New Roman" w:hAnsi="Times New Roman"/>
          <w:sz w:val="24"/>
          <w:szCs w:val="24"/>
        </w:rPr>
        <w:t xml:space="preserve">ycle </w:t>
      </w:r>
      <w:r w:rsidR="00935A68" w:rsidRPr="003A1D53">
        <w:rPr>
          <w:rFonts w:ascii="Times New Roman" w:hAnsi="Times New Roman"/>
          <w:sz w:val="24"/>
          <w:szCs w:val="24"/>
        </w:rPr>
        <w:t xml:space="preserve">de programme, étant donné que pour ce qui reste du cycle en cours, les partenaires ont sans doute </w:t>
      </w:r>
      <w:r w:rsidR="00935A68" w:rsidRPr="003A1D53">
        <w:rPr>
          <w:rFonts w:ascii="Times New Roman" w:hAnsi="Times New Roman"/>
          <w:sz w:val="24"/>
          <w:szCs w:val="24"/>
        </w:rPr>
        <w:lastRenderedPageBreak/>
        <w:t>distribué une bonne partie de leur programmation financière entre les agences et la Mission</w:t>
      </w:r>
      <w:r w:rsidR="00F02379" w:rsidRPr="003A1D53">
        <w:rPr>
          <w:rFonts w:ascii="Times New Roman" w:hAnsi="Times New Roman"/>
          <w:sz w:val="24"/>
          <w:szCs w:val="24"/>
        </w:rPr>
        <w:t xml:space="preserve">. Or là aussi, le problème du ciblage des ressources ne tarde pas à </w:t>
      </w:r>
      <w:r w:rsidR="000E638B" w:rsidRPr="003A1D53">
        <w:rPr>
          <w:rFonts w:ascii="Times New Roman" w:hAnsi="Times New Roman"/>
          <w:sz w:val="24"/>
          <w:szCs w:val="24"/>
        </w:rPr>
        <w:t>apparaître. Le fait est que mis</w:t>
      </w:r>
      <w:r w:rsidR="00F02379" w:rsidRPr="003A1D53">
        <w:rPr>
          <w:rFonts w:ascii="Times New Roman" w:hAnsi="Times New Roman"/>
          <w:sz w:val="24"/>
          <w:szCs w:val="24"/>
        </w:rPr>
        <w:t xml:space="preserve"> à part quelques sources de financement internes </w:t>
      </w:r>
      <w:r w:rsidR="00935A68" w:rsidRPr="003A1D53">
        <w:rPr>
          <w:rFonts w:ascii="Times New Roman" w:hAnsi="Times New Roman"/>
          <w:sz w:val="24"/>
          <w:szCs w:val="24"/>
        </w:rPr>
        <w:t xml:space="preserve">au Système comme les fonds PBF, </w:t>
      </w:r>
      <w:r w:rsidR="00F02379" w:rsidRPr="003A1D53">
        <w:rPr>
          <w:rFonts w:ascii="Times New Roman" w:hAnsi="Times New Roman"/>
          <w:sz w:val="24"/>
          <w:szCs w:val="24"/>
        </w:rPr>
        <w:t xml:space="preserve">les donateurs ciblent traditionnellement leurs ressources. Eux aussi font des exercices de planification et déterminent à l’avance à quoi et où </w:t>
      </w:r>
      <w:r w:rsidR="00964461" w:rsidRPr="003A1D53">
        <w:rPr>
          <w:rFonts w:ascii="Times New Roman" w:hAnsi="Times New Roman"/>
          <w:sz w:val="24"/>
          <w:szCs w:val="24"/>
        </w:rPr>
        <w:t>doivent aller leurs</w:t>
      </w:r>
      <w:r w:rsidR="00F02379" w:rsidRPr="003A1D53">
        <w:rPr>
          <w:rFonts w:ascii="Times New Roman" w:hAnsi="Times New Roman"/>
          <w:sz w:val="24"/>
          <w:szCs w:val="24"/>
        </w:rPr>
        <w:t xml:space="preserve"> concours, aussi bien substantivement que géographiquement. Pour espérer capter ces ressources, le Système ne peut qu’en approcher les sources avec </w:t>
      </w:r>
      <w:r w:rsidR="00775E11" w:rsidRPr="003A1D53">
        <w:rPr>
          <w:rFonts w:ascii="Times New Roman" w:hAnsi="Times New Roman"/>
          <w:sz w:val="24"/>
          <w:szCs w:val="24"/>
        </w:rPr>
        <w:t xml:space="preserve">les entités ayant les métiers et la concentration géographique appropriés pour </w:t>
      </w:r>
      <w:r w:rsidR="000E638B" w:rsidRPr="003A1D53">
        <w:rPr>
          <w:rFonts w:ascii="Times New Roman" w:hAnsi="Times New Roman"/>
          <w:sz w:val="24"/>
          <w:szCs w:val="24"/>
        </w:rPr>
        <w:t>ces ressources</w:t>
      </w:r>
      <w:r w:rsidR="00F02379" w:rsidRPr="003A1D53">
        <w:rPr>
          <w:rFonts w:ascii="Times New Roman" w:hAnsi="Times New Roman"/>
          <w:sz w:val="24"/>
          <w:szCs w:val="24"/>
        </w:rPr>
        <w:t xml:space="preserve">. Ceci revient à dire que même les ressources mobilisées via la Coordination </w:t>
      </w:r>
      <w:r w:rsidR="00775E11" w:rsidRPr="003A1D53">
        <w:rPr>
          <w:rFonts w:ascii="Times New Roman" w:hAnsi="Times New Roman"/>
          <w:sz w:val="24"/>
          <w:szCs w:val="24"/>
        </w:rPr>
        <w:t xml:space="preserve">dans le cadre de la Stratégie conjointe, </w:t>
      </w:r>
      <w:r w:rsidR="00F02379" w:rsidRPr="003A1D53">
        <w:rPr>
          <w:rFonts w:ascii="Times New Roman" w:hAnsi="Times New Roman"/>
          <w:sz w:val="24"/>
          <w:szCs w:val="24"/>
        </w:rPr>
        <w:t xml:space="preserve">seraient thématisées en grande partie, par leurs donateurs eux-mêmes, et donc, in fine, référées pour leur mise en œuvre à des </w:t>
      </w:r>
      <w:r w:rsidR="00775E11" w:rsidRPr="003A1D53">
        <w:rPr>
          <w:rFonts w:ascii="Times New Roman" w:hAnsi="Times New Roman"/>
          <w:sz w:val="24"/>
          <w:szCs w:val="24"/>
        </w:rPr>
        <w:t xml:space="preserve">entités </w:t>
      </w:r>
      <w:r w:rsidR="00F02379" w:rsidRPr="003A1D53">
        <w:rPr>
          <w:rFonts w:ascii="Times New Roman" w:hAnsi="Times New Roman"/>
          <w:sz w:val="24"/>
          <w:szCs w:val="24"/>
        </w:rPr>
        <w:t xml:space="preserve">bien </w:t>
      </w:r>
      <w:r w:rsidR="00775E11" w:rsidRPr="003A1D53">
        <w:rPr>
          <w:rFonts w:ascii="Times New Roman" w:hAnsi="Times New Roman"/>
          <w:sz w:val="24"/>
          <w:szCs w:val="24"/>
        </w:rPr>
        <w:t>spécifiques</w:t>
      </w:r>
      <w:r w:rsidR="00F02379" w:rsidRPr="003A1D53">
        <w:rPr>
          <w:rFonts w:ascii="Times New Roman" w:hAnsi="Times New Roman"/>
          <w:sz w:val="24"/>
          <w:szCs w:val="24"/>
        </w:rPr>
        <w:t>.</w:t>
      </w:r>
    </w:p>
    <w:p w14:paraId="604B532B" w14:textId="77777777" w:rsidR="00775E11" w:rsidRPr="003A1D53" w:rsidRDefault="00775E11" w:rsidP="005B22B2">
      <w:pPr>
        <w:spacing w:after="0" w:line="240" w:lineRule="auto"/>
        <w:jc w:val="both"/>
        <w:rPr>
          <w:rFonts w:ascii="Times New Roman" w:hAnsi="Times New Roman"/>
          <w:sz w:val="24"/>
          <w:szCs w:val="24"/>
        </w:rPr>
      </w:pPr>
    </w:p>
    <w:p w14:paraId="604B532C" w14:textId="77777777" w:rsidR="00F02379"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186.</w:t>
      </w:r>
      <w:r w:rsidR="00F02379" w:rsidRPr="003A1D53">
        <w:rPr>
          <w:rFonts w:ascii="Times New Roman" w:hAnsi="Times New Roman"/>
          <w:sz w:val="24"/>
          <w:szCs w:val="24"/>
        </w:rPr>
        <w:t xml:space="preserve"> </w:t>
      </w:r>
      <w:r w:rsidR="00F02379" w:rsidRPr="003A1D53">
        <w:rPr>
          <w:rFonts w:ascii="Times New Roman" w:hAnsi="Times New Roman"/>
          <w:sz w:val="24"/>
          <w:szCs w:val="24"/>
        </w:rPr>
        <w:tab/>
      </w:r>
      <w:r w:rsidR="00775E11" w:rsidRPr="003A1D53">
        <w:rPr>
          <w:rFonts w:ascii="Times New Roman" w:hAnsi="Times New Roman"/>
          <w:sz w:val="24"/>
          <w:szCs w:val="24"/>
        </w:rPr>
        <w:t xml:space="preserve">Enfin, s’agissant des </w:t>
      </w:r>
      <w:r w:rsidR="00F02379" w:rsidRPr="003A1D53">
        <w:rPr>
          <w:rFonts w:ascii="Times New Roman" w:hAnsi="Times New Roman"/>
          <w:sz w:val="24"/>
          <w:szCs w:val="24"/>
        </w:rPr>
        <w:t>fonds systémiques ou catalytiques</w:t>
      </w:r>
      <w:r w:rsidR="00574525" w:rsidRPr="003A1D53">
        <w:rPr>
          <w:rFonts w:ascii="Times New Roman" w:hAnsi="Times New Roman"/>
          <w:sz w:val="24"/>
          <w:szCs w:val="24"/>
        </w:rPr>
        <w:t>, type "Peace Building Fund",</w:t>
      </w:r>
      <w:r w:rsidR="00F02379" w:rsidRPr="003A1D53">
        <w:rPr>
          <w:rFonts w:ascii="Times New Roman" w:hAnsi="Times New Roman"/>
          <w:sz w:val="24"/>
          <w:szCs w:val="24"/>
        </w:rPr>
        <w:t xml:space="preserve"> évoqués ci-dessus, l’expérience montre que leur répartition entre les agences est toujours un exercice délicat. Leur limite en termes de stock fait aussi qu’après répartition</w:t>
      </w:r>
      <w:r w:rsidR="000E638B" w:rsidRPr="003A1D53">
        <w:rPr>
          <w:rFonts w:ascii="Times New Roman" w:hAnsi="Times New Roman"/>
          <w:sz w:val="24"/>
          <w:szCs w:val="24"/>
        </w:rPr>
        <w:t>,</w:t>
      </w:r>
      <w:r w:rsidR="00F02379" w:rsidRPr="003A1D53">
        <w:rPr>
          <w:rFonts w:ascii="Times New Roman" w:hAnsi="Times New Roman"/>
          <w:sz w:val="24"/>
          <w:szCs w:val="24"/>
        </w:rPr>
        <w:t xml:space="preserve"> les </w:t>
      </w:r>
      <w:r w:rsidR="00574525" w:rsidRPr="003A1D53">
        <w:rPr>
          <w:rFonts w:ascii="Times New Roman" w:hAnsi="Times New Roman"/>
          <w:sz w:val="24"/>
          <w:szCs w:val="24"/>
        </w:rPr>
        <w:t xml:space="preserve">entités </w:t>
      </w:r>
      <w:r w:rsidR="00F02379" w:rsidRPr="003A1D53">
        <w:rPr>
          <w:rFonts w:ascii="Times New Roman" w:hAnsi="Times New Roman"/>
          <w:sz w:val="24"/>
          <w:szCs w:val="24"/>
        </w:rPr>
        <w:t>bénéficiaires se retrouvent généralement avec des montants relativement modestes.</w:t>
      </w:r>
      <w:r w:rsidR="00574525" w:rsidRPr="003A1D53">
        <w:rPr>
          <w:rFonts w:ascii="Times New Roman" w:hAnsi="Times New Roman"/>
          <w:sz w:val="24"/>
          <w:szCs w:val="24"/>
        </w:rPr>
        <w:t xml:space="preserve"> Au total, bien que se tenant jusqu’ici en dehors du principe de mise en commun des ressources de son programme, le Système au Mali sera de plus en plus interpelé à cet égard, d’autant plus rapidement d’ailleurs que la Réforme du Secrétaire Général inclut cette problématique dans son agenda de consolidation de la Coordination Résidente.</w:t>
      </w:r>
    </w:p>
    <w:p w14:paraId="604B532D" w14:textId="77777777" w:rsidR="00F02379" w:rsidRPr="003A1D53" w:rsidRDefault="00F02379" w:rsidP="005B22B2">
      <w:pPr>
        <w:spacing w:after="0" w:line="240" w:lineRule="auto"/>
        <w:jc w:val="both"/>
        <w:rPr>
          <w:rFonts w:ascii="Times New Roman" w:hAnsi="Times New Roman"/>
          <w:sz w:val="24"/>
          <w:szCs w:val="24"/>
        </w:rPr>
      </w:pPr>
    </w:p>
    <w:p w14:paraId="604B532E" w14:textId="77777777" w:rsidR="00F02379" w:rsidRPr="003A1D53" w:rsidRDefault="00F02379" w:rsidP="005B22B2">
      <w:pPr>
        <w:spacing w:after="0" w:line="240" w:lineRule="auto"/>
        <w:jc w:val="both"/>
        <w:rPr>
          <w:rFonts w:ascii="Times New Roman" w:hAnsi="Times New Roman"/>
          <w:b/>
          <w:sz w:val="24"/>
          <w:szCs w:val="24"/>
        </w:rPr>
      </w:pPr>
      <w:r w:rsidRPr="003A1D53">
        <w:rPr>
          <w:rFonts w:ascii="Times New Roman" w:hAnsi="Times New Roman"/>
          <w:b/>
          <w:sz w:val="24"/>
          <w:szCs w:val="24"/>
        </w:rPr>
        <w:tab/>
      </w:r>
      <w:r w:rsidR="00B36C02" w:rsidRPr="003A1D53">
        <w:rPr>
          <w:rFonts w:ascii="Times New Roman" w:hAnsi="Times New Roman"/>
          <w:b/>
          <w:sz w:val="24"/>
          <w:szCs w:val="24"/>
        </w:rPr>
        <w:t>C</w:t>
      </w:r>
      <w:r w:rsidRPr="003A1D53">
        <w:rPr>
          <w:rFonts w:ascii="Times New Roman" w:hAnsi="Times New Roman"/>
          <w:b/>
          <w:sz w:val="24"/>
          <w:szCs w:val="24"/>
        </w:rPr>
        <w:t>oordination</w:t>
      </w:r>
      <w:r w:rsidR="00700045" w:rsidRPr="003A1D53">
        <w:rPr>
          <w:rFonts w:ascii="Times New Roman" w:hAnsi="Times New Roman"/>
          <w:b/>
          <w:sz w:val="24"/>
          <w:szCs w:val="24"/>
        </w:rPr>
        <w:t xml:space="preserve">, </w:t>
      </w:r>
      <w:r w:rsidR="00DE76F5" w:rsidRPr="003A1D53">
        <w:rPr>
          <w:rFonts w:ascii="Times New Roman" w:hAnsi="Times New Roman"/>
          <w:b/>
          <w:sz w:val="24"/>
          <w:szCs w:val="24"/>
        </w:rPr>
        <w:t>suivi-évaluation</w:t>
      </w:r>
      <w:r w:rsidR="00587651" w:rsidRPr="003A1D53">
        <w:rPr>
          <w:rFonts w:ascii="Times New Roman" w:hAnsi="Times New Roman"/>
          <w:b/>
          <w:sz w:val="24"/>
          <w:szCs w:val="24"/>
        </w:rPr>
        <w:t xml:space="preserve"> et co</w:t>
      </w:r>
      <w:r w:rsidR="00700045" w:rsidRPr="003A1D53">
        <w:rPr>
          <w:rFonts w:ascii="Times New Roman" w:hAnsi="Times New Roman"/>
          <w:b/>
          <w:sz w:val="24"/>
          <w:szCs w:val="24"/>
        </w:rPr>
        <w:t>m</w:t>
      </w:r>
      <w:r w:rsidR="00587651" w:rsidRPr="003A1D53">
        <w:rPr>
          <w:rFonts w:ascii="Times New Roman" w:hAnsi="Times New Roman"/>
          <w:b/>
          <w:sz w:val="24"/>
          <w:szCs w:val="24"/>
        </w:rPr>
        <w:t>m</w:t>
      </w:r>
      <w:r w:rsidR="00700045" w:rsidRPr="003A1D53">
        <w:rPr>
          <w:rFonts w:ascii="Times New Roman" w:hAnsi="Times New Roman"/>
          <w:b/>
          <w:sz w:val="24"/>
          <w:szCs w:val="24"/>
        </w:rPr>
        <w:t>unication</w:t>
      </w:r>
    </w:p>
    <w:p w14:paraId="604B532F" w14:textId="77777777" w:rsidR="00F02379" w:rsidRPr="003A1D53" w:rsidRDefault="00F02379" w:rsidP="005B22B2">
      <w:pPr>
        <w:spacing w:after="0" w:line="240" w:lineRule="auto"/>
        <w:jc w:val="both"/>
        <w:rPr>
          <w:rFonts w:ascii="Times New Roman" w:hAnsi="Times New Roman"/>
          <w:sz w:val="24"/>
          <w:szCs w:val="24"/>
        </w:rPr>
      </w:pPr>
    </w:p>
    <w:p w14:paraId="604B5330" w14:textId="77777777" w:rsidR="00B36C02" w:rsidRPr="003A1D53" w:rsidRDefault="0015327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A4083F" w:rsidRPr="003A1D53">
        <w:rPr>
          <w:rFonts w:ascii="Times New Roman" w:hAnsi="Times New Roman"/>
          <w:sz w:val="24"/>
          <w:szCs w:val="24"/>
        </w:rPr>
        <w:t>87</w:t>
      </w:r>
      <w:r w:rsidR="00837111" w:rsidRPr="003A1D53">
        <w:rPr>
          <w:rFonts w:ascii="Times New Roman" w:hAnsi="Times New Roman"/>
          <w:sz w:val="24"/>
          <w:szCs w:val="24"/>
        </w:rPr>
        <w:t>.</w:t>
      </w:r>
      <w:r w:rsidR="00F02379" w:rsidRPr="003A1D53">
        <w:rPr>
          <w:rFonts w:ascii="Times New Roman" w:hAnsi="Times New Roman"/>
          <w:sz w:val="24"/>
          <w:szCs w:val="24"/>
        </w:rPr>
        <w:tab/>
        <w:t xml:space="preserve">Le Système a déployé des cadres coordination et d’animation en son sein et avec les autres partenaires techniques et financiers, ainsi que des interfaces avec la partie nationale. A l’interne, les agences se retrouvent dans des groupes de </w:t>
      </w:r>
      <w:r w:rsidR="00935A68" w:rsidRPr="003A1D53">
        <w:rPr>
          <w:rFonts w:ascii="Times New Roman" w:hAnsi="Times New Roman"/>
          <w:sz w:val="24"/>
          <w:szCs w:val="24"/>
        </w:rPr>
        <w:t xml:space="preserve">résultat </w:t>
      </w:r>
      <w:r w:rsidR="00F02379" w:rsidRPr="003A1D53">
        <w:rPr>
          <w:rFonts w:ascii="Times New Roman" w:hAnsi="Times New Roman"/>
          <w:sz w:val="24"/>
          <w:szCs w:val="24"/>
        </w:rPr>
        <w:t xml:space="preserve">substantifs articulés sur les </w:t>
      </w:r>
      <w:r w:rsidR="00935A68" w:rsidRPr="003A1D53">
        <w:rPr>
          <w:rFonts w:ascii="Times New Roman" w:hAnsi="Times New Roman"/>
          <w:sz w:val="24"/>
          <w:szCs w:val="24"/>
        </w:rPr>
        <w:t xml:space="preserve">axes et </w:t>
      </w:r>
      <w:r w:rsidR="00F02379" w:rsidRPr="003A1D53">
        <w:rPr>
          <w:rFonts w:ascii="Times New Roman" w:hAnsi="Times New Roman"/>
          <w:sz w:val="24"/>
          <w:szCs w:val="24"/>
        </w:rPr>
        <w:t>effets de l’UNDAF</w:t>
      </w:r>
      <w:r w:rsidR="00B36C02" w:rsidRPr="003A1D53">
        <w:rPr>
          <w:rFonts w:ascii="Times New Roman" w:hAnsi="Times New Roman"/>
          <w:sz w:val="24"/>
          <w:szCs w:val="24"/>
          <w:vertAlign w:val="superscript"/>
        </w:rPr>
        <w:t>+</w:t>
      </w:r>
      <w:r w:rsidR="00F02379" w:rsidRPr="003A1D53">
        <w:rPr>
          <w:rFonts w:ascii="Times New Roman" w:hAnsi="Times New Roman"/>
          <w:sz w:val="24"/>
          <w:szCs w:val="24"/>
        </w:rPr>
        <w:t xml:space="preserve">, et des groupes d’appui technique comme la Communication et le Suivi-Evaluation. Ces cadres sont en droit les espaces de partage et de mise en commun à toutes les étapes de la vie du programme.  Ils </w:t>
      </w:r>
      <w:r w:rsidR="00935A68" w:rsidRPr="003A1D53">
        <w:rPr>
          <w:rFonts w:ascii="Times New Roman" w:hAnsi="Times New Roman"/>
          <w:sz w:val="24"/>
          <w:szCs w:val="24"/>
        </w:rPr>
        <w:t>concourent à</w:t>
      </w:r>
      <w:r w:rsidR="00F02379" w:rsidRPr="003A1D53">
        <w:rPr>
          <w:rFonts w:ascii="Times New Roman" w:hAnsi="Times New Roman"/>
          <w:sz w:val="24"/>
          <w:szCs w:val="24"/>
        </w:rPr>
        <w:t xml:space="preserve"> construire toutes cohérences utiles entre les </w:t>
      </w:r>
      <w:r w:rsidR="00B36C02" w:rsidRPr="003A1D53">
        <w:rPr>
          <w:rFonts w:ascii="Times New Roman" w:hAnsi="Times New Roman"/>
          <w:sz w:val="24"/>
          <w:szCs w:val="24"/>
        </w:rPr>
        <w:t>entités</w:t>
      </w:r>
      <w:r w:rsidR="00F02379" w:rsidRPr="003A1D53">
        <w:rPr>
          <w:rFonts w:ascii="Times New Roman" w:hAnsi="Times New Roman"/>
          <w:sz w:val="24"/>
          <w:szCs w:val="24"/>
        </w:rPr>
        <w:t>, après avoir donné la visibilité sur ce que font les uns et les autres.</w:t>
      </w:r>
      <w:r w:rsidR="00DE76F5" w:rsidRPr="003A1D53">
        <w:rPr>
          <w:rFonts w:ascii="Times New Roman" w:hAnsi="Times New Roman"/>
          <w:sz w:val="24"/>
          <w:szCs w:val="24"/>
        </w:rPr>
        <w:t xml:space="preserve"> </w:t>
      </w:r>
      <w:r w:rsidR="00F02379" w:rsidRPr="003A1D53">
        <w:rPr>
          <w:rFonts w:ascii="Times New Roman" w:hAnsi="Times New Roman"/>
          <w:sz w:val="24"/>
          <w:szCs w:val="24"/>
        </w:rPr>
        <w:t>Dans le cadre du cycle 201</w:t>
      </w:r>
      <w:r w:rsidR="00935A68" w:rsidRPr="003A1D53">
        <w:rPr>
          <w:rFonts w:ascii="Times New Roman" w:hAnsi="Times New Roman"/>
          <w:sz w:val="24"/>
          <w:szCs w:val="24"/>
        </w:rPr>
        <w:t>5</w:t>
      </w:r>
      <w:r w:rsidR="00F02379" w:rsidRPr="003A1D53">
        <w:rPr>
          <w:rFonts w:ascii="Times New Roman" w:hAnsi="Times New Roman"/>
          <w:sz w:val="24"/>
          <w:szCs w:val="24"/>
        </w:rPr>
        <w:t>-201</w:t>
      </w:r>
      <w:r w:rsidR="00DE76F5" w:rsidRPr="003A1D53">
        <w:rPr>
          <w:rFonts w:ascii="Times New Roman" w:hAnsi="Times New Roman"/>
          <w:sz w:val="24"/>
          <w:szCs w:val="24"/>
        </w:rPr>
        <w:t>9</w:t>
      </w:r>
      <w:r w:rsidR="00F02379" w:rsidRPr="003A1D53">
        <w:rPr>
          <w:rFonts w:ascii="Times New Roman" w:hAnsi="Times New Roman"/>
          <w:sz w:val="24"/>
          <w:szCs w:val="24"/>
        </w:rPr>
        <w:t xml:space="preserve">, les acteurs rencontrés </w:t>
      </w:r>
      <w:r w:rsidR="00B36C02" w:rsidRPr="003A1D53">
        <w:rPr>
          <w:rFonts w:ascii="Times New Roman" w:hAnsi="Times New Roman"/>
          <w:sz w:val="24"/>
          <w:szCs w:val="24"/>
        </w:rPr>
        <w:t>font connaître</w:t>
      </w:r>
      <w:r w:rsidR="00F02379" w:rsidRPr="003A1D53">
        <w:rPr>
          <w:rFonts w:ascii="Times New Roman" w:hAnsi="Times New Roman"/>
          <w:sz w:val="24"/>
          <w:szCs w:val="24"/>
        </w:rPr>
        <w:t xml:space="preserve"> que ces cadres internes au programme </w:t>
      </w:r>
      <w:r w:rsidR="00DE76F5" w:rsidRPr="003A1D53">
        <w:rPr>
          <w:rFonts w:ascii="Times New Roman" w:hAnsi="Times New Roman"/>
          <w:sz w:val="24"/>
          <w:szCs w:val="24"/>
        </w:rPr>
        <w:t xml:space="preserve">fonctionnent </w:t>
      </w:r>
      <w:r w:rsidR="00F02379" w:rsidRPr="003A1D53">
        <w:rPr>
          <w:rFonts w:ascii="Times New Roman" w:hAnsi="Times New Roman"/>
          <w:sz w:val="24"/>
          <w:szCs w:val="24"/>
        </w:rPr>
        <w:t xml:space="preserve">globalement bien </w:t>
      </w:r>
      <w:r w:rsidR="00DE76F5" w:rsidRPr="003A1D53">
        <w:rPr>
          <w:rFonts w:ascii="Times New Roman" w:hAnsi="Times New Roman"/>
          <w:sz w:val="24"/>
          <w:szCs w:val="24"/>
        </w:rPr>
        <w:t xml:space="preserve">à l’échelle du système. </w:t>
      </w:r>
    </w:p>
    <w:p w14:paraId="604B5331" w14:textId="77777777" w:rsidR="00B36C02" w:rsidRPr="003A1D53" w:rsidRDefault="00B36C02" w:rsidP="005B22B2">
      <w:pPr>
        <w:spacing w:after="0" w:line="240" w:lineRule="auto"/>
        <w:jc w:val="both"/>
        <w:rPr>
          <w:rFonts w:ascii="Times New Roman" w:hAnsi="Times New Roman"/>
          <w:sz w:val="24"/>
          <w:szCs w:val="24"/>
        </w:rPr>
      </w:pPr>
    </w:p>
    <w:p w14:paraId="604B5332" w14:textId="77777777" w:rsidR="00625AE8" w:rsidRPr="003A1D53" w:rsidRDefault="00837111"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A4083F" w:rsidRPr="003A1D53">
        <w:rPr>
          <w:rFonts w:ascii="Times New Roman" w:hAnsi="Times New Roman"/>
          <w:sz w:val="24"/>
          <w:szCs w:val="24"/>
        </w:rPr>
        <w:t>88</w:t>
      </w:r>
      <w:r w:rsidRPr="003A1D53">
        <w:rPr>
          <w:rFonts w:ascii="Times New Roman" w:hAnsi="Times New Roman"/>
          <w:sz w:val="24"/>
          <w:szCs w:val="24"/>
        </w:rPr>
        <w:t>.</w:t>
      </w:r>
      <w:r w:rsidR="00F02379" w:rsidRPr="003A1D53">
        <w:rPr>
          <w:rFonts w:ascii="Times New Roman" w:hAnsi="Times New Roman"/>
          <w:sz w:val="24"/>
          <w:szCs w:val="24"/>
        </w:rPr>
        <w:tab/>
        <w:t>Du côté de la partie</w:t>
      </w:r>
      <w:r w:rsidR="00A96E17" w:rsidRPr="003A1D53">
        <w:rPr>
          <w:rFonts w:ascii="Times New Roman" w:hAnsi="Times New Roman"/>
          <w:sz w:val="24"/>
          <w:szCs w:val="24"/>
        </w:rPr>
        <w:t xml:space="preserve"> nationale, la coordination </w:t>
      </w:r>
      <w:r w:rsidR="00E22565" w:rsidRPr="003A1D53">
        <w:rPr>
          <w:rFonts w:ascii="Times New Roman" w:hAnsi="Times New Roman"/>
          <w:sz w:val="24"/>
          <w:szCs w:val="24"/>
        </w:rPr>
        <w:t>est encore en phase de construction. D</w:t>
      </w:r>
      <w:r w:rsidR="00A96E17" w:rsidRPr="003A1D53">
        <w:rPr>
          <w:rFonts w:ascii="Times New Roman" w:hAnsi="Times New Roman"/>
          <w:sz w:val="24"/>
          <w:szCs w:val="24"/>
        </w:rPr>
        <w:t>ernièrement</w:t>
      </w:r>
      <w:r w:rsidR="00E22565" w:rsidRPr="003A1D53">
        <w:rPr>
          <w:rFonts w:ascii="Times New Roman" w:hAnsi="Times New Roman"/>
          <w:sz w:val="24"/>
          <w:szCs w:val="24"/>
        </w:rPr>
        <w:t>, courant 2017, d</w:t>
      </w:r>
      <w:r w:rsidR="00A96E17" w:rsidRPr="003A1D53">
        <w:rPr>
          <w:rFonts w:ascii="Times New Roman" w:hAnsi="Times New Roman"/>
          <w:sz w:val="24"/>
          <w:szCs w:val="24"/>
        </w:rPr>
        <w:t xml:space="preserve">es points focaux </w:t>
      </w:r>
      <w:r w:rsidR="00C04145" w:rsidRPr="003A1D53">
        <w:rPr>
          <w:rFonts w:ascii="Times New Roman" w:hAnsi="Times New Roman"/>
          <w:sz w:val="24"/>
          <w:szCs w:val="24"/>
        </w:rPr>
        <w:t xml:space="preserve">pour les </w:t>
      </w:r>
      <w:r w:rsidR="00A96E17" w:rsidRPr="003A1D53">
        <w:rPr>
          <w:rFonts w:ascii="Times New Roman" w:hAnsi="Times New Roman"/>
          <w:sz w:val="24"/>
          <w:szCs w:val="24"/>
        </w:rPr>
        <w:t xml:space="preserve">groupes de résultats ont été institués et ancrés au sein du Ministère de l’Economie et des Finances et </w:t>
      </w:r>
      <w:r w:rsidR="00C04145" w:rsidRPr="003A1D53">
        <w:rPr>
          <w:rFonts w:ascii="Times New Roman" w:hAnsi="Times New Roman"/>
          <w:sz w:val="24"/>
          <w:szCs w:val="24"/>
        </w:rPr>
        <w:t xml:space="preserve">de </w:t>
      </w:r>
      <w:r w:rsidR="00A96E17" w:rsidRPr="003A1D53">
        <w:rPr>
          <w:rFonts w:ascii="Times New Roman" w:hAnsi="Times New Roman"/>
          <w:sz w:val="24"/>
          <w:szCs w:val="24"/>
        </w:rPr>
        <w:t>trois autres départements sectoriels. L’expérience du système en matière de coordination interne a du reste été sollicitée pour structurer l’animation de cette innovation au sein de l</w:t>
      </w:r>
      <w:r w:rsidR="00C04145" w:rsidRPr="003A1D53">
        <w:rPr>
          <w:rFonts w:ascii="Times New Roman" w:hAnsi="Times New Roman"/>
          <w:sz w:val="24"/>
          <w:szCs w:val="24"/>
        </w:rPr>
        <w:t>a partie nationale</w:t>
      </w:r>
      <w:r w:rsidR="00A96E17" w:rsidRPr="003A1D53">
        <w:rPr>
          <w:rFonts w:ascii="Times New Roman" w:hAnsi="Times New Roman"/>
          <w:sz w:val="24"/>
          <w:szCs w:val="24"/>
        </w:rPr>
        <w:t xml:space="preserve">. Ces points focaux recherchent encore leurs marques, et </w:t>
      </w:r>
      <w:r w:rsidR="00C04145" w:rsidRPr="003A1D53">
        <w:rPr>
          <w:rFonts w:ascii="Times New Roman" w:hAnsi="Times New Roman"/>
          <w:sz w:val="24"/>
          <w:szCs w:val="24"/>
        </w:rPr>
        <w:t xml:space="preserve">lorsqu’ils seront institutionnellement plus </w:t>
      </w:r>
      <w:r w:rsidR="006C7510" w:rsidRPr="003A1D53">
        <w:rPr>
          <w:rFonts w:ascii="Times New Roman" w:hAnsi="Times New Roman"/>
          <w:sz w:val="24"/>
          <w:szCs w:val="24"/>
        </w:rPr>
        <w:t>aguerris</w:t>
      </w:r>
      <w:r w:rsidR="00A96E17" w:rsidRPr="003A1D53">
        <w:rPr>
          <w:rFonts w:ascii="Times New Roman" w:hAnsi="Times New Roman"/>
          <w:sz w:val="24"/>
          <w:szCs w:val="24"/>
        </w:rPr>
        <w:t xml:space="preserve"> et parfaitement opérationnels, devraient favoriser l’appropriation du programme par la partie nationale. Au niveau institutionnel, l</w:t>
      </w:r>
      <w:r w:rsidR="00F02379" w:rsidRPr="003A1D53">
        <w:rPr>
          <w:rFonts w:ascii="Times New Roman" w:hAnsi="Times New Roman"/>
          <w:sz w:val="24"/>
          <w:szCs w:val="24"/>
        </w:rPr>
        <w:t>e Ministère chargé de</w:t>
      </w:r>
      <w:r w:rsidR="00A96E17" w:rsidRPr="003A1D53">
        <w:rPr>
          <w:rFonts w:ascii="Times New Roman" w:hAnsi="Times New Roman"/>
          <w:sz w:val="24"/>
          <w:szCs w:val="24"/>
        </w:rPr>
        <w:t xml:space="preserve">s Affaires Etrangères </w:t>
      </w:r>
      <w:r w:rsidR="00F02379" w:rsidRPr="003A1D53">
        <w:rPr>
          <w:rFonts w:ascii="Times New Roman" w:hAnsi="Times New Roman"/>
          <w:sz w:val="24"/>
          <w:szCs w:val="24"/>
        </w:rPr>
        <w:t>est le département qui gère l’interface de coopération avec le Système des Nations Unies, et devrait aussi coordonner l’insertion des autres entités nat</w:t>
      </w:r>
      <w:r w:rsidR="00625AE8" w:rsidRPr="003A1D53">
        <w:rPr>
          <w:rFonts w:ascii="Times New Roman" w:hAnsi="Times New Roman"/>
          <w:sz w:val="24"/>
          <w:szCs w:val="24"/>
        </w:rPr>
        <w:t>ionales dans cette coopération.</w:t>
      </w:r>
    </w:p>
    <w:p w14:paraId="604B5333" w14:textId="77777777" w:rsidR="00625AE8" w:rsidRPr="003A1D53" w:rsidRDefault="00625AE8" w:rsidP="005B22B2">
      <w:pPr>
        <w:spacing w:after="0" w:line="240" w:lineRule="auto"/>
        <w:jc w:val="both"/>
        <w:rPr>
          <w:rFonts w:ascii="Times New Roman" w:hAnsi="Times New Roman"/>
          <w:sz w:val="24"/>
          <w:szCs w:val="24"/>
        </w:rPr>
      </w:pPr>
    </w:p>
    <w:p w14:paraId="604B5334" w14:textId="77777777" w:rsidR="00A96E17"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189</w:t>
      </w:r>
      <w:r w:rsidR="0015327E" w:rsidRPr="003A1D53">
        <w:rPr>
          <w:rFonts w:ascii="Times New Roman" w:hAnsi="Times New Roman"/>
          <w:sz w:val="24"/>
          <w:szCs w:val="24"/>
        </w:rPr>
        <w:t>.</w:t>
      </w:r>
      <w:r w:rsidR="00625AE8" w:rsidRPr="003A1D53">
        <w:rPr>
          <w:rFonts w:ascii="Times New Roman" w:hAnsi="Times New Roman"/>
          <w:sz w:val="24"/>
          <w:szCs w:val="24"/>
        </w:rPr>
        <w:tab/>
        <w:t>D</w:t>
      </w:r>
      <w:r w:rsidR="00A96E17" w:rsidRPr="003A1D53">
        <w:rPr>
          <w:rFonts w:ascii="Times New Roman" w:hAnsi="Times New Roman"/>
          <w:sz w:val="24"/>
          <w:szCs w:val="24"/>
        </w:rPr>
        <w:t xml:space="preserve">e ce que la mission a observé il ressort qu’il n’y pas </w:t>
      </w:r>
      <w:r w:rsidR="00C04145" w:rsidRPr="003A1D53">
        <w:rPr>
          <w:rFonts w:ascii="Times New Roman" w:hAnsi="Times New Roman"/>
          <w:sz w:val="24"/>
          <w:szCs w:val="24"/>
        </w:rPr>
        <w:t xml:space="preserve">encore </w:t>
      </w:r>
      <w:r w:rsidR="00A96E17" w:rsidRPr="003A1D53">
        <w:rPr>
          <w:rFonts w:ascii="Times New Roman" w:hAnsi="Times New Roman"/>
          <w:sz w:val="24"/>
          <w:szCs w:val="24"/>
        </w:rPr>
        <w:t xml:space="preserve">suffisamment de coordination entre les différents interlocuteurs institutionnels nationaux, qui travaillent plus </w:t>
      </w:r>
      <w:r w:rsidR="00C04145" w:rsidRPr="003A1D53">
        <w:rPr>
          <w:rFonts w:ascii="Times New Roman" w:hAnsi="Times New Roman"/>
          <w:sz w:val="24"/>
          <w:szCs w:val="24"/>
        </w:rPr>
        <w:t xml:space="preserve">dans la </w:t>
      </w:r>
      <w:r w:rsidR="00A96E17" w:rsidRPr="003A1D53">
        <w:rPr>
          <w:rFonts w:ascii="Times New Roman" w:hAnsi="Times New Roman"/>
          <w:sz w:val="24"/>
          <w:szCs w:val="24"/>
        </w:rPr>
        <w:t>bilatéral</w:t>
      </w:r>
      <w:r w:rsidR="00C04145" w:rsidRPr="003A1D53">
        <w:rPr>
          <w:rFonts w:ascii="Times New Roman" w:hAnsi="Times New Roman"/>
          <w:sz w:val="24"/>
          <w:szCs w:val="24"/>
        </w:rPr>
        <w:t>ité</w:t>
      </w:r>
      <w:r w:rsidR="00A96E17" w:rsidRPr="003A1D53">
        <w:rPr>
          <w:rFonts w:ascii="Times New Roman" w:hAnsi="Times New Roman"/>
          <w:sz w:val="24"/>
          <w:szCs w:val="24"/>
        </w:rPr>
        <w:t xml:space="preserve"> avec les </w:t>
      </w:r>
      <w:r w:rsidR="00C04145" w:rsidRPr="003A1D53">
        <w:rPr>
          <w:rFonts w:ascii="Times New Roman" w:hAnsi="Times New Roman"/>
          <w:sz w:val="24"/>
          <w:szCs w:val="24"/>
        </w:rPr>
        <w:t>entités du Système</w:t>
      </w:r>
      <w:r w:rsidR="00A96E17" w:rsidRPr="003A1D53">
        <w:rPr>
          <w:rFonts w:ascii="Times New Roman" w:hAnsi="Times New Roman"/>
          <w:sz w:val="24"/>
          <w:szCs w:val="24"/>
        </w:rPr>
        <w:t>, malgré l’existence des groupes de résultats censés les réunir avec plusieurs agences. En fait l</w:t>
      </w:r>
      <w:r w:rsidR="00625AE8" w:rsidRPr="003A1D53">
        <w:rPr>
          <w:rFonts w:ascii="Times New Roman" w:hAnsi="Times New Roman"/>
          <w:sz w:val="24"/>
          <w:szCs w:val="24"/>
        </w:rPr>
        <w:t xml:space="preserve">a coordination nationale autour des Affaires étrangères manque de ressources dédiées pour fonctionner adéquatement. Dans ce contexte, d’autres centres d’influence institutionnelle font entendre leur voix, dans le sens de vouloir aussi assumer de la responsabilité dans la </w:t>
      </w:r>
      <w:r w:rsidR="006C7510" w:rsidRPr="003A1D53">
        <w:rPr>
          <w:rFonts w:ascii="Times New Roman" w:hAnsi="Times New Roman"/>
          <w:sz w:val="24"/>
          <w:szCs w:val="24"/>
        </w:rPr>
        <w:t>coordination</w:t>
      </w:r>
      <w:r w:rsidR="00625AE8" w:rsidRPr="003A1D53">
        <w:rPr>
          <w:rFonts w:ascii="Times New Roman" w:hAnsi="Times New Roman"/>
          <w:sz w:val="24"/>
          <w:szCs w:val="24"/>
        </w:rPr>
        <w:t xml:space="preserve"> de tout ou partie de la coopération avec </w:t>
      </w:r>
      <w:r w:rsidR="00625AE8" w:rsidRPr="003A1D53">
        <w:rPr>
          <w:rFonts w:ascii="Times New Roman" w:hAnsi="Times New Roman"/>
          <w:sz w:val="24"/>
          <w:szCs w:val="24"/>
        </w:rPr>
        <w:lastRenderedPageBreak/>
        <w:t>le système des nations Unies. C’est ainsi que</w:t>
      </w:r>
      <w:r w:rsidR="00C04145" w:rsidRPr="003A1D53">
        <w:rPr>
          <w:rFonts w:ascii="Times New Roman" w:hAnsi="Times New Roman"/>
          <w:sz w:val="24"/>
          <w:szCs w:val="24"/>
        </w:rPr>
        <w:t>, comme déjà évoqué,</w:t>
      </w:r>
      <w:r w:rsidR="00625AE8" w:rsidRPr="003A1D53">
        <w:rPr>
          <w:rFonts w:ascii="Times New Roman" w:hAnsi="Times New Roman"/>
          <w:sz w:val="24"/>
          <w:szCs w:val="24"/>
        </w:rPr>
        <w:t xml:space="preserve"> le processus de priorisation des ODD, bien qu’en cours, attend toujours un arbitrage de la Primature pour savoir quel département devrait en prendre ou conserver le leadership.</w:t>
      </w:r>
    </w:p>
    <w:p w14:paraId="604B5335" w14:textId="77777777" w:rsidR="00A96E17" w:rsidRPr="003A1D53" w:rsidRDefault="00A96E17" w:rsidP="005B22B2">
      <w:pPr>
        <w:spacing w:after="0" w:line="240" w:lineRule="auto"/>
        <w:jc w:val="both"/>
        <w:rPr>
          <w:rFonts w:ascii="Times New Roman" w:hAnsi="Times New Roman"/>
          <w:sz w:val="24"/>
          <w:szCs w:val="24"/>
        </w:rPr>
      </w:pPr>
    </w:p>
    <w:p w14:paraId="604B5336" w14:textId="77777777" w:rsidR="00E22565" w:rsidRPr="003A1D53" w:rsidRDefault="00A4083F" w:rsidP="00E22565">
      <w:pPr>
        <w:spacing w:after="0" w:line="240" w:lineRule="auto"/>
        <w:jc w:val="both"/>
        <w:rPr>
          <w:rFonts w:ascii="Times New Roman" w:hAnsi="Times New Roman"/>
          <w:sz w:val="24"/>
          <w:szCs w:val="24"/>
        </w:rPr>
      </w:pPr>
      <w:r w:rsidRPr="003A1D53">
        <w:rPr>
          <w:rFonts w:ascii="Times New Roman" w:hAnsi="Times New Roman"/>
          <w:sz w:val="24"/>
          <w:szCs w:val="24"/>
        </w:rPr>
        <w:t>19</w:t>
      </w:r>
      <w:r w:rsidR="00E22565" w:rsidRPr="003A1D53">
        <w:rPr>
          <w:rFonts w:ascii="Times New Roman" w:hAnsi="Times New Roman"/>
          <w:sz w:val="24"/>
          <w:szCs w:val="24"/>
        </w:rPr>
        <w:t>0.</w:t>
      </w:r>
      <w:r w:rsidR="00E22565" w:rsidRPr="003A1D53">
        <w:rPr>
          <w:rFonts w:ascii="Times New Roman" w:hAnsi="Times New Roman"/>
          <w:sz w:val="24"/>
          <w:szCs w:val="24"/>
        </w:rPr>
        <w:tab/>
        <w:t xml:space="preserve">La stratégie de suivi-évaluation se meut dans ce cadre. Les revues périodiques s’organisent : annuelles et à mi-parcours et en fin de cycle. Dans le fond la production de données de monitoring sur le programme se heurte à des difficultés réelles. Elles sont d’autant plus aigues qu’elles touchent aux interfaces avec le cadre national de production de données normalisées. Les données doivent être produites non pas par le programme exclusivement mais en partenariat avec le système statistique national du Mali. Or les périodicités dans lesquelles celui-ci collecte ses informations sont souvent assez distantes pour nombre d’enquêtes, empêchant la disponibilité de certaines informations à ces niveaux. </w:t>
      </w:r>
    </w:p>
    <w:p w14:paraId="604B5337" w14:textId="77777777" w:rsidR="00E22565" w:rsidRPr="003A1D53" w:rsidRDefault="00E22565" w:rsidP="00E22565">
      <w:pPr>
        <w:spacing w:after="0" w:line="240" w:lineRule="auto"/>
        <w:jc w:val="both"/>
        <w:rPr>
          <w:rFonts w:ascii="Times New Roman" w:hAnsi="Times New Roman"/>
          <w:sz w:val="24"/>
          <w:szCs w:val="24"/>
        </w:rPr>
      </w:pPr>
    </w:p>
    <w:p w14:paraId="604B5338" w14:textId="77777777" w:rsidR="00E22565" w:rsidRPr="003A1D53" w:rsidRDefault="00A4083F" w:rsidP="00E22565">
      <w:pPr>
        <w:spacing w:after="0" w:line="240" w:lineRule="auto"/>
        <w:jc w:val="both"/>
        <w:rPr>
          <w:rFonts w:ascii="Times New Roman" w:hAnsi="Times New Roman"/>
          <w:sz w:val="24"/>
          <w:szCs w:val="24"/>
        </w:rPr>
      </w:pPr>
      <w:r w:rsidRPr="003A1D53">
        <w:rPr>
          <w:rFonts w:ascii="Times New Roman" w:hAnsi="Times New Roman"/>
          <w:sz w:val="24"/>
          <w:szCs w:val="24"/>
        </w:rPr>
        <w:t>191.</w:t>
      </w:r>
      <w:r w:rsidR="00E22565" w:rsidRPr="003A1D53">
        <w:rPr>
          <w:rFonts w:ascii="Times New Roman" w:hAnsi="Times New Roman"/>
          <w:sz w:val="24"/>
          <w:szCs w:val="24"/>
        </w:rPr>
        <w:tab/>
        <w:t>Le programme trouve alors des remédiations en travaillant avec les départements sectoriels pour constituer un minimum de visibilité statistique sur le rendement des ses propres activités. La mission a observé (entretiens et briefing et débriefing Groupe de référence) que ces solutions internes entretenaient la polémique avec les services centraux de bases de données, qui font valoir que les données nationales produites autour du CREDD ont vocation à être la seule référence en  la matière. L’UNDAF a eu l’avantage dans le cycle précédent d’avoir un sous-module ouvert pour ses indicateurs dans la base de données de l’Institut statistique national. Malheureusement cette base spécifique pour le programme n’a plus été actualisée depuis 2011. La stratégie de suivi-évaluation appelle donc une véritable consolidation dans le sens d’un meilleur ancrage dans les dispositifs statistiques nationaux.</w:t>
      </w:r>
    </w:p>
    <w:p w14:paraId="604B5339" w14:textId="77777777" w:rsidR="00700045" w:rsidRPr="003A1D53" w:rsidRDefault="00700045" w:rsidP="00E22565">
      <w:pPr>
        <w:spacing w:after="0" w:line="240" w:lineRule="auto"/>
        <w:jc w:val="both"/>
        <w:rPr>
          <w:rFonts w:ascii="Times New Roman" w:hAnsi="Times New Roman"/>
          <w:sz w:val="24"/>
          <w:szCs w:val="24"/>
        </w:rPr>
      </w:pPr>
    </w:p>
    <w:p w14:paraId="604B533A" w14:textId="77777777" w:rsidR="00651328" w:rsidRPr="003A1D53" w:rsidRDefault="00A4083F" w:rsidP="00E22565">
      <w:pPr>
        <w:spacing w:after="0" w:line="240" w:lineRule="auto"/>
        <w:jc w:val="both"/>
        <w:rPr>
          <w:rFonts w:ascii="Times New Roman" w:hAnsi="Times New Roman"/>
          <w:sz w:val="24"/>
          <w:szCs w:val="24"/>
        </w:rPr>
      </w:pPr>
      <w:r w:rsidRPr="003A1D53">
        <w:rPr>
          <w:rFonts w:ascii="Times New Roman" w:hAnsi="Times New Roman"/>
          <w:sz w:val="24"/>
          <w:szCs w:val="24"/>
        </w:rPr>
        <w:t>192.</w:t>
      </w:r>
      <w:r w:rsidR="00700045" w:rsidRPr="003A1D53">
        <w:rPr>
          <w:rFonts w:ascii="Times New Roman" w:hAnsi="Times New Roman"/>
          <w:sz w:val="24"/>
          <w:szCs w:val="24"/>
        </w:rPr>
        <w:tab/>
        <w:t>Le Système dispose d’une Stratégie de communication, ancré</w:t>
      </w:r>
      <w:r w:rsidR="00651328" w:rsidRPr="003A1D53">
        <w:rPr>
          <w:rFonts w:ascii="Times New Roman" w:hAnsi="Times New Roman"/>
          <w:sz w:val="24"/>
          <w:szCs w:val="24"/>
        </w:rPr>
        <w:t>e</w:t>
      </w:r>
      <w:r w:rsidR="00700045" w:rsidRPr="003A1D53">
        <w:rPr>
          <w:rFonts w:ascii="Times New Roman" w:hAnsi="Times New Roman"/>
          <w:sz w:val="24"/>
          <w:szCs w:val="24"/>
        </w:rPr>
        <w:t xml:space="preserve"> d’ailleurs dans un groupe de travail dédié à cette thématique, à l’image du groupe M&amp;E.</w:t>
      </w:r>
      <w:r w:rsidR="004E2363" w:rsidRPr="003A1D53">
        <w:rPr>
          <w:rFonts w:ascii="Times New Roman" w:hAnsi="Times New Roman"/>
          <w:sz w:val="24"/>
          <w:szCs w:val="24"/>
        </w:rPr>
        <w:t xml:space="preserve"> En termes de productivité, la stratégie apparaît tournée vers une communication externe d’événement. Ses valeurs ajoutées se positionnent sur la construction d’une image globale pour le Système au Mali, sans que l’on sente ses contributions techniques </w:t>
      </w:r>
      <w:r w:rsidR="00651328" w:rsidRPr="003A1D53">
        <w:rPr>
          <w:rFonts w:ascii="Times New Roman" w:hAnsi="Times New Roman"/>
          <w:sz w:val="24"/>
          <w:szCs w:val="24"/>
        </w:rPr>
        <w:t xml:space="preserve">dans </w:t>
      </w:r>
      <w:r w:rsidR="004E2363" w:rsidRPr="003A1D53">
        <w:rPr>
          <w:rFonts w:ascii="Times New Roman" w:hAnsi="Times New Roman"/>
          <w:sz w:val="24"/>
          <w:szCs w:val="24"/>
        </w:rPr>
        <w:t xml:space="preserve">la gestion de problématiques qui ont partie liée avec la communication. La mobilisation conjointe de ressources aurait besoin de supports de communication appropriés, mettant en exergue les réalisations et les réussites du programme, pour mieux </w:t>
      </w:r>
      <w:r w:rsidR="00AE15BA" w:rsidRPr="003A1D53">
        <w:rPr>
          <w:rFonts w:ascii="Times New Roman" w:hAnsi="Times New Roman"/>
          <w:sz w:val="24"/>
          <w:szCs w:val="24"/>
        </w:rPr>
        <w:t xml:space="preserve">approcher </w:t>
      </w:r>
      <w:r w:rsidR="00651328" w:rsidRPr="003A1D53">
        <w:rPr>
          <w:rFonts w:ascii="Times New Roman" w:hAnsi="Times New Roman"/>
          <w:sz w:val="24"/>
          <w:szCs w:val="24"/>
        </w:rPr>
        <w:t>les partenaires financiers.</w:t>
      </w:r>
    </w:p>
    <w:p w14:paraId="604B533B" w14:textId="77777777" w:rsidR="00651328" w:rsidRPr="003A1D53" w:rsidRDefault="00651328" w:rsidP="00E22565">
      <w:pPr>
        <w:spacing w:after="0" w:line="240" w:lineRule="auto"/>
        <w:jc w:val="both"/>
        <w:rPr>
          <w:rFonts w:ascii="Times New Roman" w:hAnsi="Times New Roman"/>
          <w:sz w:val="24"/>
          <w:szCs w:val="24"/>
        </w:rPr>
      </w:pPr>
    </w:p>
    <w:p w14:paraId="604B533C" w14:textId="77777777" w:rsidR="00AE15BA" w:rsidRPr="003A1D53" w:rsidRDefault="00A4083F" w:rsidP="00E22565">
      <w:pPr>
        <w:spacing w:after="0" w:line="240" w:lineRule="auto"/>
        <w:jc w:val="both"/>
        <w:rPr>
          <w:rFonts w:ascii="Times New Roman" w:hAnsi="Times New Roman"/>
          <w:sz w:val="24"/>
          <w:szCs w:val="24"/>
        </w:rPr>
      </w:pPr>
      <w:r w:rsidRPr="003A1D53">
        <w:rPr>
          <w:rFonts w:ascii="Times New Roman" w:hAnsi="Times New Roman"/>
          <w:sz w:val="24"/>
          <w:szCs w:val="24"/>
        </w:rPr>
        <w:t>193.</w:t>
      </w:r>
      <w:r w:rsidR="00651328" w:rsidRPr="003A1D53">
        <w:rPr>
          <w:rFonts w:ascii="Times New Roman" w:hAnsi="Times New Roman"/>
          <w:sz w:val="24"/>
          <w:szCs w:val="24"/>
        </w:rPr>
        <w:tab/>
        <w:t xml:space="preserve">Les partenaires financiers, au contraire, </w:t>
      </w:r>
      <w:r w:rsidR="004E2363" w:rsidRPr="003A1D53">
        <w:rPr>
          <w:rFonts w:ascii="Times New Roman" w:hAnsi="Times New Roman"/>
          <w:sz w:val="24"/>
          <w:szCs w:val="24"/>
        </w:rPr>
        <w:t>ont relayé</w:t>
      </w:r>
      <w:r w:rsidR="00AE15BA" w:rsidRPr="003A1D53">
        <w:rPr>
          <w:rFonts w:ascii="Times New Roman" w:hAnsi="Times New Roman"/>
          <w:sz w:val="24"/>
          <w:szCs w:val="24"/>
        </w:rPr>
        <w:t xml:space="preserve"> à la mission, à côté des atouts qu’</w:t>
      </w:r>
      <w:r w:rsidR="00651328" w:rsidRPr="003A1D53">
        <w:rPr>
          <w:rFonts w:ascii="Times New Roman" w:hAnsi="Times New Roman"/>
          <w:sz w:val="24"/>
          <w:szCs w:val="24"/>
        </w:rPr>
        <w:t>ils reconnaissent à ses différentes entités</w:t>
      </w:r>
      <w:r w:rsidR="00AE15BA" w:rsidRPr="003A1D53">
        <w:rPr>
          <w:rFonts w:ascii="Times New Roman" w:hAnsi="Times New Roman"/>
          <w:sz w:val="24"/>
          <w:szCs w:val="24"/>
        </w:rPr>
        <w:t xml:space="preserve">, des </w:t>
      </w:r>
      <w:r w:rsidR="00651328" w:rsidRPr="003A1D53">
        <w:rPr>
          <w:rFonts w:ascii="Times New Roman" w:hAnsi="Times New Roman"/>
          <w:sz w:val="24"/>
          <w:szCs w:val="24"/>
        </w:rPr>
        <w:t>questionnements</w:t>
      </w:r>
      <w:r w:rsidR="00AE15BA" w:rsidRPr="003A1D53">
        <w:rPr>
          <w:rFonts w:ascii="Times New Roman" w:hAnsi="Times New Roman"/>
          <w:sz w:val="24"/>
          <w:szCs w:val="24"/>
        </w:rPr>
        <w:t xml:space="preserve"> </w:t>
      </w:r>
      <w:r w:rsidR="00651328" w:rsidRPr="003A1D53">
        <w:rPr>
          <w:rFonts w:ascii="Times New Roman" w:hAnsi="Times New Roman"/>
          <w:sz w:val="24"/>
          <w:szCs w:val="24"/>
        </w:rPr>
        <w:t>que le Système, à travers sa c</w:t>
      </w:r>
      <w:r w:rsidR="00AE15BA" w:rsidRPr="003A1D53">
        <w:rPr>
          <w:rFonts w:ascii="Times New Roman" w:hAnsi="Times New Roman"/>
          <w:sz w:val="24"/>
          <w:szCs w:val="24"/>
        </w:rPr>
        <w:t>ommunication interne, devait se donner les moyens de connaître pour y articuler à la fois des remédiations de fond et de communication.</w:t>
      </w:r>
      <w:r w:rsidR="00651328" w:rsidRPr="003A1D53">
        <w:rPr>
          <w:rFonts w:ascii="Times New Roman" w:hAnsi="Times New Roman"/>
          <w:sz w:val="24"/>
          <w:szCs w:val="24"/>
        </w:rPr>
        <w:t xml:space="preserve"> </w:t>
      </w:r>
      <w:r w:rsidR="00AE15BA" w:rsidRPr="003A1D53">
        <w:rPr>
          <w:rFonts w:ascii="Times New Roman" w:hAnsi="Times New Roman"/>
          <w:sz w:val="24"/>
          <w:szCs w:val="24"/>
        </w:rPr>
        <w:t xml:space="preserve">Les besoins de communication proactive non satisfaits sont également visibles, à la fois </w:t>
      </w:r>
      <w:r w:rsidR="00651328" w:rsidRPr="003A1D53">
        <w:rPr>
          <w:rFonts w:ascii="Times New Roman" w:hAnsi="Times New Roman"/>
          <w:sz w:val="24"/>
          <w:szCs w:val="24"/>
        </w:rPr>
        <w:t xml:space="preserve">au sein du Système, entre les entités elles-mêmes, et </w:t>
      </w:r>
      <w:r w:rsidR="00AE15BA" w:rsidRPr="003A1D53">
        <w:rPr>
          <w:rFonts w:ascii="Times New Roman" w:hAnsi="Times New Roman"/>
          <w:sz w:val="24"/>
          <w:szCs w:val="24"/>
        </w:rPr>
        <w:t>entre le Système et ses partenaires nationaux</w:t>
      </w:r>
      <w:r w:rsidR="00651328" w:rsidRPr="003A1D53">
        <w:rPr>
          <w:rFonts w:ascii="Times New Roman" w:hAnsi="Times New Roman"/>
          <w:sz w:val="24"/>
          <w:szCs w:val="24"/>
        </w:rPr>
        <w:t xml:space="preserve"> (voir section de revue des partenariats)</w:t>
      </w:r>
      <w:r w:rsidR="00AE15BA" w:rsidRPr="003A1D53">
        <w:rPr>
          <w:rFonts w:ascii="Times New Roman" w:hAnsi="Times New Roman"/>
          <w:sz w:val="24"/>
          <w:szCs w:val="24"/>
        </w:rPr>
        <w:t xml:space="preserve">. Ces gaps dans le relationnel interne et externe du Système, et donc du Programme, ne ressortent assez </w:t>
      </w:r>
      <w:r w:rsidR="00651328" w:rsidRPr="003A1D53">
        <w:rPr>
          <w:rFonts w:ascii="Times New Roman" w:hAnsi="Times New Roman"/>
          <w:sz w:val="24"/>
          <w:szCs w:val="24"/>
        </w:rPr>
        <w:t>bien saisis comme des espaces où articuler des éléments de communication appropriés.</w:t>
      </w:r>
    </w:p>
    <w:p w14:paraId="604B533D" w14:textId="77777777" w:rsidR="00700045" w:rsidRPr="003A1D53" w:rsidRDefault="00700045" w:rsidP="00E22565">
      <w:pPr>
        <w:spacing w:after="0" w:line="240" w:lineRule="auto"/>
        <w:jc w:val="both"/>
        <w:rPr>
          <w:rFonts w:ascii="Times New Roman" w:hAnsi="Times New Roman"/>
          <w:sz w:val="24"/>
          <w:szCs w:val="24"/>
        </w:rPr>
      </w:pPr>
    </w:p>
    <w:p w14:paraId="604B533E" w14:textId="77777777" w:rsidR="00A96E17" w:rsidRPr="003A1D53" w:rsidRDefault="001C3C03" w:rsidP="005B22B2">
      <w:pPr>
        <w:spacing w:after="0" w:line="240" w:lineRule="auto"/>
        <w:jc w:val="both"/>
        <w:rPr>
          <w:rFonts w:ascii="Times New Roman" w:hAnsi="Times New Roman"/>
          <w:b/>
          <w:sz w:val="24"/>
          <w:szCs w:val="24"/>
        </w:rPr>
      </w:pPr>
      <w:r w:rsidRPr="003A1D53">
        <w:rPr>
          <w:rFonts w:ascii="Times New Roman" w:hAnsi="Times New Roman"/>
          <w:b/>
          <w:sz w:val="24"/>
          <w:szCs w:val="24"/>
        </w:rPr>
        <w:tab/>
      </w:r>
      <w:r w:rsidR="00587651" w:rsidRPr="003A1D53">
        <w:rPr>
          <w:rFonts w:ascii="Times New Roman" w:hAnsi="Times New Roman"/>
          <w:b/>
          <w:sz w:val="24"/>
          <w:szCs w:val="24"/>
        </w:rPr>
        <w:t>P</w:t>
      </w:r>
      <w:r w:rsidR="002F7BFD" w:rsidRPr="003A1D53">
        <w:rPr>
          <w:rFonts w:ascii="Times New Roman" w:hAnsi="Times New Roman"/>
          <w:b/>
          <w:sz w:val="24"/>
          <w:szCs w:val="24"/>
        </w:rPr>
        <w:t>artenariats</w:t>
      </w:r>
    </w:p>
    <w:p w14:paraId="604B533F" w14:textId="77777777" w:rsidR="002F7BFD" w:rsidRPr="003A1D53" w:rsidRDefault="002F7BFD" w:rsidP="005B22B2">
      <w:pPr>
        <w:spacing w:after="0" w:line="240" w:lineRule="auto"/>
        <w:jc w:val="both"/>
        <w:rPr>
          <w:rFonts w:ascii="Times New Roman" w:hAnsi="Times New Roman"/>
          <w:sz w:val="24"/>
          <w:szCs w:val="24"/>
        </w:rPr>
      </w:pPr>
    </w:p>
    <w:p w14:paraId="604B5340" w14:textId="77777777" w:rsidR="002F7BFD" w:rsidRPr="003A1D53" w:rsidRDefault="0015327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A4083F" w:rsidRPr="003A1D53">
        <w:rPr>
          <w:rFonts w:ascii="Times New Roman" w:hAnsi="Times New Roman"/>
          <w:sz w:val="24"/>
          <w:szCs w:val="24"/>
        </w:rPr>
        <w:t>94</w:t>
      </w:r>
      <w:r w:rsidR="002F7BFD" w:rsidRPr="003A1D53">
        <w:rPr>
          <w:rFonts w:ascii="Times New Roman" w:hAnsi="Times New Roman"/>
          <w:sz w:val="24"/>
          <w:szCs w:val="24"/>
        </w:rPr>
        <w:t>.</w:t>
      </w:r>
      <w:r w:rsidR="002F7BFD" w:rsidRPr="003A1D53">
        <w:rPr>
          <w:rFonts w:ascii="Times New Roman" w:hAnsi="Times New Roman"/>
          <w:sz w:val="24"/>
          <w:szCs w:val="24"/>
        </w:rPr>
        <w:tab/>
      </w:r>
      <w:r w:rsidR="00C04145" w:rsidRPr="003A1D53">
        <w:rPr>
          <w:rFonts w:ascii="Times New Roman" w:hAnsi="Times New Roman"/>
          <w:b/>
          <w:i/>
          <w:sz w:val="24"/>
          <w:szCs w:val="24"/>
        </w:rPr>
        <w:t>Interfaces intra Système</w:t>
      </w:r>
      <w:r w:rsidR="002F7BFD" w:rsidRPr="003A1D53">
        <w:rPr>
          <w:rFonts w:ascii="Times New Roman" w:hAnsi="Times New Roman"/>
          <w:b/>
          <w:i/>
          <w:sz w:val="24"/>
          <w:szCs w:val="24"/>
        </w:rPr>
        <w:t> :</w:t>
      </w:r>
      <w:r w:rsidR="00C04145" w:rsidRPr="003A1D53">
        <w:rPr>
          <w:rFonts w:ascii="Times New Roman" w:hAnsi="Times New Roman"/>
          <w:sz w:val="24"/>
          <w:szCs w:val="24"/>
        </w:rPr>
        <w:t xml:space="preserve"> E</w:t>
      </w:r>
      <w:r w:rsidR="002F7BFD" w:rsidRPr="003A1D53">
        <w:rPr>
          <w:rFonts w:ascii="Times New Roman" w:hAnsi="Times New Roman"/>
          <w:sz w:val="24"/>
          <w:szCs w:val="24"/>
        </w:rPr>
        <w:t xml:space="preserve">lles </w:t>
      </w:r>
      <w:r w:rsidR="00C04145" w:rsidRPr="003A1D53">
        <w:rPr>
          <w:rFonts w:ascii="Times New Roman" w:hAnsi="Times New Roman"/>
          <w:sz w:val="24"/>
          <w:szCs w:val="24"/>
        </w:rPr>
        <w:t xml:space="preserve">sont </w:t>
      </w:r>
      <w:r w:rsidR="002F7BFD" w:rsidRPr="003A1D53">
        <w:rPr>
          <w:rFonts w:ascii="Times New Roman" w:hAnsi="Times New Roman"/>
          <w:sz w:val="24"/>
          <w:szCs w:val="24"/>
        </w:rPr>
        <w:t xml:space="preserve">incarnées, de manière institutionnelle, par la Coordination Résidente, qui pourvoie à l’animation du Système, et conduit globalement le dialogue non seulement avec la partie nationale mais aussi avec la communauté des autres partenaires au développement. Entre les agences elles-mêmes une infrastructure est en place qui fonctionne bien, autour de l’Equipe Pays secondée par l’Equipe de gestion du programme (PMT) et son pendant sur le plan des opérations d’appui au programme (OMT). A un niveau </w:t>
      </w:r>
      <w:r w:rsidR="002F7BFD" w:rsidRPr="003A1D53">
        <w:rPr>
          <w:rFonts w:ascii="Times New Roman" w:hAnsi="Times New Roman"/>
          <w:sz w:val="24"/>
          <w:szCs w:val="24"/>
        </w:rPr>
        <w:lastRenderedPageBreak/>
        <w:t>plus opérationnel encore, les groupes de résultats et les groupes thé</w:t>
      </w:r>
      <w:r w:rsidR="00C04145" w:rsidRPr="003A1D53">
        <w:rPr>
          <w:rFonts w:ascii="Times New Roman" w:hAnsi="Times New Roman"/>
          <w:sz w:val="24"/>
          <w:szCs w:val="24"/>
        </w:rPr>
        <w:t>matiques notamment sur le Suivi-</w:t>
      </w:r>
      <w:r w:rsidR="002F7BFD" w:rsidRPr="003A1D53">
        <w:rPr>
          <w:rFonts w:ascii="Times New Roman" w:hAnsi="Times New Roman"/>
          <w:sz w:val="24"/>
          <w:szCs w:val="24"/>
        </w:rPr>
        <w:t>Evaluation, le Genre et la Communication, contribuent à donner au Système un environnement de travail où les entités se parlent, partagent et interagissent à suffisance. Et, faut-il le préciser</w:t>
      </w:r>
      <w:r w:rsidR="00C04145" w:rsidRPr="003A1D53">
        <w:rPr>
          <w:rFonts w:ascii="Times New Roman" w:hAnsi="Times New Roman"/>
          <w:sz w:val="24"/>
          <w:szCs w:val="24"/>
        </w:rPr>
        <w:t>,</w:t>
      </w:r>
      <w:r w:rsidR="002F7BFD" w:rsidRPr="003A1D53">
        <w:rPr>
          <w:rFonts w:ascii="Times New Roman" w:hAnsi="Times New Roman"/>
          <w:sz w:val="24"/>
          <w:szCs w:val="24"/>
        </w:rPr>
        <w:t xml:space="preserve"> la Mission, les Agences, Fonds et Programmes sont dûment présents dans ces différents cadres et instances.</w:t>
      </w:r>
    </w:p>
    <w:p w14:paraId="604B5341" w14:textId="77777777" w:rsidR="002F7BFD" w:rsidRPr="003A1D53" w:rsidRDefault="002F7BFD" w:rsidP="005B22B2">
      <w:pPr>
        <w:spacing w:after="0" w:line="240" w:lineRule="auto"/>
        <w:jc w:val="both"/>
        <w:rPr>
          <w:rFonts w:ascii="Times New Roman" w:hAnsi="Times New Roman"/>
          <w:sz w:val="24"/>
          <w:szCs w:val="24"/>
        </w:rPr>
      </w:pPr>
    </w:p>
    <w:p w14:paraId="604B5342" w14:textId="77777777" w:rsidR="002F7BFD" w:rsidRPr="003A1D53" w:rsidRDefault="0015327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A4083F" w:rsidRPr="003A1D53">
        <w:rPr>
          <w:rFonts w:ascii="Times New Roman" w:hAnsi="Times New Roman"/>
          <w:sz w:val="24"/>
          <w:szCs w:val="24"/>
        </w:rPr>
        <w:t>95</w:t>
      </w:r>
      <w:r w:rsidRPr="003A1D53">
        <w:rPr>
          <w:rFonts w:ascii="Times New Roman" w:hAnsi="Times New Roman"/>
          <w:sz w:val="24"/>
          <w:szCs w:val="24"/>
        </w:rPr>
        <w:t>.</w:t>
      </w:r>
      <w:r w:rsidR="002F7BFD" w:rsidRPr="003A1D53">
        <w:rPr>
          <w:rFonts w:ascii="Times New Roman" w:hAnsi="Times New Roman"/>
          <w:sz w:val="24"/>
          <w:szCs w:val="24"/>
        </w:rPr>
        <w:tab/>
        <w:t>En termes de rendus de cette superstructure de coordination interne du système, les interfaces et les intelligences ressortent très robustes entre les agences, Fonds et Programmes de développement, et à parfaire dans une grande mesure entre ce groupe institutionnel et la Mission. A l’intérieur du groupe humanitaire et de développement, cette qualité d’interface permet de surcroît une bonne expression des transversalités stratégiques comme les droits humains, le genre et la lutte contre le VIH/SIDA. Encore que dans un registre voisin, un programme comme les Volontaires des Nations Unies reste en attente d’une meilleure intégration</w:t>
      </w:r>
      <w:r w:rsidR="00C04145" w:rsidRPr="003A1D53">
        <w:rPr>
          <w:rFonts w:ascii="Times New Roman" w:hAnsi="Times New Roman"/>
          <w:sz w:val="24"/>
          <w:szCs w:val="24"/>
        </w:rPr>
        <w:t> : i</w:t>
      </w:r>
      <w:r w:rsidR="002F7BFD" w:rsidRPr="003A1D53">
        <w:rPr>
          <w:rFonts w:ascii="Times New Roman" w:hAnsi="Times New Roman"/>
          <w:sz w:val="24"/>
          <w:szCs w:val="24"/>
        </w:rPr>
        <w:t>l est observé que tout en contribuant significativement à porter le programme sur le terrain, à travers le déploiement de plus de 200 VNU, cet effort n’est pas reflété dans le document de programme lui-même.</w:t>
      </w:r>
    </w:p>
    <w:p w14:paraId="604B5343" w14:textId="77777777" w:rsidR="002F7BFD" w:rsidRPr="003A1D53" w:rsidRDefault="002F7BFD" w:rsidP="005B22B2">
      <w:pPr>
        <w:spacing w:after="0" w:line="240" w:lineRule="auto"/>
        <w:jc w:val="both"/>
        <w:rPr>
          <w:rFonts w:ascii="Times New Roman" w:hAnsi="Times New Roman"/>
          <w:sz w:val="24"/>
          <w:szCs w:val="24"/>
        </w:rPr>
      </w:pPr>
    </w:p>
    <w:p w14:paraId="604B5344" w14:textId="77777777" w:rsidR="002F7BFD" w:rsidRPr="003A1D53" w:rsidRDefault="0015327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A4083F" w:rsidRPr="003A1D53">
        <w:rPr>
          <w:rFonts w:ascii="Times New Roman" w:hAnsi="Times New Roman"/>
          <w:sz w:val="24"/>
          <w:szCs w:val="24"/>
        </w:rPr>
        <w:t>96</w:t>
      </w:r>
      <w:r w:rsidRPr="003A1D53">
        <w:rPr>
          <w:rFonts w:ascii="Times New Roman" w:hAnsi="Times New Roman"/>
          <w:sz w:val="24"/>
          <w:szCs w:val="24"/>
        </w:rPr>
        <w:t>.</w:t>
      </w:r>
      <w:r w:rsidR="002F7BFD" w:rsidRPr="003A1D53">
        <w:rPr>
          <w:rFonts w:ascii="Times New Roman" w:hAnsi="Times New Roman"/>
          <w:sz w:val="24"/>
          <w:szCs w:val="24"/>
        </w:rPr>
        <w:tab/>
        <w:t xml:space="preserve">Les interfaces avec la Missions sont réelles et objectives. </w:t>
      </w:r>
      <w:r w:rsidR="006F2EBC" w:rsidRPr="003A1D53">
        <w:rPr>
          <w:rFonts w:ascii="Times New Roman" w:hAnsi="Times New Roman"/>
          <w:sz w:val="24"/>
          <w:szCs w:val="24"/>
        </w:rPr>
        <w:t>Dans l’environnement difficile du</w:t>
      </w:r>
      <w:r w:rsidR="002F7BFD" w:rsidRPr="003A1D53">
        <w:rPr>
          <w:rFonts w:ascii="Times New Roman" w:hAnsi="Times New Roman"/>
          <w:sz w:val="24"/>
          <w:szCs w:val="24"/>
        </w:rPr>
        <w:t xml:space="preserve"> Mali, il serait impossible aux entités du groupe humanitaire et de développement de se déployer comme elles le font sans l’assistance logistique et sécuritaire de la MINUSMA. La Mission aussi s’appuie sur les agences pour conduire une partie de l’exécution des activités de relèvement et d’appui à la restauration de l’Etat qui </w:t>
      </w:r>
      <w:r w:rsidR="006F2EBC" w:rsidRPr="003A1D53">
        <w:rPr>
          <w:rFonts w:ascii="Times New Roman" w:hAnsi="Times New Roman"/>
          <w:sz w:val="24"/>
          <w:szCs w:val="24"/>
        </w:rPr>
        <w:t>soutiennen</w:t>
      </w:r>
      <w:r w:rsidR="002F7BFD" w:rsidRPr="003A1D53">
        <w:rPr>
          <w:rFonts w:ascii="Times New Roman" w:hAnsi="Times New Roman"/>
          <w:sz w:val="24"/>
          <w:szCs w:val="24"/>
        </w:rPr>
        <w:t>t son mandat de stabilisation. Cela étant dit, au Mali aussi existe cette difficulté pour ces deux bras du système en zone de crise à rentrer plus avant dans un cadre commun d’intégration. La mission d’évaluation a noté une certaine culture de distanciation de chacun des deux côtés.</w:t>
      </w:r>
    </w:p>
    <w:p w14:paraId="604B5345" w14:textId="77777777" w:rsidR="002F7BFD" w:rsidRPr="003A1D53" w:rsidRDefault="002F7BFD" w:rsidP="005B22B2">
      <w:pPr>
        <w:spacing w:after="0" w:line="240" w:lineRule="auto"/>
        <w:jc w:val="both"/>
        <w:rPr>
          <w:rFonts w:ascii="Times New Roman" w:hAnsi="Times New Roman"/>
          <w:sz w:val="24"/>
          <w:szCs w:val="24"/>
        </w:rPr>
      </w:pPr>
    </w:p>
    <w:p w14:paraId="604B5346" w14:textId="77777777" w:rsidR="002F7BFD" w:rsidRPr="003A1D53" w:rsidRDefault="0015327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A4083F" w:rsidRPr="003A1D53">
        <w:rPr>
          <w:rFonts w:ascii="Times New Roman" w:hAnsi="Times New Roman"/>
          <w:sz w:val="24"/>
          <w:szCs w:val="24"/>
        </w:rPr>
        <w:t>97</w:t>
      </w:r>
      <w:r w:rsidRPr="003A1D53">
        <w:rPr>
          <w:rFonts w:ascii="Times New Roman" w:hAnsi="Times New Roman"/>
          <w:sz w:val="24"/>
          <w:szCs w:val="24"/>
        </w:rPr>
        <w:t>.</w:t>
      </w:r>
      <w:r w:rsidR="002F7BFD" w:rsidRPr="003A1D53">
        <w:rPr>
          <w:rFonts w:ascii="Times New Roman" w:hAnsi="Times New Roman"/>
          <w:sz w:val="24"/>
          <w:szCs w:val="24"/>
        </w:rPr>
        <w:tab/>
        <w:t>Du côté de la Mission, les interlocuteurs tendent à mettre en exergue le fait que les contraintes liées à la gestion d’urgence d’une crise toute en volatilité</w:t>
      </w:r>
      <w:r w:rsidR="006F2EBC" w:rsidRPr="003A1D53">
        <w:rPr>
          <w:rFonts w:ascii="Times New Roman" w:hAnsi="Times New Roman"/>
          <w:sz w:val="24"/>
          <w:szCs w:val="24"/>
        </w:rPr>
        <w:t>,</w:t>
      </w:r>
      <w:r w:rsidR="002F7BFD" w:rsidRPr="003A1D53">
        <w:rPr>
          <w:rFonts w:ascii="Times New Roman" w:hAnsi="Times New Roman"/>
          <w:sz w:val="24"/>
          <w:szCs w:val="24"/>
        </w:rPr>
        <w:t xml:space="preserve"> les installe dans une temporalité</w:t>
      </w:r>
      <w:r w:rsidR="006F2EBC" w:rsidRPr="003A1D53">
        <w:rPr>
          <w:rFonts w:ascii="Times New Roman" w:hAnsi="Times New Roman"/>
          <w:sz w:val="24"/>
          <w:szCs w:val="24"/>
        </w:rPr>
        <w:t xml:space="preserve">, </w:t>
      </w:r>
      <w:r w:rsidR="002F7BFD" w:rsidRPr="003A1D53">
        <w:rPr>
          <w:rFonts w:ascii="Times New Roman" w:hAnsi="Times New Roman"/>
          <w:sz w:val="24"/>
          <w:szCs w:val="24"/>
        </w:rPr>
        <w:t xml:space="preserve">des exigences et </w:t>
      </w:r>
      <w:r w:rsidR="006F2EBC" w:rsidRPr="003A1D53">
        <w:rPr>
          <w:rFonts w:ascii="Times New Roman" w:hAnsi="Times New Roman"/>
          <w:sz w:val="24"/>
          <w:szCs w:val="24"/>
        </w:rPr>
        <w:t xml:space="preserve">des servitudes qui </w:t>
      </w:r>
      <w:r w:rsidR="002F7BFD" w:rsidRPr="003A1D53">
        <w:rPr>
          <w:rFonts w:ascii="Times New Roman" w:hAnsi="Times New Roman"/>
          <w:sz w:val="24"/>
          <w:szCs w:val="24"/>
        </w:rPr>
        <w:t>n</w:t>
      </w:r>
      <w:r w:rsidR="006F2EBC" w:rsidRPr="003A1D53">
        <w:rPr>
          <w:rFonts w:ascii="Times New Roman" w:hAnsi="Times New Roman"/>
          <w:sz w:val="24"/>
          <w:szCs w:val="24"/>
        </w:rPr>
        <w:t>e</w:t>
      </w:r>
      <w:r w:rsidR="002F7BFD" w:rsidRPr="003A1D53">
        <w:rPr>
          <w:rFonts w:ascii="Times New Roman" w:hAnsi="Times New Roman"/>
          <w:sz w:val="24"/>
          <w:szCs w:val="24"/>
        </w:rPr>
        <w:t xml:space="preserve"> facilitent pas </w:t>
      </w:r>
      <w:r w:rsidR="006F2EBC" w:rsidRPr="003A1D53">
        <w:rPr>
          <w:rFonts w:ascii="Times New Roman" w:hAnsi="Times New Roman"/>
          <w:sz w:val="24"/>
          <w:szCs w:val="24"/>
        </w:rPr>
        <w:t xml:space="preserve">leur </w:t>
      </w:r>
      <w:r w:rsidR="002F7BFD" w:rsidRPr="003A1D53">
        <w:rPr>
          <w:rFonts w:ascii="Times New Roman" w:hAnsi="Times New Roman"/>
          <w:sz w:val="24"/>
          <w:szCs w:val="24"/>
        </w:rPr>
        <w:t xml:space="preserve">insertion dans un cadre partagé avec des entités de développement dont le temps </w:t>
      </w:r>
      <w:r w:rsidR="006F2EBC" w:rsidRPr="003A1D53">
        <w:rPr>
          <w:rFonts w:ascii="Times New Roman" w:hAnsi="Times New Roman"/>
          <w:sz w:val="24"/>
          <w:szCs w:val="24"/>
        </w:rPr>
        <w:t>stratégique</w:t>
      </w:r>
      <w:r w:rsidR="002F7BFD" w:rsidRPr="003A1D53">
        <w:rPr>
          <w:rFonts w:ascii="Times New Roman" w:hAnsi="Times New Roman"/>
          <w:sz w:val="24"/>
          <w:szCs w:val="24"/>
        </w:rPr>
        <w:t xml:space="preserve"> est plus long</w:t>
      </w:r>
      <w:r w:rsidR="006F2EBC" w:rsidRPr="003A1D53">
        <w:rPr>
          <w:rFonts w:ascii="Times New Roman" w:hAnsi="Times New Roman"/>
          <w:sz w:val="24"/>
          <w:szCs w:val="24"/>
        </w:rPr>
        <w:t xml:space="preserve">, ou </w:t>
      </w:r>
      <w:r w:rsidR="002F7BFD" w:rsidRPr="003A1D53">
        <w:rPr>
          <w:rFonts w:ascii="Times New Roman" w:hAnsi="Times New Roman"/>
          <w:sz w:val="24"/>
          <w:szCs w:val="24"/>
        </w:rPr>
        <w:t>plus lent. Du côté des entités humanitaires et de développement, tout en reconnaissant la pertinence d’aider à exécuter les ressources de stabilisation abritées par la Mission, l’on cultive aussi bien un réflexe de distanciation d’avec l’image de la force militaire qui domine dans la perception que l’environne</w:t>
      </w:r>
      <w:r w:rsidR="006F2EBC" w:rsidRPr="003A1D53">
        <w:rPr>
          <w:rFonts w:ascii="Times New Roman" w:hAnsi="Times New Roman"/>
          <w:sz w:val="24"/>
          <w:szCs w:val="24"/>
        </w:rPr>
        <w:t>ment a de la Mission. Cet entre-</w:t>
      </w:r>
      <w:r w:rsidR="002F7BFD" w:rsidRPr="003A1D53">
        <w:rPr>
          <w:rFonts w:ascii="Times New Roman" w:hAnsi="Times New Roman"/>
          <w:sz w:val="24"/>
          <w:szCs w:val="24"/>
        </w:rPr>
        <w:t>deux doit véritablement être amélioré, surtout dans la perspective de la stratégie de transition que le M</w:t>
      </w:r>
      <w:r w:rsidR="006F2EBC" w:rsidRPr="003A1D53">
        <w:rPr>
          <w:rFonts w:ascii="Times New Roman" w:hAnsi="Times New Roman"/>
          <w:sz w:val="24"/>
          <w:szCs w:val="24"/>
        </w:rPr>
        <w:t>ission est en train de développer</w:t>
      </w:r>
      <w:r w:rsidR="002F7BFD" w:rsidRPr="003A1D53">
        <w:rPr>
          <w:rFonts w:ascii="Times New Roman" w:hAnsi="Times New Roman"/>
          <w:sz w:val="24"/>
          <w:szCs w:val="24"/>
        </w:rPr>
        <w:t>, et qui devrait faire plus de place aux entités humanitaires et de développement.</w:t>
      </w:r>
    </w:p>
    <w:p w14:paraId="604B5347" w14:textId="77777777" w:rsidR="002F7BFD" w:rsidRPr="003A1D53" w:rsidRDefault="002F7BFD" w:rsidP="005B22B2">
      <w:pPr>
        <w:spacing w:after="0" w:line="240" w:lineRule="auto"/>
        <w:jc w:val="both"/>
        <w:rPr>
          <w:rFonts w:ascii="Times New Roman" w:hAnsi="Times New Roman"/>
          <w:sz w:val="24"/>
          <w:szCs w:val="24"/>
        </w:rPr>
      </w:pPr>
    </w:p>
    <w:p w14:paraId="604B5348" w14:textId="77777777" w:rsidR="00865844" w:rsidRPr="003A1D53" w:rsidRDefault="0015327E" w:rsidP="005B22B2">
      <w:pPr>
        <w:spacing w:after="0" w:line="240" w:lineRule="auto"/>
        <w:jc w:val="both"/>
        <w:rPr>
          <w:rFonts w:ascii="Times New Roman" w:hAnsi="Times New Roman"/>
          <w:sz w:val="24"/>
          <w:szCs w:val="24"/>
        </w:rPr>
      </w:pPr>
      <w:r w:rsidRPr="003A1D53">
        <w:rPr>
          <w:rFonts w:ascii="Times New Roman" w:hAnsi="Times New Roman"/>
          <w:sz w:val="24"/>
          <w:szCs w:val="24"/>
        </w:rPr>
        <w:t>1</w:t>
      </w:r>
      <w:r w:rsidR="00A4083F" w:rsidRPr="003A1D53">
        <w:rPr>
          <w:rFonts w:ascii="Times New Roman" w:hAnsi="Times New Roman"/>
          <w:sz w:val="24"/>
          <w:szCs w:val="24"/>
        </w:rPr>
        <w:t>98</w:t>
      </w:r>
      <w:r w:rsidRPr="003A1D53">
        <w:rPr>
          <w:rFonts w:ascii="Times New Roman" w:hAnsi="Times New Roman"/>
          <w:sz w:val="24"/>
          <w:szCs w:val="24"/>
        </w:rPr>
        <w:t>.</w:t>
      </w:r>
      <w:r w:rsidR="002F7BFD" w:rsidRPr="003A1D53">
        <w:rPr>
          <w:rFonts w:ascii="Times New Roman" w:hAnsi="Times New Roman"/>
          <w:sz w:val="24"/>
          <w:szCs w:val="24"/>
        </w:rPr>
        <w:tab/>
      </w:r>
      <w:r w:rsidR="006F2EBC" w:rsidRPr="003A1D53">
        <w:rPr>
          <w:rFonts w:ascii="Times New Roman" w:hAnsi="Times New Roman"/>
          <w:sz w:val="24"/>
          <w:szCs w:val="24"/>
        </w:rPr>
        <w:t xml:space="preserve">Plus globalement, les interfaces intra Système sont encore handicapées </w:t>
      </w:r>
      <w:r w:rsidR="002F7BFD" w:rsidRPr="003A1D53">
        <w:rPr>
          <w:rFonts w:ascii="Times New Roman" w:hAnsi="Times New Roman"/>
          <w:sz w:val="24"/>
          <w:szCs w:val="24"/>
        </w:rPr>
        <w:t xml:space="preserve">la diversité des </w:t>
      </w:r>
      <w:r w:rsidR="006F2EBC" w:rsidRPr="003A1D53">
        <w:rPr>
          <w:rFonts w:ascii="Times New Roman" w:hAnsi="Times New Roman"/>
          <w:sz w:val="24"/>
          <w:szCs w:val="24"/>
        </w:rPr>
        <w:t xml:space="preserve">cadre de gestion </w:t>
      </w:r>
      <w:r w:rsidR="002F7BFD" w:rsidRPr="003A1D53">
        <w:rPr>
          <w:rFonts w:ascii="Times New Roman" w:hAnsi="Times New Roman"/>
          <w:sz w:val="24"/>
          <w:szCs w:val="24"/>
        </w:rPr>
        <w:t>entre les agence elles-mêmes</w:t>
      </w:r>
      <w:r w:rsidR="006F2EBC" w:rsidRPr="003A1D53">
        <w:rPr>
          <w:rFonts w:ascii="Times New Roman" w:hAnsi="Times New Roman"/>
          <w:sz w:val="24"/>
          <w:szCs w:val="24"/>
        </w:rPr>
        <w:t xml:space="preserve"> d’abord,</w:t>
      </w:r>
      <w:r w:rsidR="002F7BFD" w:rsidRPr="003A1D53">
        <w:rPr>
          <w:rFonts w:ascii="Times New Roman" w:hAnsi="Times New Roman"/>
          <w:sz w:val="24"/>
          <w:szCs w:val="24"/>
        </w:rPr>
        <w:t xml:space="preserve"> et a fortiori </w:t>
      </w:r>
      <w:r w:rsidR="006F2EBC" w:rsidRPr="003A1D53">
        <w:rPr>
          <w:rFonts w:ascii="Times New Roman" w:hAnsi="Times New Roman"/>
          <w:sz w:val="24"/>
          <w:szCs w:val="24"/>
        </w:rPr>
        <w:t xml:space="preserve">entre elles et </w:t>
      </w:r>
      <w:r w:rsidR="002F7BFD" w:rsidRPr="003A1D53">
        <w:rPr>
          <w:rFonts w:ascii="Times New Roman" w:hAnsi="Times New Roman"/>
          <w:sz w:val="24"/>
          <w:szCs w:val="24"/>
        </w:rPr>
        <w:t xml:space="preserve">la Mission. </w:t>
      </w:r>
      <w:r w:rsidR="006F2EBC" w:rsidRPr="003A1D53">
        <w:rPr>
          <w:rFonts w:ascii="Times New Roman" w:hAnsi="Times New Roman"/>
          <w:sz w:val="24"/>
          <w:szCs w:val="24"/>
        </w:rPr>
        <w:t xml:space="preserve">Le problème des </w:t>
      </w:r>
      <w:r w:rsidR="00865844" w:rsidRPr="003A1D53">
        <w:rPr>
          <w:rFonts w:ascii="Times New Roman" w:hAnsi="Times New Roman"/>
          <w:sz w:val="24"/>
          <w:szCs w:val="24"/>
        </w:rPr>
        <w:t xml:space="preserve">écarts entre cycles de programmation est déjà évoqué dans la section consacrée à la programmation conjointe. </w:t>
      </w:r>
      <w:r w:rsidR="002F7BFD" w:rsidRPr="003A1D53">
        <w:rPr>
          <w:rFonts w:ascii="Times New Roman" w:hAnsi="Times New Roman"/>
          <w:sz w:val="24"/>
          <w:szCs w:val="24"/>
        </w:rPr>
        <w:t>Les fonctions d’opération, plus exactement la rigidifié avec laquelle les entités considérèrent les leurs</w:t>
      </w:r>
      <w:r w:rsidR="00865844" w:rsidRPr="003A1D53">
        <w:rPr>
          <w:rFonts w:ascii="Times New Roman" w:hAnsi="Times New Roman"/>
          <w:sz w:val="24"/>
          <w:szCs w:val="24"/>
        </w:rPr>
        <w:t>, sont un autre élément de handicap</w:t>
      </w:r>
      <w:r w:rsidR="002F7BFD" w:rsidRPr="003A1D53">
        <w:rPr>
          <w:rFonts w:ascii="Times New Roman" w:hAnsi="Times New Roman"/>
          <w:sz w:val="24"/>
          <w:szCs w:val="24"/>
        </w:rPr>
        <w:t>. Bien que toutes les entités soient de la même famille, elles</w:t>
      </w:r>
      <w:r w:rsidR="00865844" w:rsidRPr="003A1D53">
        <w:rPr>
          <w:rFonts w:ascii="Times New Roman" w:hAnsi="Times New Roman"/>
          <w:sz w:val="24"/>
          <w:szCs w:val="24"/>
        </w:rPr>
        <w:t xml:space="preserve"> ont</w:t>
      </w:r>
      <w:r w:rsidR="002F7BFD" w:rsidRPr="003A1D53">
        <w:rPr>
          <w:rFonts w:ascii="Times New Roman" w:hAnsi="Times New Roman"/>
          <w:sz w:val="24"/>
          <w:szCs w:val="24"/>
        </w:rPr>
        <w:t xml:space="preserve"> toutes des procédures de fonctionnement et d’opération différentes, même s’il peut y avoir </w:t>
      </w:r>
      <w:r w:rsidR="00865844" w:rsidRPr="003A1D53">
        <w:rPr>
          <w:rFonts w:ascii="Times New Roman" w:hAnsi="Times New Roman"/>
          <w:sz w:val="24"/>
          <w:szCs w:val="24"/>
        </w:rPr>
        <w:t>des proximités entre certaines.</w:t>
      </w:r>
    </w:p>
    <w:p w14:paraId="604B5349" w14:textId="77777777" w:rsidR="00865844" w:rsidRPr="003A1D53" w:rsidRDefault="00865844" w:rsidP="005B22B2">
      <w:pPr>
        <w:spacing w:after="0" w:line="240" w:lineRule="auto"/>
        <w:jc w:val="both"/>
        <w:rPr>
          <w:rFonts w:ascii="Times New Roman" w:hAnsi="Times New Roman"/>
          <w:sz w:val="24"/>
          <w:szCs w:val="24"/>
        </w:rPr>
      </w:pPr>
    </w:p>
    <w:p w14:paraId="604B534A" w14:textId="77777777" w:rsidR="002F7BFD"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199.</w:t>
      </w:r>
      <w:r w:rsidR="00865844" w:rsidRPr="003A1D53">
        <w:rPr>
          <w:rFonts w:ascii="Times New Roman" w:hAnsi="Times New Roman"/>
          <w:sz w:val="24"/>
          <w:szCs w:val="24"/>
        </w:rPr>
        <w:tab/>
      </w:r>
      <w:r w:rsidR="002F7BFD" w:rsidRPr="003A1D53">
        <w:rPr>
          <w:rFonts w:ascii="Times New Roman" w:hAnsi="Times New Roman"/>
          <w:sz w:val="24"/>
          <w:szCs w:val="24"/>
        </w:rPr>
        <w:t>L’enfermement dans ces procédures entretient des préventions contre l</w:t>
      </w:r>
      <w:r w:rsidR="00865844" w:rsidRPr="003A1D53">
        <w:rPr>
          <w:rFonts w:ascii="Times New Roman" w:hAnsi="Times New Roman"/>
          <w:sz w:val="24"/>
          <w:szCs w:val="24"/>
        </w:rPr>
        <w:t xml:space="preserve">e développement des interfaces inter entités. Chaque entité cherche toujours à retomber dans </w:t>
      </w:r>
      <w:r w:rsidR="002F7BFD" w:rsidRPr="003A1D53">
        <w:rPr>
          <w:rFonts w:ascii="Times New Roman" w:hAnsi="Times New Roman"/>
          <w:sz w:val="24"/>
          <w:szCs w:val="24"/>
        </w:rPr>
        <w:t>retomber dans ses procédures d’opérations ? Pourtant la réforme UNDAF permet</w:t>
      </w:r>
      <w:r w:rsidR="00865844" w:rsidRPr="003A1D53">
        <w:rPr>
          <w:rFonts w:ascii="Times New Roman" w:hAnsi="Times New Roman"/>
          <w:sz w:val="24"/>
          <w:szCs w:val="24"/>
        </w:rPr>
        <w:t>,</w:t>
      </w:r>
      <w:r w:rsidR="002F7BFD" w:rsidRPr="003A1D53">
        <w:rPr>
          <w:rFonts w:ascii="Times New Roman" w:hAnsi="Times New Roman"/>
          <w:sz w:val="24"/>
          <w:szCs w:val="24"/>
        </w:rPr>
        <w:t xml:space="preserve"> au niveau local</w:t>
      </w:r>
      <w:r w:rsidR="00865844" w:rsidRPr="003A1D53">
        <w:rPr>
          <w:rFonts w:ascii="Times New Roman" w:hAnsi="Times New Roman"/>
          <w:sz w:val="24"/>
          <w:szCs w:val="24"/>
        </w:rPr>
        <w:t>,</w:t>
      </w:r>
      <w:r w:rsidR="002F7BFD" w:rsidRPr="003A1D53">
        <w:rPr>
          <w:rFonts w:ascii="Times New Roman" w:hAnsi="Times New Roman"/>
          <w:sz w:val="24"/>
          <w:szCs w:val="24"/>
        </w:rPr>
        <w:t xml:space="preserve"> aux agences </w:t>
      </w:r>
      <w:r w:rsidR="00865844" w:rsidRPr="003A1D53">
        <w:rPr>
          <w:rFonts w:ascii="Times New Roman" w:hAnsi="Times New Roman"/>
          <w:sz w:val="24"/>
          <w:szCs w:val="24"/>
        </w:rPr>
        <w:t xml:space="preserve">et entités </w:t>
      </w:r>
      <w:r w:rsidR="002F7BFD" w:rsidRPr="003A1D53">
        <w:rPr>
          <w:rFonts w:ascii="Times New Roman" w:hAnsi="Times New Roman"/>
          <w:sz w:val="24"/>
          <w:szCs w:val="24"/>
        </w:rPr>
        <w:t>de se régler ensemble sur les procédures d</w:t>
      </w:r>
      <w:r w:rsidR="00865844" w:rsidRPr="003A1D53">
        <w:rPr>
          <w:rFonts w:ascii="Times New Roman" w:hAnsi="Times New Roman"/>
          <w:sz w:val="24"/>
          <w:szCs w:val="24"/>
        </w:rPr>
        <w:t>e l’une d’entre elles,</w:t>
      </w:r>
      <w:r w:rsidR="002F7BFD" w:rsidRPr="003A1D53">
        <w:rPr>
          <w:rFonts w:ascii="Times New Roman" w:hAnsi="Times New Roman"/>
          <w:sz w:val="24"/>
          <w:szCs w:val="24"/>
        </w:rPr>
        <w:t xml:space="preserve"> après avoir documenté qu’elles sont en l’occurrence une vraie source de valeur ajoutée</w:t>
      </w:r>
      <w:r w:rsidR="00865844" w:rsidRPr="003A1D53">
        <w:rPr>
          <w:rFonts w:ascii="Times New Roman" w:hAnsi="Times New Roman"/>
          <w:sz w:val="24"/>
          <w:szCs w:val="24"/>
        </w:rPr>
        <w:t xml:space="preserve"> (source OMT)</w:t>
      </w:r>
      <w:r w:rsidR="002F7BFD" w:rsidRPr="003A1D53">
        <w:rPr>
          <w:rFonts w:ascii="Times New Roman" w:hAnsi="Times New Roman"/>
          <w:sz w:val="24"/>
          <w:szCs w:val="24"/>
        </w:rPr>
        <w:t>. Ma</w:t>
      </w:r>
      <w:r w:rsidR="005D04B7" w:rsidRPr="003A1D53">
        <w:rPr>
          <w:rFonts w:ascii="Times New Roman" w:hAnsi="Times New Roman"/>
          <w:sz w:val="24"/>
          <w:szCs w:val="24"/>
        </w:rPr>
        <w:t xml:space="preserve">is cette </w:t>
      </w:r>
      <w:r w:rsidR="005D04B7" w:rsidRPr="003A1D53">
        <w:rPr>
          <w:rFonts w:ascii="Times New Roman" w:hAnsi="Times New Roman"/>
          <w:sz w:val="24"/>
          <w:szCs w:val="24"/>
        </w:rPr>
        <w:lastRenderedPageBreak/>
        <w:t xml:space="preserve">opportunité ne serait </w:t>
      </w:r>
      <w:r w:rsidR="002F7BFD" w:rsidRPr="003A1D53">
        <w:rPr>
          <w:rFonts w:ascii="Times New Roman" w:hAnsi="Times New Roman"/>
          <w:sz w:val="24"/>
          <w:szCs w:val="24"/>
        </w:rPr>
        <w:t>p</w:t>
      </w:r>
      <w:r w:rsidR="005D04B7" w:rsidRPr="003A1D53">
        <w:rPr>
          <w:rFonts w:ascii="Times New Roman" w:hAnsi="Times New Roman"/>
          <w:sz w:val="24"/>
          <w:szCs w:val="24"/>
        </w:rPr>
        <w:t>a</w:t>
      </w:r>
      <w:r w:rsidR="002F7BFD" w:rsidRPr="003A1D53">
        <w:rPr>
          <w:rFonts w:ascii="Times New Roman" w:hAnsi="Times New Roman"/>
          <w:sz w:val="24"/>
          <w:szCs w:val="24"/>
        </w:rPr>
        <w:t xml:space="preserve">s assez connue par les </w:t>
      </w:r>
      <w:r w:rsidR="00865844" w:rsidRPr="003A1D53">
        <w:rPr>
          <w:rFonts w:ascii="Times New Roman" w:hAnsi="Times New Roman"/>
          <w:sz w:val="24"/>
          <w:szCs w:val="24"/>
        </w:rPr>
        <w:t>entités</w:t>
      </w:r>
      <w:r w:rsidR="002F7BFD" w:rsidRPr="003A1D53">
        <w:rPr>
          <w:rFonts w:ascii="Times New Roman" w:hAnsi="Times New Roman"/>
          <w:sz w:val="24"/>
          <w:szCs w:val="24"/>
        </w:rPr>
        <w:t>, qui persistent à c</w:t>
      </w:r>
      <w:r w:rsidR="00865844" w:rsidRPr="003A1D53">
        <w:rPr>
          <w:rFonts w:ascii="Times New Roman" w:hAnsi="Times New Roman"/>
          <w:sz w:val="24"/>
          <w:szCs w:val="24"/>
        </w:rPr>
        <w:t xml:space="preserve">onsidérer </w:t>
      </w:r>
      <w:r w:rsidR="002F7BFD" w:rsidRPr="003A1D53">
        <w:rPr>
          <w:rFonts w:ascii="Times New Roman" w:hAnsi="Times New Roman"/>
          <w:sz w:val="24"/>
          <w:szCs w:val="24"/>
        </w:rPr>
        <w:t>que l’observance de leurs procédures propres est inaliénable</w:t>
      </w:r>
      <w:r w:rsidR="00865844" w:rsidRPr="003A1D53">
        <w:rPr>
          <w:rFonts w:ascii="Times New Roman" w:hAnsi="Times New Roman"/>
          <w:sz w:val="24"/>
          <w:szCs w:val="24"/>
        </w:rPr>
        <w:t>. C</w:t>
      </w:r>
      <w:r w:rsidR="002F7BFD" w:rsidRPr="003A1D53">
        <w:rPr>
          <w:rFonts w:ascii="Times New Roman" w:hAnsi="Times New Roman"/>
          <w:sz w:val="24"/>
          <w:szCs w:val="24"/>
        </w:rPr>
        <w:t xml:space="preserve">e réflexe plombe jusqu’aux projets conjoints, où généralement chaque partie opère et gère </w:t>
      </w:r>
      <w:r w:rsidR="00865844" w:rsidRPr="003A1D53">
        <w:rPr>
          <w:rFonts w:ascii="Times New Roman" w:hAnsi="Times New Roman"/>
          <w:sz w:val="24"/>
          <w:szCs w:val="24"/>
        </w:rPr>
        <w:t>ses</w:t>
      </w:r>
      <w:r w:rsidR="002F7BFD" w:rsidRPr="003A1D53">
        <w:rPr>
          <w:rFonts w:ascii="Times New Roman" w:hAnsi="Times New Roman"/>
          <w:sz w:val="24"/>
          <w:szCs w:val="24"/>
        </w:rPr>
        <w:t xml:space="preserve"> ressources </w:t>
      </w:r>
      <w:r w:rsidR="00865844" w:rsidRPr="003A1D53">
        <w:rPr>
          <w:rFonts w:ascii="Times New Roman" w:hAnsi="Times New Roman"/>
          <w:sz w:val="24"/>
          <w:szCs w:val="24"/>
        </w:rPr>
        <w:t>de son côté</w:t>
      </w:r>
      <w:r w:rsidR="002F7BFD" w:rsidRPr="003A1D53">
        <w:rPr>
          <w:rFonts w:ascii="Times New Roman" w:hAnsi="Times New Roman"/>
          <w:sz w:val="24"/>
          <w:szCs w:val="24"/>
        </w:rPr>
        <w:t>, même si celles-ci viennent d</w:t>
      </w:r>
      <w:r w:rsidR="00865844" w:rsidRPr="003A1D53">
        <w:rPr>
          <w:rFonts w:ascii="Times New Roman" w:hAnsi="Times New Roman"/>
          <w:sz w:val="24"/>
          <w:szCs w:val="24"/>
        </w:rPr>
        <w:t>’</w:t>
      </w:r>
      <w:r w:rsidR="002F7BFD" w:rsidRPr="003A1D53">
        <w:rPr>
          <w:rFonts w:ascii="Times New Roman" w:hAnsi="Times New Roman"/>
          <w:sz w:val="24"/>
          <w:szCs w:val="24"/>
        </w:rPr>
        <w:t>u</w:t>
      </w:r>
      <w:r w:rsidR="00865844" w:rsidRPr="003A1D53">
        <w:rPr>
          <w:rFonts w:ascii="Times New Roman" w:hAnsi="Times New Roman"/>
          <w:sz w:val="24"/>
          <w:szCs w:val="24"/>
        </w:rPr>
        <w:t>n</w:t>
      </w:r>
      <w:r w:rsidR="002F7BFD" w:rsidRPr="003A1D53">
        <w:rPr>
          <w:rFonts w:ascii="Times New Roman" w:hAnsi="Times New Roman"/>
          <w:sz w:val="24"/>
          <w:szCs w:val="24"/>
        </w:rPr>
        <w:t xml:space="preserve"> même bailleur ou mécanisme financier.  </w:t>
      </w:r>
    </w:p>
    <w:p w14:paraId="604B534B" w14:textId="77777777" w:rsidR="002F7BFD" w:rsidRPr="003A1D53" w:rsidRDefault="002F7BFD" w:rsidP="005B22B2">
      <w:pPr>
        <w:spacing w:after="0" w:line="240" w:lineRule="auto"/>
        <w:jc w:val="both"/>
        <w:rPr>
          <w:rFonts w:ascii="Times New Roman" w:hAnsi="Times New Roman"/>
          <w:sz w:val="24"/>
          <w:szCs w:val="24"/>
        </w:rPr>
      </w:pPr>
    </w:p>
    <w:p w14:paraId="604B534C" w14:textId="77777777" w:rsidR="002F7BFD"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200</w:t>
      </w:r>
      <w:r w:rsidR="0015327E" w:rsidRPr="003A1D53">
        <w:rPr>
          <w:rFonts w:ascii="Times New Roman" w:hAnsi="Times New Roman"/>
          <w:sz w:val="24"/>
          <w:szCs w:val="24"/>
        </w:rPr>
        <w:t>.</w:t>
      </w:r>
      <w:r w:rsidR="002F7BFD" w:rsidRPr="003A1D53">
        <w:rPr>
          <w:rFonts w:ascii="Times New Roman" w:hAnsi="Times New Roman"/>
          <w:sz w:val="24"/>
          <w:szCs w:val="24"/>
        </w:rPr>
        <w:tab/>
      </w:r>
      <w:r w:rsidR="00865844" w:rsidRPr="003A1D53">
        <w:rPr>
          <w:rFonts w:ascii="Times New Roman" w:hAnsi="Times New Roman"/>
          <w:sz w:val="24"/>
          <w:szCs w:val="24"/>
        </w:rPr>
        <w:t>Les deux institutions de Breton Woods sont un autre cas de figure dans la réflexion sur les interfaces intra UN</w:t>
      </w:r>
      <w:r w:rsidR="002F7BFD" w:rsidRPr="003A1D53">
        <w:rPr>
          <w:rFonts w:ascii="Times New Roman" w:hAnsi="Times New Roman"/>
          <w:sz w:val="24"/>
          <w:szCs w:val="24"/>
        </w:rPr>
        <w:t xml:space="preserve">. Le Fonds Monétaire </w:t>
      </w:r>
      <w:r w:rsidR="00865844" w:rsidRPr="003A1D53">
        <w:rPr>
          <w:rFonts w:ascii="Times New Roman" w:hAnsi="Times New Roman"/>
          <w:sz w:val="24"/>
          <w:szCs w:val="24"/>
        </w:rPr>
        <w:t>International marque une présenc</w:t>
      </w:r>
      <w:r w:rsidR="002F7BFD" w:rsidRPr="003A1D53">
        <w:rPr>
          <w:rFonts w:ascii="Times New Roman" w:hAnsi="Times New Roman"/>
          <w:sz w:val="24"/>
          <w:szCs w:val="24"/>
        </w:rPr>
        <w:t>e dans l’Equipe Pays. La mission d’évaluation n’a toutefois pas perçu une mobilisation importante des capacités du Fonds dans les constructions de perspectives lo</w:t>
      </w:r>
      <w:r w:rsidR="00705F60" w:rsidRPr="003A1D53">
        <w:rPr>
          <w:rFonts w:ascii="Times New Roman" w:hAnsi="Times New Roman"/>
          <w:sz w:val="24"/>
          <w:szCs w:val="24"/>
        </w:rPr>
        <w:t>n</w:t>
      </w:r>
      <w:r w:rsidR="002F7BFD" w:rsidRPr="003A1D53">
        <w:rPr>
          <w:rFonts w:ascii="Times New Roman" w:hAnsi="Times New Roman"/>
          <w:sz w:val="24"/>
          <w:szCs w:val="24"/>
        </w:rPr>
        <w:t>gues de conjoncture pour le pays. Les stratégies de coopération des entités de développement génèrent par ailleurs des incidences de cadre macroéconomique qui ne sont pas internalisées ex ante dans les instruments de cadr</w:t>
      </w:r>
      <w:r w:rsidR="00705F60" w:rsidRPr="003A1D53">
        <w:rPr>
          <w:rFonts w:ascii="Times New Roman" w:hAnsi="Times New Roman"/>
          <w:sz w:val="24"/>
          <w:szCs w:val="24"/>
        </w:rPr>
        <w:t>age</w:t>
      </w:r>
      <w:r w:rsidR="002F7BFD" w:rsidRPr="003A1D53">
        <w:rPr>
          <w:rFonts w:ascii="Times New Roman" w:hAnsi="Times New Roman"/>
          <w:sz w:val="24"/>
          <w:szCs w:val="24"/>
        </w:rPr>
        <w:t xml:space="preserve"> budgétaire et de stabilisation économique que le Fonds aide le pays à développer. La Banque Mondiale</w:t>
      </w:r>
      <w:r w:rsidR="00705F60" w:rsidRPr="003A1D53">
        <w:rPr>
          <w:rFonts w:ascii="Times New Roman" w:hAnsi="Times New Roman"/>
          <w:sz w:val="24"/>
          <w:szCs w:val="24"/>
        </w:rPr>
        <w:t xml:space="preserve"> est quasiment absente de l’Equipe Pays, alors qu’elle est un </w:t>
      </w:r>
      <w:r w:rsidR="002F7BFD" w:rsidRPr="003A1D53">
        <w:rPr>
          <w:rFonts w:ascii="Times New Roman" w:hAnsi="Times New Roman"/>
          <w:sz w:val="24"/>
          <w:szCs w:val="24"/>
        </w:rPr>
        <w:t>acteur principal d</w:t>
      </w:r>
      <w:r w:rsidR="00705F60" w:rsidRPr="003A1D53">
        <w:rPr>
          <w:rFonts w:ascii="Times New Roman" w:hAnsi="Times New Roman"/>
          <w:sz w:val="24"/>
          <w:szCs w:val="24"/>
        </w:rPr>
        <w:t xml:space="preserve">ans le </w:t>
      </w:r>
      <w:r w:rsidR="002F7BFD" w:rsidRPr="003A1D53">
        <w:rPr>
          <w:rFonts w:ascii="Times New Roman" w:hAnsi="Times New Roman"/>
          <w:sz w:val="24"/>
          <w:szCs w:val="24"/>
        </w:rPr>
        <w:t>métier de</w:t>
      </w:r>
      <w:r w:rsidR="00705F60" w:rsidRPr="003A1D53">
        <w:rPr>
          <w:rFonts w:ascii="Times New Roman" w:hAnsi="Times New Roman"/>
          <w:sz w:val="24"/>
          <w:szCs w:val="24"/>
        </w:rPr>
        <w:t xml:space="preserve"> coopération au</w:t>
      </w:r>
      <w:r w:rsidR="002F7BFD" w:rsidRPr="003A1D53">
        <w:rPr>
          <w:rFonts w:ascii="Times New Roman" w:hAnsi="Times New Roman"/>
          <w:sz w:val="24"/>
          <w:szCs w:val="24"/>
        </w:rPr>
        <w:t xml:space="preserve"> développement, dont les Agences, Fonds et Programmes, sont partie prenante, </w:t>
      </w:r>
    </w:p>
    <w:p w14:paraId="604B534D" w14:textId="77777777" w:rsidR="002F7BFD" w:rsidRPr="003A1D53" w:rsidRDefault="002F7BFD" w:rsidP="005B22B2">
      <w:pPr>
        <w:spacing w:after="0" w:line="240" w:lineRule="auto"/>
        <w:jc w:val="both"/>
        <w:rPr>
          <w:rFonts w:ascii="Times New Roman" w:hAnsi="Times New Roman"/>
          <w:sz w:val="24"/>
          <w:szCs w:val="24"/>
        </w:rPr>
      </w:pPr>
    </w:p>
    <w:p w14:paraId="604B534E" w14:textId="77777777" w:rsidR="002F7BFD"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201</w:t>
      </w:r>
      <w:r w:rsidR="002F7BFD" w:rsidRPr="003A1D53">
        <w:rPr>
          <w:rFonts w:ascii="Times New Roman" w:hAnsi="Times New Roman"/>
          <w:sz w:val="24"/>
          <w:szCs w:val="24"/>
        </w:rPr>
        <w:t>.</w:t>
      </w:r>
      <w:r w:rsidR="002F7BFD" w:rsidRPr="003A1D53">
        <w:rPr>
          <w:rFonts w:ascii="Times New Roman" w:hAnsi="Times New Roman"/>
          <w:sz w:val="24"/>
          <w:szCs w:val="24"/>
        </w:rPr>
        <w:tab/>
      </w:r>
      <w:r w:rsidR="00705F60" w:rsidRPr="003A1D53">
        <w:rPr>
          <w:rFonts w:ascii="Times New Roman" w:hAnsi="Times New Roman"/>
          <w:b/>
          <w:i/>
          <w:sz w:val="24"/>
          <w:szCs w:val="24"/>
        </w:rPr>
        <w:t>Interfaces a</w:t>
      </w:r>
      <w:r w:rsidR="002F7BFD" w:rsidRPr="003A1D53">
        <w:rPr>
          <w:rFonts w:ascii="Times New Roman" w:hAnsi="Times New Roman"/>
          <w:b/>
          <w:i/>
          <w:sz w:val="24"/>
          <w:szCs w:val="24"/>
        </w:rPr>
        <w:t>vec le Gouvernement</w:t>
      </w:r>
      <w:r w:rsidR="002F7BFD" w:rsidRPr="003A1D53">
        <w:rPr>
          <w:rFonts w:ascii="Times New Roman" w:hAnsi="Times New Roman"/>
          <w:sz w:val="24"/>
          <w:szCs w:val="24"/>
        </w:rPr>
        <w:t xml:space="preserve">, le positionnement du système est jugé précieux et de grande valeur. Les savoir faire des entités onusiennes sont appréciés, ce qui justifie que le Gouvernement leur confie de plus en plus de ressources propres à exécuter. Les </w:t>
      </w:r>
      <w:r w:rsidR="00705F60" w:rsidRPr="003A1D53">
        <w:rPr>
          <w:rFonts w:ascii="Times New Roman" w:hAnsi="Times New Roman"/>
          <w:sz w:val="24"/>
          <w:szCs w:val="24"/>
        </w:rPr>
        <w:t>procédures de</w:t>
      </w:r>
      <w:r w:rsidR="002F7BFD" w:rsidRPr="003A1D53">
        <w:rPr>
          <w:rFonts w:ascii="Times New Roman" w:hAnsi="Times New Roman"/>
          <w:sz w:val="24"/>
          <w:szCs w:val="24"/>
        </w:rPr>
        <w:t>s agences permettent de gagner du temps</w:t>
      </w:r>
      <w:r w:rsidR="00705F60" w:rsidRPr="003A1D53">
        <w:rPr>
          <w:rFonts w:ascii="Times New Roman" w:hAnsi="Times New Roman"/>
          <w:sz w:val="24"/>
          <w:szCs w:val="24"/>
        </w:rPr>
        <w:t xml:space="preserve">, à l’intérieur de </w:t>
      </w:r>
      <w:r w:rsidR="002F7BFD" w:rsidRPr="003A1D53">
        <w:rPr>
          <w:rFonts w:ascii="Times New Roman" w:hAnsi="Times New Roman"/>
          <w:sz w:val="24"/>
          <w:szCs w:val="24"/>
        </w:rPr>
        <w:t xml:space="preserve">sûretés fiduciaires </w:t>
      </w:r>
      <w:r w:rsidR="00705F60" w:rsidRPr="003A1D53">
        <w:rPr>
          <w:rFonts w:ascii="Times New Roman" w:hAnsi="Times New Roman"/>
          <w:sz w:val="24"/>
          <w:szCs w:val="24"/>
        </w:rPr>
        <w:t>robustes</w:t>
      </w:r>
      <w:r w:rsidR="002F7BFD" w:rsidRPr="003A1D53">
        <w:rPr>
          <w:rFonts w:ascii="Times New Roman" w:hAnsi="Times New Roman"/>
          <w:sz w:val="24"/>
          <w:szCs w:val="24"/>
        </w:rPr>
        <w:t>. Du point de vue des entités publiques, certaines voient même les agences comme un cadre approprié pour sécuriser leurs ressources en les gardant hors de portée des coupes pouvant intervenir à la fav</w:t>
      </w:r>
      <w:r w:rsidR="00705F60" w:rsidRPr="003A1D53">
        <w:rPr>
          <w:rFonts w:ascii="Times New Roman" w:hAnsi="Times New Roman"/>
          <w:sz w:val="24"/>
          <w:szCs w:val="24"/>
        </w:rPr>
        <w:t>eur des collectifs budgétaires.</w:t>
      </w:r>
    </w:p>
    <w:p w14:paraId="604B534F" w14:textId="77777777" w:rsidR="002F7BFD" w:rsidRPr="003A1D53" w:rsidRDefault="002F7BFD" w:rsidP="005B22B2">
      <w:pPr>
        <w:spacing w:after="0" w:line="240" w:lineRule="auto"/>
        <w:jc w:val="both"/>
        <w:rPr>
          <w:rFonts w:ascii="Times New Roman" w:hAnsi="Times New Roman"/>
          <w:sz w:val="24"/>
          <w:szCs w:val="24"/>
        </w:rPr>
      </w:pPr>
    </w:p>
    <w:p w14:paraId="604B5350" w14:textId="77777777" w:rsidR="002F7BFD"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202</w:t>
      </w:r>
      <w:r w:rsidR="002F7BFD" w:rsidRPr="003A1D53">
        <w:rPr>
          <w:rFonts w:ascii="Times New Roman" w:hAnsi="Times New Roman"/>
          <w:sz w:val="24"/>
          <w:szCs w:val="24"/>
        </w:rPr>
        <w:t>.</w:t>
      </w:r>
      <w:r w:rsidR="002F7BFD" w:rsidRPr="003A1D53">
        <w:rPr>
          <w:rFonts w:ascii="Times New Roman" w:hAnsi="Times New Roman"/>
          <w:sz w:val="24"/>
          <w:szCs w:val="24"/>
        </w:rPr>
        <w:tab/>
      </w:r>
      <w:r w:rsidR="002F7BFD" w:rsidRPr="003A1D53">
        <w:rPr>
          <w:rFonts w:ascii="Times New Roman" w:hAnsi="Times New Roman"/>
          <w:b/>
          <w:i/>
          <w:sz w:val="24"/>
          <w:szCs w:val="24"/>
        </w:rPr>
        <w:t>Les autres partenaires</w:t>
      </w:r>
      <w:r w:rsidR="00705F60" w:rsidRPr="003A1D53">
        <w:rPr>
          <w:rFonts w:ascii="Times New Roman" w:hAnsi="Times New Roman"/>
          <w:b/>
          <w:i/>
          <w:sz w:val="24"/>
          <w:szCs w:val="24"/>
        </w:rPr>
        <w:t>, techniques et financiers,</w:t>
      </w:r>
      <w:r w:rsidR="002F7BFD" w:rsidRPr="003A1D53">
        <w:rPr>
          <w:rFonts w:ascii="Times New Roman" w:hAnsi="Times New Roman"/>
          <w:sz w:val="24"/>
          <w:szCs w:val="24"/>
        </w:rPr>
        <w:t xml:space="preserve"> abondent le financement du programme à partir d’une lecture des capacités intrinsèques des Agences, pas du Système en tant que tel. Ils font généralement valoir que la présence continue du Système dans le pays</w:t>
      </w:r>
      <w:r w:rsidR="00705F60" w:rsidRPr="003A1D53">
        <w:rPr>
          <w:rFonts w:ascii="Times New Roman" w:hAnsi="Times New Roman"/>
          <w:sz w:val="24"/>
          <w:szCs w:val="24"/>
        </w:rPr>
        <w:t>,</w:t>
      </w:r>
      <w:r w:rsidR="002F7BFD" w:rsidRPr="003A1D53">
        <w:rPr>
          <w:rFonts w:ascii="Times New Roman" w:hAnsi="Times New Roman"/>
          <w:sz w:val="24"/>
          <w:szCs w:val="24"/>
        </w:rPr>
        <w:t xml:space="preserve"> et aux côtés des autorités nationales</w:t>
      </w:r>
      <w:r w:rsidR="00705F60" w:rsidRPr="003A1D53">
        <w:rPr>
          <w:rFonts w:ascii="Times New Roman" w:hAnsi="Times New Roman"/>
          <w:sz w:val="24"/>
          <w:szCs w:val="24"/>
        </w:rPr>
        <w:t>,</w:t>
      </w:r>
      <w:r w:rsidR="002F7BFD" w:rsidRPr="003A1D53">
        <w:rPr>
          <w:rFonts w:ascii="Times New Roman" w:hAnsi="Times New Roman"/>
          <w:sz w:val="24"/>
          <w:szCs w:val="24"/>
        </w:rPr>
        <w:t xml:space="preserve"> lui donnent une connaissance </w:t>
      </w:r>
      <w:r w:rsidR="00705F60" w:rsidRPr="003A1D53">
        <w:rPr>
          <w:rFonts w:ascii="Times New Roman" w:hAnsi="Times New Roman"/>
          <w:sz w:val="24"/>
          <w:szCs w:val="24"/>
        </w:rPr>
        <w:t xml:space="preserve">précieuse </w:t>
      </w:r>
      <w:r w:rsidR="002F7BFD" w:rsidRPr="003A1D53">
        <w:rPr>
          <w:rFonts w:ascii="Times New Roman" w:hAnsi="Times New Roman"/>
          <w:sz w:val="24"/>
          <w:szCs w:val="24"/>
        </w:rPr>
        <w:t>de l’environnement. Ils perçoivent aussi bien toute la confiance que l’Etat place dans les Nations Unies. Certains, au demeurant, i</w:t>
      </w:r>
      <w:r w:rsidR="00554BDA" w:rsidRPr="003A1D53">
        <w:rPr>
          <w:rFonts w:ascii="Times New Roman" w:hAnsi="Times New Roman"/>
          <w:sz w:val="24"/>
          <w:szCs w:val="24"/>
        </w:rPr>
        <w:t>nterprètent l’entre-</w:t>
      </w:r>
      <w:r w:rsidR="002F7BFD" w:rsidRPr="003A1D53">
        <w:rPr>
          <w:rFonts w:ascii="Times New Roman" w:hAnsi="Times New Roman"/>
          <w:sz w:val="24"/>
          <w:szCs w:val="24"/>
        </w:rPr>
        <w:t>deux comme un lieu de complicités qui peut être opposé à la réputation d’indépendance du Système</w:t>
      </w:r>
      <w:r w:rsidR="00554BDA" w:rsidRPr="003A1D53">
        <w:rPr>
          <w:rFonts w:ascii="Times New Roman" w:hAnsi="Times New Roman"/>
          <w:sz w:val="24"/>
          <w:szCs w:val="24"/>
        </w:rPr>
        <w:t>. L’attention de l</w:t>
      </w:r>
      <w:r w:rsidR="00705F60" w:rsidRPr="003A1D53">
        <w:rPr>
          <w:rFonts w:ascii="Times New Roman" w:hAnsi="Times New Roman"/>
          <w:sz w:val="24"/>
          <w:szCs w:val="24"/>
        </w:rPr>
        <w:t xml:space="preserve">’évaluateur </w:t>
      </w:r>
      <w:r w:rsidR="00554BDA" w:rsidRPr="003A1D53">
        <w:rPr>
          <w:rFonts w:ascii="Times New Roman" w:hAnsi="Times New Roman"/>
          <w:sz w:val="24"/>
          <w:szCs w:val="24"/>
        </w:rPr>
        <w:t>a été appelé sur le fait que l</w:t>
      </w:r>
      <w:r w:rsidR="002F7BFD" w:rsidRPr="003A1D53">
        <w:rPr>
          <w:rFonts w:ascii="Times New Roman" w:hAnsi="Times New Roman"/>
          <w:sz w:val="24"/>
          <w:szCs w:val="24"/>
        </w:rPr>
        <w:t>es agences recrut</w:t>
      </w:r>
      <w:r w:rsidR="00705F60" w:rsidRPr="003A1D53">
        <w:rPr>
          <w:rFonts w:ascii="Times New Roman" w:hAnsi="Times New Roman"/>
          <w:sz w:val="24"/>
          <w:szCs w:val="24"/>
        </w:rPr>
        <w:t>ai</w:t>
      </w:r>
      <w:r w:rsidR="002F7BFD" w:rsidRPr="003A1D53">
        <w:rPr>
          <w:rFonts w:ascii="Times New Roman" w:hAnsi="Times New Roman"/>
          <w:sz w:val="24"/>
          <w:szCs w:val="24"/>
        </w:rPr>
        <w:t xml:space="preserve">ent beaucoup dans les structures nationales, et </w:t>
      </w:r>
      <w:r w:rsidR="00705F60" w:rsidRPr="003A1D53">
        <w:rPr>
          <w:rFonts w:ascii="Times New Roman" w:hAnsi="Times New Roman"/>
          <w:sz w:val="24"/>
          <w:szCs w:val="24"/>
        </w:rPr>
        <w:t xml:space="preserve">leurs </w:t>
      </w:r>
      <w:r w:rsidR="002F7BFD" w:rsidRPr="003A1D53">
        <w:rPr>
          <w:rFonts w:ascii="Times New Roman" w:hAnsi="Times New Roman"/>
          <w:sz w:val="24"/>
          <w:szCs w:val="24"/>
        </w:rPr>
        <w:t>staffs retourn</w:t>
      </w:r>
      <w:r w:rsidR="00705F60" w:rsidRPr="003A1D53">
        <w:rPr>
          <w:rFonts w:ascii="Times New Roman" w:hAnsi="Times New Roman"/>
          <w:sz w:val="24"/>
          <w:szCs w:val="24"/>
        </w:rPr>
        <w:t>ai</w:t>
      </w:r>
      <w:r w:rsidR="002F7BFD" w:rsidRPr="003A1D53">
        <w:rPr>
          <w:rFonts w:ascii="Times New Roman" w:hAnsi="Times New Roman"/>
          <w:sz w:val="24"/>
          <w:szCs w:val="24"/>
        </w:rPr>
        <w:t xml:space="preserve">ent parfois reprendre des responsabilités au cœur ou au sommet de l’Etat. Cette </w:t>
      </w:r>
      <w:r w:rsidR="00705F60" w:rsidRPr="003A1D53">
        <w:rPr>
          <w:rFonts w:ascii="Times New Roman" w:hAnsi="Times New Roman"/>
          <w:sz w:val="24"/>
          <w:szCs w:val="24"/>
        </w:rPr>
        <w:t>porosité entre le Système et son environnement, est somme toute naturelle</w:t>
      </w:r>
      <w:r w:rsidR="002F7BFD" w:rsidRPr="003A1D53">
        <w:rPr>
          <w:rFonts w:ascii="Times New Roman" w:hAnsi="Times New Roman"/>
          <w:sz w:val="24"/>
          <w:szCs w:val="24"/>
        </w:rPr>
        <w:t>, et peut même être un véhicule pour le développement des capacités nationales</w:t>
      </w:r>
      <w:r w:rsidR="00554BDA" w:rsidRPr="003A1D53">
        <w:rPr>
          <w:rFonts w:ascii="Times New Roman" w:hAnsi="Times New Roman"/>
          <w:sz w:val="24"/>
          <w:szCs w:val="24"/>
        </w:rPr>
        <w:t>. Malgré t</w:t>
      </w:r>
      <w:r w:rsidR="002F7BFD" w:rsidRPr="003A1D53">
        <w:rPr>
          <w:rFonts w:ascii="Times New Roman" w:hAnsi="Times New Roman"/>
          <w:sz w:val="24"/>
          <w:szCs w:val="24"/>
        </w:rPr>
        <w:t>out</w:t>
      </w:r>
      <w:r w:rsidR="00554BDA" w:rsidRPr="003A1D53">
        <w:rPr>
          <w:rFonts w:ascii="Times New Roman" w:hAnsi="Times New Roman"/>
          <w:sz w:val="24"/>
          <w:szCs w:val="24"/>
        </w:rPr>
        <w:t>,</w:t>
      </w:r>
      <w:r w:rsidR="002F7BFD" w:rsidRPr="003A1D53">
        <w:rPr>
          <w:rFonts w:ascii="Times New Roman" w:hAnsi="Times New Roman"/>
          <w:sz w:val="24"/>
          <w:szCs w:val="24"/>
        </w:rPr>
        <w:t xml:space="preserve"> certains partenaires financiers alertent sur le fait qu’elle peut faire peser du risque sur l’indépendance et l’impartialité des </w:t>
      </w:r>
      <w:r w:rsidR="00554BDA" w:rsidRPr="003A1D53">
        <w:rPr>
          <w:rFonts w:ascii="Times New Roman" w:hAnsi="Times New Roman"/>
          <w:sz w:val="24"/>
          <w:szCs w:val="24"/>
        </w:rPr>
        <w:t xml:space="preserve">entités du Système </w:t>
      </w:r>
      <w:r w:rsidR="002F7BFD" w:rsidRPr="003A1D53">
        <w:rPr>
          <w:rFonts w:ascii="Times New Roman" w:hAnsi="Times New Roman"/>
          <w:sz w:val="24"/>
          <w:szCs w:val="24"/>
        </w:rPr>
        <w:t>vis-à-vis d’un Etat</w:t>
      </w:r>
      <w:r w:rsidR="00554BDA" w:rsidRPr="003A1D53">
        <w:rPr>
          <w:rFonts w:ascii="Times New Roman" w:hAnsi="Times New Roman"/>
          <w:sz w:val="24"/>
          <w:szCs w:val="24"/>
        </w:rPr>
        <w:t>.</w:t>
      </w:r>
    </w:p>
    <w:p w14:paraId="604B5351" w14:textId="77777777" w:rsidR="002F7BFD" w:rsidRPr="003A1D53" w:rsidRDefault="002F7BFD" w:rsidP="005B22B2">
      <w:pPr>
        <w:spacing w:after="0" w:line="240" w:lineRule="auto"/>
        <w:jc w:val="both"/>
        <w:rPr>
          <w:rFonts w:ascii="Times New Roman" w:hAnsi="Times New Roman"/>
          <w:sz w:val="24"/>
          <w:szCs w:val="24"/>
        </w:rPr>
      </w:pPr>
    </w:p>
    <w:p w14:paraId="604B5352" w14:textId="77777777" w:rsidR="002F7BFD"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203</w:t>
      </w:r>
      <w:r w:rsidR="0015327E" w:rsidRPr="003A1D53">
        <w:rPr>
          <w:rFonts w:ascii="Times New Roman" w:hAnsi="Times New Roman"/>
          <w:sz w:val="24"/>
          <w:szCs w:val="24"/>
        </w:rPr>
        <w:t>.</w:t>
      </w:r>
      <w:r w:rsidR="002F7BFD" w:rsidRPr="003A1D53">
        <w:rPr>
          <w:rFonts w:ascii="Times New Roman" w:hAnsi="Times New Roman"/>
          <w:sz w:val="24"/>
          <w:szCs w:val="24"/>
        </w:rPr>
        <w:tab/>
        <w:t>Les partenaires techniques et financiers expriment par ailleurs le vœu de voir les agences améliorer leurs profils dans</w:t>
      </w:r>
      <w:r w:rsidR="00554BDA" w:rsidRPr="003A1D53">
        <w:rPr>
          <w:rFonts w:ascii="Times New Roman" w:hAnsi="Times New Roman"/>
          <w:sz w:val="24"/>
          <w:szCs w:val="24"/>
        </w:rPr>
        <w:t xml:space="preserve"> les domaines suivants</w:t>
      </w:r>
      <w:r w:rsidR="002F7BFD" w:rsidRPr="003A1D53">
        <w:rPr>
          <w:rFonts w:ascii="Times New Roman" w:hAnsi="Times New Roman"/>
          <w:sz w:val="24"/>
          <w:szCs w:val="24"/>
        </w:rPr>
        <w:t> : les coûts d’intervention ; les diligences procédurales ; le suivi opérationnel des activités financées ; le reporting. Sur le premier point il est notamment reproché au Système d’avoir des coûts de livraison de biens et services aux bénéficiaires généralement de loin plus élevés que ceux des ONG internationales qui ont pourtant des savoir</w:t>
      </w:r>
      <w:r w:rsidR="00554BDA" w:rsidRPr="003A1D53">
        <w:rPr>
          <w:rFonts w:ascii="Times New Roman" w:hAnsi="Times New Roman"/>
          <w:sz w:val="24"/>
          <w:szCs w:val="24"/>
        </w:rPr>
        <w:t>-</w:t>
      </w:r>
      <w:r w:rsidR="002F7BFD" w:rsidRPr="003A1D53">
        <w:rPr>
          <w:rFonts w:ascii="Times New Roman" w:hAnsi="Times New Roman"/>
          <w:sz w:val="24"/>
          <w:szCs w:val="24"/>
        </w:rPr>
        <w:t>faire équivalents ou proches. Ce n’est pas tant le taux de GMS facturé, mais globalement le</w:t>
      </w:r>
      <w:r w:rsidR="00554BDA" w:rsidRPr="003A1D53">
        <w:rPr>
          <w:rFonts w:ascii="Times New Roman" w:hAnsi="Times New Roman"/>
          <w:sz w:val="24"/>
          <w:szCs w:val="24"/>
        </w:rPr>
        <w:t>s</w:t>
      </w:r>
      <w:r w:rsidR="002F7BFD" w:rsidRPr="003A1D53">
        <w:rPr>
          <w:rFonts w:ascii="Times New Roman" w:hAnsi="Times New Roman"/>
          <w:sz w:val="24"/>
          <w:szCs w:val="24"/>
        </w:rPr>
        <w:t xml:space="preserve"> </w:t>
      </w:r>
      <w:r w:rsidR="00554BDA" w:rsidRPr="003A1D53">
        <w:rPr>
          <w:rFonts w:ascii="Times New Roman" w:hAnsi="Times New Roman"/>
          <w:sz w:val="24"/>
          <w:szCs w:val="24"/>
        </w:rPr>
        <w:t>coûts d’</w:t>
      </w:r>
      <w:r w:rsidR="002F7BFD" w:rsidRPr="003A1D53">
        <w:rPr>
          <w:rFonts w:ascii="Times New Roman" w:hAnsi="Times New Roman"/>
          <w:sz w:val="24"/>
          <w:szCs w:val="24"/>
        </w:rPr>
        <w:t>intermédiation : "Sur le parc, par exemple, , on a vu des agences privilégier l’achat de 4X4 là où des véhicules légers feraient parfaitement l’affaire"</w:t>
      </w:r>
      <w:r w:rsidR="00554BDA" w:rsidRPr="003A1D53">
        <w:rPr>
          <w:rFonts w:ascii="Times New Roman" w:hAnsi="Times New Roman"/>
          <w:sz w:val="24"/>
          <w:szCs w:val="24"/>
        </w:rPr>
        <w:t>, a argumenté un interlocuteur bilatéral, par exemple.</w:t>
      </w:r>
    </w:p>
    <w:p w14:paraId="604B5353" w14:textId="77777777" w:rsidR="002F7BFD" w:rsidRPr="003A1D53" w:rsidRDefault="002F7BFD" w:rsidP="005B22B2">
      <w:pPr>
        <w:spacing w:after="0" w:line="240" w:lineRule="auto"/>
        <w:jc w:val="both"/>
        <w:rPr>
          <w:rFonts w:ascii="Times New Roman" w:hAnsi="Times New Roman"/>
          <w:sz w:val="24"/>
          <w:szCs w:val="24"/>
        </w:rPr>
      </w:pPr>
    </w:p>
    <w:p w14:paraId="604B5354" w14:textId="77777777" w:rsidR="002F7BFD"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204</w:t>
      </w:r>
      <w:r w:rsidR="0015327E" w:rsidRPr="003A1D53">
        <w:rPr>
          <w:rFonts w:ascii="Times New Roman" w:hAnsi="Times New Roman"/>
          <w:sz w:val="24"/>
          <w:szCs w:val="24"/>
        </w:rPr>
        <w:t>.</w:t>
      </w:r>
      <w:r w:rsidR="002F7BFD" w:rsidRPr="003A1D53">
        <w:rPr>
          <w:rFonts w:ascii="Times New Roman" w:hAnsi="Times New Roman"/>
          <w:sz w:val="24"/>
          <w:szCs w:val="24"/>
        </w:rPr>
        <w:tab/>
        <w:t xml:space="preserve">Des partenaires rencontrés estiment aussi que les procédures des Nations Unies ne permettent pas souvent de délivrer les services contractualisés dans les délais convenus </w:t>
      </w:r>
      <w:r w:rsidR="002F7BFD" w:rsidRPr="003A1D53">
        <w:rPr>
          <w:rFonts w:ascii="Times New Roman" w:hAnsi="Times New Roman"/>
          <w:sz w:val="24"/>
          <w:szCs w:val="24"/>
        </w:rPr>
        <w:lastRenderedPageBreak/>
        <w:t>initialement, ouvrant la porte à des demandes d’extension de cycle de programmation sans coût additionnel. Le suivi des activités sur le terrain devrait également être renforcé, selon eux, même s’ils concèdent que le co</w:t>
      </w:r>
      <w:r w:rsidR="00554BDA" w:rsidRPr="003A1D53">
        <w:rPr>
          <w:rFonts w:ascii="Times New Roman" w:hAnsi="Times New Roman"/>
          <w:sz w:val="24"/>
          <w:szCs w:val="24"/>
        </w:rPr>
        <w:t>n</w:t>
      </w:r>
      <w:r w:rsidR="002F7BFD" w:rsidRPr="003A1D53">
        <w:rPr>
          <w:rFonts w:ascii="Times New Roman" w:hAnsi="Times New Roman"/>
          <w:sz w:val="24"/>
          <w:szCs w:val="24"/>
        </w:rPr>
        <w:t>texte sécuritaire dégradé explique, en partie au moins, cette limite. Enfin</w:t>
      </w:r>
      <w:r w:rsidR="00554BDA" w:rsidRPr="003A1D53">
        <w:rPr>
          <w:rFonts w:ascii="Times New Roman" w:hAnsi="Times New Roman"/>
          <w:sz w:val="24"/>
          <w:szCs w:val="24"/>
        </w:rPr>
        <w:t>,</w:t>
      </w:r>
      <w:r w:rsidR="002F7BFD" w:rsidRPr="003A1D53">
        <w:rPr>
          <w:rFonts w:ascii="Times New Roman" w:hAnsi="Times New Roman"/>
          <w:sz w:val="24"/>
          <w:szCs w:val="24"/>
        </w:rPr>
        <w:t xml:space="preserve"> le reporting revient régulièrement com</w:t>
      </w:r>
      <w:r w:rsidR="00554BDA" w:rsidRPr="003A1D53">
        <w:rPr>
          <w:rFonts w:ascii="Times New Roman" w:hAnsi="Times New Roman"/>
          <w:sz w:val="24"/>
          <w:szCs w:val="24"/>
        </w:rPr>
        <w:t>me un point d’insatisfaction : nombre d’entités du Système</w:t>
      </w:r>
      <w:r w:rsidR="002F7BFD" w:rsidRPr="003A1D53">
        <w:rPr>
          <w:rFonts w:ascii="Times New Roman" w:hAnsi="Times New Roman"/>
          <w:sz w:val="24"/>
          <w:szCs w:val="24"/>
        </w:rPr>
        <w:t xml:space="preserve"> </w:t>
      </w:r>
      <w:r w:rsidR="00554BDA" w:rsidRPr="003A1D53">
        <w:rPr>
          <w:rFonts w:ascii="Times New Roman" w:hAnsi="Times New Roman"/>
          <w:sz w:val="24"/>
          <w:szCs w:val="24"/>
        </w:rPr>
        <w:t xml:space="preserve">financés par eux </w:t>
      </w:r>
      <w:r w:rsidR="002F7BFD" w:rsidRPr="003A1D53">
        <w:rPr>
          <w:rFonts w:ascii="Times New Roman" w:hAnsi="Times New Roman"/>
          <w:sz w:val="24"/>
          <w:szCs w:val="24"/>
        </w:rPr>
        <w:t>ne donneraient pas à temps, aussi souvent et dans la clarté requise</w:t>
      </w:r>
      <w:r w:rsidR="00554BDA" w:rsidRPr="003A1D53">
        <w:rPr>
          <w:rFonts w:ascii="Times New Roman" w:hAnsi="Times New Roman"/>
          <w:sz w:val="24"/>
          <w:szCs w:val="24"/>
        </w:rPr>
        <w:t>,</w:t>
      </w:r>
      <w:r w:rsidR="002F7BFD" w:rsidRPr="003A1D53">
        <w:rPr>
          <w:rFonts w:ascii="Times New Roman" w:hAnsi="Times New Roman"/>
          <w:sz w:val="24"/>
          <w:szCs w:val="24"/>
        </w:rPr>
        <w:t xml:space="preserve"> le retour d’information </w:t>
      </w:r>
      <w:r w:rsidR="00554BDA" w:rsidRPr="003A1D53">
        <w:rPr>
          <w:rFonts w:ascii="Times New Roman" w:hAnsi="Times New Roman"/>
          <w:sz w:val="24"/>
          <w:szCs w:val="24"/>
        </w:rPr>
        <w:t>requis</w:t>
      </w:r>
      <w:r w:rsidR="002F7BFD" w:rsidRPr="003A1D53">
        <w:rPr>
          <w:rFonts w:ascii="Times New Roman" w:hAnsi="Times New Roman"/>
          <w:sz w:val="24"/>
          <w:szCs w:val="24"/>
        </w:rPr>
        <w:t>. Les rapports de clôture en particulier seraient très lents à obtenir. Se faire ex</w:t>
      </w:r>
      <w:r w:rsidR="006C7510" w:rsidRPr="003A1D53">
        <w:rPr>
          <w:rFonts w:ascii="Times New Roman" w:hAnsi="Times New Roman"/>
          <w:sz w:val="24"/>
          <w:szCs w:val="24"/>
        </w:rPr>
        <w:t>-</w:t>
      </w:r>
      <w:r w:rsidR="002F7BFD" w:rsidRPr="003A1D53">
        <w:rPr>
          <w:rFonts w:ascii="Times New Roman" w:hAnsi="Times New Roman"/>
          <w:sz w:val="24"/>
          <w:szCs w:val="24"/>
        </w:rPr>
        <w:t xml:space="preserve">tourner les reliquats de ressources serait encore une autre paire de manches ! Parfois, des documents de clôture additionnels sont élaborés d’où les reliquats ont disparu. Ceux qui ont soulevé ces points indiquent clairement ne pas douter de la sincérité de ces ajustements dictés par la prise en compte d’éléments comptables bouclés après la première documentation, mais déplorent un déficit de systématicité qui joue contre l’image de gestionnaire des </w:t>
      </w:r>
      <w:r w:rsidR="00554BDA" w:rsidRPr="003A1D53">
        <w:rPr>
          <w:rFonts w:ascii="Times New Roman" w:hAnsi="Times New Roman"/>
          <w:sz w:val="24"/>
          <w:szCs w:val="24"/>
        </w:rPr>
        <w:t>entités du Système</w:t>
      </w:r>
      <w:r w:rsidR="002F7BFD" w:rsidRPr="003A1D53">
        <w:rPr>
          <w:rFonts w:ascii="Times New Roman" w:hAnsi="Times New Roman"/>
          <w:sz w:val="24"/>
          <w:szCs w:val="24"/>
        </w:rPr>
        <w:t>.</w:t>
      </w:r>
    </w:p>
    <w:p w14:paraId="604B5355" w14:textId="77777777" w:rsidR="002F7BFD" w:rsidRPr="003A1D53" w:rsidRDefault="002F7BFD" w:rsidP="005B22B2">
      <w:pPr>
        <w:spacing w:after="0" w:line="240" w:lineRule="auto"/>
        <w:jc w:val="both"/>
        <w:rPr>
          <w:rFonts w:ascii="Times New Roman" w:hAnsi="Times New Roman"/>
          <w:sz w:val="24"/>
          <w:szCs w:val="24"/>
        </w:rPr>
      </w:pPr>
    </w:p>
    <w:p w14:paraId="604B5356" w14:textId="77777777" w:rsidR="002F7BFD"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205</w:t>
      </w:r>
      <w:r w:rsidR="002F7BFD" w:rsidRPr="003A1D53">
        <w:rPr>
          <w:rFonts w:ascii="Times New Roman" w:hAnsi="Times New Roman"/>
          <w:sz w:val="24"/>
          <w:szCs w:val="24"/>
        </w:rPr>
        <w:t>.</w:t>
      </w:r>
      <w:r w:rsidR="002F7BFD" w:rsidRPr="003A1D53">
        <w:rPr>
          <w:rFonts w:ascii="Times New Roman" w:hAnsi="Times New Roman"/>
          <w:sz w:val="24"/>
          <w:szCs w:val="24"/>
        </w:rPr>
        <w:tab/>
        <w:t>Malgré tout, la possibilité pour les entités du Système de s’appuyer sur les moyens logistiques de la Mission</w:t>
      </w:r>
      <w:r w:rsidR="00EE4E48" w:rsidRPr="003A1D53">
        <w:rPr>
          <w:rFonts w:ascii="Times New Roman" w:hAnsi="Times New Roman"/>
          <w:sz w:val="24"/>
          <w:szCs w:val="24"/>
        </w:rPr>
        <w:t>, et de s</w:t>
      </w:r>
      <w:r w:rsidR="002F7BFD" w:rsidRPr="003A1D53">
        <w:rPr>
          <w:rFonts w:ascii="Times New Roman" w:hAnsi="Times New Roman"/>
          <w:sz w:val="24"/>
          <w:szCs w:val="24"/>
        </w:rPr>
        <w:t xml:space="preserve">e déployer dans pratiquement tout le territoire national, contribue aussi </w:t>
      </w:r>
      <w:r w:rsidR="00EE4E48" w:rsidRPr="003A1D53">
        <w:rPr>
          <w:rFonts w:ascii="Times New Roman" w:hAnsi="Times New Roman"/>
          <w:sz w:val="24"/>
          <w:szCs w:val="24"/>
        </w:rPr>
        <w:t xml:space="preserve">à </w:t>
      </w:r>
      <w:r w:rsidR="002F7BFD" w:rsidRPr="003A1D53">
        <w:rPr>
          <w:rFonts w:ascii="Times New Roman" w:hAnsi="Times New Roman"/>
          <w:sz w:val="24"/>
          <w:szCs w:val="24"/>
        </w:rPr>
        <w:t xml:space="preserve">rendre leur partenariat précieux pour les bailleurs. </w:t>
      </w:r>
    </w:p>
    <w:p w14:paraId="604B5357" w14:textId="77777777" w:rsidR="002F7BFD" w:rsidRPr="003A1D53" w:rsidRDefault="002F7BFD" w:rsidP="005B22B2">
      <w:pPr>
        <w:spacing w:after="0" w:line="240" w:lineRule="auto"/>
        <w:jc w:val="both"/>
        <w:rPr>
          <w:rFonts w:ascii="Times New Roman" w:hAnsi="Times New Roman"/>
          <w:sz w:val="24"/>
          <w:szCs w:val="24"/>
        </w:rPr>
      </w:pPr>
    </w:p>
    <w:p w14:paraId="604B5358" w14:textId="77777777" w:rsidR="001C3C03" w:rsidRPr="003A1D53" w:rsidRDefault="001C3C03" w:rsidP="005B22B2">
      <w:pPr>
        <w:spacing w:after="0" w:line="240" w:lineRule="auto"/>
        <w:jc w:val="both"/>
        <w:rPr>
          <w:rFonts w:ascii="Times New Roman" w:hAnsi="Times New Roman"/>
          <w:b/>
          <w:sz w:val="24"/>
          <w:szCs w:val="24"/>
        </w:rPr>
      </w:pPr>
      <w:r w:rsidRPr="003A1D53">
        <w:rPr>
          <w:rFonts w:ascii="Times New Roman" w:hAnsi="Times New Roman"/>
          <w:b/>
          <w:sz w:val="24"/>
          <w:szCs w:val="24"/>
        </w:rPr>
        <w:tab/>
      </w:r>
      <w:r w:rsidR="00BA39CB" w:rsidRPr="003A1D53">
        <w:rPr>
          <w:rFonts w:ascii="Times New Roman" w:hAnsi="Times New Roman"/>
          <w:b/>
          <w:sz w:val="24"/>
          <w:szCs w:val="24"/>
        </w:rPr>
        <w:t>T</w:t>
      </w:r>
      <w:r w:rsidRPr="003A1D53">
        <w:rPr>
          <w:rFonts w:ascii="Times New Roman" w:hAnsi="Times New Roman"/>
          <w:b/>
          <w:sz w:val="24"/>
          <w:szCs w:val="24"/>
        </w:rPr>
        <w:t>ransition humanitaire-développement</w:t>
      </w:r>
    </w:p>
    <w:p w14:paraId="604B5359" w14:textId="77777777" w:rsidR="001C3C03" w:rsidRPr="003A1D53" w:rsidRDefault="001C3C03" w:rsidP="005B22B2">
      <w:pPr>
        <w:spacing w:after="0" w:line="240" w:lineRule="auto"/>
        <w:jc w:val="both"/>
        <w:rPr>
          <w:rFonts w:ascii="Times New Roman" w:hAnsi="Times New Roman"/>
          <w:sz w:val="24"/>
          <w:szCs w:val="24"/>
        </w:rPr>
      </w:pPr>
    </w:p>
    <w:p w14:paraId="604B535A" w14:textId="77777777" w:rsidR="001C3C03"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206</w:t>
      </w:r>
      <w:r w:rsidR="0015327E" w:rsidRPr="003A1D53">
        <w:rPr>
          <w:rFonts w:ascii="Times New Roman" w:hAnsi="Times New Roman"/>
          <w:sz w:val="24"/>
          <w:szCs w:val="24"/>
        </w:rPr>
        <w:t>.</w:t>
      </w:r>
      <w:r w:rsidR="001C3C03" w:rsidRPr="003A1D53">
        <w:rPr>
          <w:rFonts w:ascii="Times New Roman" w:hAnsi="Times New Roman"/>
          <w:sz w:val="24"/>
          <w:szCs w:val="24"/>
        </w:rPr>
        <w:tab/>
        <w:t>Le profil gén</w:t>
      </w:r>
      <w:r w:rsidR="00EE4E48" w:rsidRPr="003A1D53">
        <w:rPr>
          <w:rFonts w:ascii="Times New Roman" w:hAnsi="Times New Roman"/>
          <w:sz w:val="24"/>
          <w:szCs w:val="24"/>
        </w:rPr>
        <w:t xml:space="preserve">éral de la situation du pays n’est pas spécialement </w:t>
      </w:r>
      <w:r w:rsidR="001C3C03" w:rsidRPr="003A1D53">
        <w:rPr>
          <w:rFonts w:ascii="Times New Roman" w:hAnsi="Times New Roman"/>
          <w:sz w:val="24"/>
          <w:szCs w:val="24"/>
        </w:rPr>
        <w:t>favorable à une logique de transition de l’humanitaire vers le développement. Avec la crise qui s’est étendue comme une métastase vers le centre</w:t>
      </w:r>
      <w:r w:rsidR="00EE4E48" w:rsidRPr="003A1D53">
        <w:rPr>
          <w:rFonts w:ascii="Times New Roman" w:hAnsi="Times New Roman"/>
          <w:sz w:val="24"/>
          <w:szCs w:val="24"/>
        </w:rPr>
        <w:t>,</w:t>
      </w:r>
      <w:r w:rsidR="001C3C03" w:rsidRPr="003A1D53">
        <w:rPr>
          <w:rFonts w:ascii="Times New Roman" w:hAnsi="Times New Roman"/>
          <w:sz w:val="24"/>
          <w:szCs w:val="24"/>
        </w:rPr>
        <w:t xml:space="preserve"> les approches humanitaires tendent plutôt à se consolider au lieu de céder le pas aux approches de développement.</w:t>
      </w:r>
      <w:r w:rsidR="00021874" w:rsidRPr="003A1D53">
        <w:rPr>
          <w:rFonts w:ascii="Times New Roman" w:hAnsi="Times New Roman"/>
          <w:sz w:val="24"/>
          <w:szCs w:val="24"/>
        </w:rPr>
        <w:t xml:space="preserve"> Ce</w:t>
      </w:r>
      <w:r w:rsidR="00EE4E48" w:rsidRPr="003A1D53">
        <w:rPr>
          <w:rFonts w:ascii="Times New Roman" w:hAnsi="Times New Roman"/>
          <w:sz w:val="24"/>
          <w:szCs w:val="24"/>
        </w:rPr>
        <w:t xml:space="preserve">tte </w:t>
      </w:r>
      <w:r w:rsidR="00021874" w:rsidRPr="003A1D53">
        <w:rPr>
          <w:rFonts w:ascii="Times New Roman" w:hAnsi="Times New Roman"/>
          <w:sz w:val="24"/>
          <w:szCs w:val="24"/>
        </w:rPr>
        <w:t xml:space="preserve">tendance est parfaitement </w:t>
      </w:r>
      <w:r w:rsidR="00EE4E48" w:rsidRPr="003A1D53">
        <w:rPr>
          <w:rFonts w:ascii="Times New Roman" w:hAnsi="Times New Roman"/>
          <w:sz w:val="24"/>
          <w:szCs w:val="24"/>
        </w:rPr>
        <w:t>reflétée</w:t>
      </w:r>
      <w:r w:rsidR="00021874" w:rsidRPr="003A1D53">
        <w:rPr>
          <w:rFonts w:ascii="Times New Roman" w:hAnsi="Times New Roman"/>
          <w:sz w:val="24"/>
          <w:szCs w:val="24"/>
        </w:rPr>
        <w:t xml:space="preserve"> par </w:t>
      </w:r>
      <w:r w:rsidR="00EE4E48" w:rsidRPr="003A1D53">
        <w:rPr>
          <w:rFonts w:ascii="Times New Roman" w:hAnsi="Times New Roman"/>
          <w:sz w:val="24"/>
          <w:szCs w:val="24"/>
        </w:rPr>
        <w:t>l</w:t>
      </w:r>
      <w:r w:rsidR="00691737" w:rsidRPr="003A1D53">
        <w:rPr>
          <w:rFonts w:ascii="Times New Roman" w:hAnsi="Times New Roman"/>
          <w:sz w:val="24"/>
          <w:szCs w:val="24"/>
        </w:rPr>
        <w:t>a</w:t>
      </w:r>
      <w:r w:rsidR="00021874" w:rsidRPr="003A1D53">
        <w:rPr>
          <w:rFonts w:ascii="Times New Roman" w:hAnsi="Times New Roman"/>
          <w:sz w:val="24"/>
          <w:szCs w:val="24"/>
        </w:rPr>
        <w:t xml:space="preserve"> </w:t>
      </w:r>
      <w:r w:rsidR="005D04B7" w:rsidRPr="003A1D53">
        <w:rPr>
          <w:rFonts w:ascii="Times New Roman" w:hAnsi="Times New Roman"/>
          <w:sz w:val="24"/>
          <w:szCs w:val="24"/>
        </w:rPr>
        <w:t xml:space="preserve">détérioration continue des indicateurs du pays sous </w:t>
      </w:r>
      <w:r w:rsidR="00EE4E48" w:rsidRPr="003A1D53">
        <w:rPr>
          <w:rFonts w:ascii="Times New Roman" w:hAnsi="Times New Roman"/>
          <w:sz w:val="24"/>
          <w:szCs w:val="24"/>
        </w:rPr>
        <w:t>les effets 4 (services sociaux de base) et 5 (opportunités économiques de relèvement et de résilience)</w:t>
      </w:r>
      <w:r w:rsidR="005D04B7" w:rsidRPr="003A1D53">
        <w:rPr>
          <w:rFonts w:ascii="Times New Roman" w:hAnsi="Times New Roman"/>
          <w:sz w:val="24"/>
          <w:szCs w:val="24"/>
        </w:rPr>
        <w:t>.</w:t>
      </w:r>
      <w:r w:rsidR="00691737" w:rsidRPr="003A1D53">
        <w:rPr>
          <w:rFonts w:ascii="Times New Roman" w:hAnsi="Times New Roman"/>
          <w:sz w:val="24"/>
          <w:szCs w:val="24"/>
        </w:rPr>
        <w:t xml:space="preserve"> </w:t>
      </w:r>
      <w:r w:rsidR="00EE4E48" w:rsidRPr="003A1D53">
        <w:rPr>
          <w:rFonts w:ascii="Times New Roman" w:hAnsi="Times New Roman"/>
          <w:sz w:val="24"/>
          <w:szCs w:val="24"/>
        </w:rPr>
        <w:t>A</w:t>
      </w:r>
      <w:r w:rsidR="005D04B7" w:rsidRPr="003A1D53">
        <w:rPr>
          <w:rFonts w:ascii="Times New Roman" w:hAnsi="Times New Roman"/>
          <w:sz w:val="24"/>
          <w:szCs w:val="24"/>
        </w:rPr>
        <w:t>lors qu’il était projeté une chute à 14% de l’insécurité alimentaire dans le pays, elle est encore à 22% ; de même l</w:t>
      </w:r>
      <w:r w:rsidR="00691737" w:rsidRPr="003A1D53">
        <w:rPr>
          <w:rFonts w:ascii="Times New Roman" w:hAnsi="Times New Roman"/>
          <w:sz w:val="24"/>
          <w:szCs w:val="24"/>
        </w:rPr>
        <w:t>’incidence de pauvreté s’est encore aggravée à plus de 47% en 2015 (annuité statistique la plus récente) ; le taux de scolarisation se détricote et s’éloigne d’autant de l’objectif fixé dans le pays.</w:t>
      </w:r>
    </w:p>
    <w:p w14:paraId="604B535B" w14:textId="77777777" w:rsidR="00691737" w:rsidRPr="003A1D53" w:rsidRDefault="00691737" w:rsidP="005B22B2">
      <w:pPr>
        <w:spacing w:after="0" w:line="240" w:lineRule="auto"/>
        <w:jc w:val="both"/>
        <w:rPr>
          <w:rFonts w:ascii="Times New Roman" w:hAnsi="Times New Roman"/>
          <w:sz w:val="24"/>
          <w:szCs w:val="24"/>
        </w:rPr>
      </w:pPr>
      <w:r w:rsidRPr="003A1D53">
        <w:rPr>
          <w:rFonts w:ascii="Times New Roman" w:hAnsi="Times New Roman"/>
          <w:sz w:val="24"/>
          <w:szCs w:val="24"/>
        </w:rPr>
        <w:tab/>
      </w:r>
    </w:p>
    <w:p w14:paraId="604B535C" w14:textId="77777777" w:rsidR="00157712"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207</w:t>
      </w:r>
      <w:r w:rsidR="0015327E" w:rsidRPr="003A1D53">
        <w:rPr>
          <w:rFonts w:ascii="Times New Roman" w:hAnsi="Times New Roman"/>
          <w:sz w:val="24"/>
          <w:szCs w:val="24"/>
        </w:rPr>
        <w:t>.</w:t>
      </w:r>
      <w:r w:rsidR="00691737" w:rsidRPr="003A1D53">
        <w:rPr>
          <w:rFonts w:ascii="Times New Roman" w:hAnsi="Times New Roman"/>
          <w:sz w:val="24"/>
          <w:szCs w:val="24"/>
        </w:rPr>
        <w:tab/>
        <w:t>Cette situation est donc celle d’un environnement qui ne migre pas de l’humanitaire vers le développement. Cela veut dire que les efforts qui sont réussis par les agences sous les différents produits</w:t>
      </w:r>
      <w:r w:rsidR="00BA39CB" w:rsidRPr="003A1D53">
        <w:rPr>
          <w:rFonts w:ascii="Times New Roman" w:hAnsi="Times New Roman"/>
          <w:sz w:val="24"/>
          <w:szCs w:val="24"/>
        </w:rPr>
        <w:t xml:space="preserve"> (</w:t>
      </w:r>
      <w:r w:rsidR="00691737" w:rsidRPr="003A1D53">
        <w:rPr>
          <w:rFonts w:ascii="Times New Roman" w:hAnsi="Times New Roman"/>
          <w:sz w:val="24"/>
          <w:szCs w:val="24"/>
        </w:rPr>
        <w:t>5è Effet</w:t>
      </w:r>
      <w:r w:rsidR="00BA39CB" w:rsidRPr="003A1D53">
        <w:rPr>
          <w:rFonts w:ascii="Times New Roman" w:hAnsi="Times New Roman"/>
          <w:sz w:val="24"/>
          <w:szCs w:val="24"/>
        </w:rPr>
        <w:t xml:space="preserve"> par exemple)</w:t>
      </w:r>
      <w:r w:rsidR="00691737" w:rsidRPr="003A1D53">
        <w:rPr>
          <w:rFonts w:ascii="Times New Roman" w:hAnsi="Times New Roman"/>
          <w:sz w:val="24"/>
          <w:szCs w:val="24"/>
        </w:rPr>
        <w:t xml:space="preserve"> du programme ne sont pas assez ou ne s’ancrent pas assez pour créer une dynamique de renversement de la situation humanitaire encore dominante. Que cela ne soit pas "assez"</w:t>
      </w:r>
      <w:r w:rsidR="00157712" w:rsidRPr="003A1D53">
        <w:rPr>
          <w:rFonts w:ascii="Times New Roman" w:hAnsi="Times New Roman"/>
          <w:sz w:val="24"/>
          <w:szCs w:val="24"/>
        </w:rPr>
        <w:t xml:space="preserve"> ou "as assez ancré",</w:t>
      </w:r>
      <w:r w:rsidR="0015327E" w:rsidRPr="003A1D53">
        <w:rPr>
          <w:rFonts w:ascii="Times New Roman" w:hAnsi="Times New Roman"/>
          <w:sz w:val="24"/>
          <w:szCs w:val="24"/>
        </w:rPr>
        <w:t xml:space="preserve"> signifie que pour réussir, le N</w:t>
      </w:r>
      <w:r w:rsidR="00691737" w:rsidRPr="003A1D53">
        <w:rPr>
          <w:rFonts w:ascii="Times New Roman" w:hAnsi="Times New Roman"/>
          <w:sz w:val="24"/>
          <w:szCs w:val="24"/>
        </w:rPr>
        <w:t>exus ne peut être l’affaire d’une seule gamme d’intervenants, mai</w:t>
      </w:r>
      <w:r w:rsidR="00157712" w:rsidRPr="003A1D53">
        <w:rPr>
          <w:rFonts w:ascii="Times New Roman" w:hAnsi="Times New Roman"/>
          <w:sz w:val="24"/>
          <w:szCs w:val="24"/>
        </w:rPr>
        <w:t>s</w:t>
      </w:r>
      <w:r w:rsidR="00691737" w:rsidRPr="003A1D53">
        <w:rPr>
          <w:rFonts w:ascii="Times New Roman" w:hAnsi="Times New Roman"/>
          <w:sz w:val="24"/>
          <w:szCs w:val="24"/>
        </w:rPr>
        <w:t xml:space="preserve"> doit être le mot d’ordre pratiqué par la communauté des acteurs en général, au premier rang de</w:t>
      </w:r>
      <w:r w:rsidR="00157712" w:rsidRPr="003A1D53">
        <w:rPr>
          <w:rFonts w:ascii="Times New Roman" w:hAnsi="Times New Roman"/>
          <w:sz w:val="24"/>
          <w:szCs w:val="24"/>
        </w:rPr>
        <w:t>squels l’Etat du Mali lui-même.</w:t>
      </w:r>
    </w:p>
    <w:p w14:paraId="604B535D" w14:textId="77777777" w:rsidR="00157712" w:rsidRPr="003A1D53" w:rsidRDefault="00157712" w:rsidP="005B22B2">
      <w:pPr>
        <w:spacing w:after="0" w:line="240" w:lineRule="auto"/>
        <w:jc w:val="both"/>
        <w:rPr>
          <w:rFonts w:ascii="Times New Roman" w:hAnsi="Times New Roman"/>
          <w:sz w:val="24"/>
          <w:szCs w:val="24"/>
        </w:rPr>
      </w:pPr>
    </w:p>
    <w:p w14:paraId="604B535E" w14:textId="77777777" w:rsidR="001F2EFB"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208</w:t>
      </w:r>
      <w:r w:rsidR="0015327E" w:rsidRPr="003A1D53">
        <w:rPr>
          <w:rFonts w:ascii="Times New Roman" w:hAnsi="Times New Roman"/>
          <w:sz w:val="24"/>
          <w:szCs w:val="24"/>
        </w:rPr>
        <w:t>.</w:t>
      </w:r>
      <w:r w:rsidR="00157712" w:rsidRPr="003A1D53">
        <w:rPr>
          <w:rFonts w:ascii="Times New Roman" w:hAnsi="Times New Roman"/>
          <w:sz w:val="24"/>
          <w:szCs w:val="24"/>
        </w:rPr>
        <w:tab/>
      </w:r>
      <w:r w:rsidR="00BA39CB" w:rsidRPr="003A1D53">
        <w:rPr>
          <w:rFonts w:ascii="Times New Roman" w:hAnsi="Times New Roman"/>
          <w:sz w:val="24"/>
          <w:szCs w:val="24"/>
        </w:rPr>
        <w:t>L</w:t>
      </w:r>
      <w:r w:rsidR="00157712" w:rsidRPr="003A1D53">
        <w:rPr>
          <w:rFonts w:ascii="Times New Roman" w:hAnsi="Times New Roman"/>
          <w:sz w:val="24"/>
          <w:szCs w:val="24"/>
        </w:rPr>
        <w:t>e Système lui seul ne p</w:t>
      </w:r>
      <w:r w:rsidR="00BA39CB" w:rsidRPr="003A1D53">
        <w:rPr>
          <w:rFonts w:ascii="Times New Roman" w:hAnsi="Times New Roman"/>
          <w:sz w:val="24"/>
          <w:szCs w:val="24"/>
        </w:rPr>
        <w:t>eut</w:t>
      </w:r>
      <w:r w:rsidR="00157712" w:rsidRPr="003A1D53">
        <w:rPr>
          <w:rFonts w:ascii="Times New Roman" w:hAnsi="Times New Roman"/>
          <w:sz w:val="24"/>
          <w:szCs w:val="24"/>
        </w:rPr>
        <w:t xml:space="preserve"> pas impulser un</w:t>
      </w:r>
      <w:r w:rsidR="00BA39CB" w:rsidRPr="003A1D53">
        <w:rPr>
          <w:rFonts w:ascii="Times New Roman" w:hAnsi="Times New Roman"/>
          <w:sz w:val="24"/>
          <w:szCs w:val="24"/>
        </w:rPr>
        <w:t>e</w:t>
      </w:r>
      <w:r w:rsidR="00157712" w:rsidRPr="003A1D53">
        <w:rPr>
          <w:rFonts w:ascii="Times New Roman" w:hAnsi="Times New Roman"/>
          <w:sz w:val="24"/>
          <w:szCs w:val="24"/>
        </w:rPr>
        <w:t xml:space="preserve"> véritable </w:t>
      </w:r>
      <w:r w:rsidR="004E3898" w:rsidRPr="003A1D53">
        <w:rPr>
          <w:rFonts w:ascii="Times New Roman" w:hAnsi="Times New Roman"/>
          <w:sz w:val="24"/>
          <w:szCs w:val="24"/>
        </w:rPr>
        <w:t>transition de l’hu</w:t>
      </w:r>
      <w:r w:rsidR="00BA39CB" w:rsidRPr="003A1D53">
        <w:rPr>
          <w:rFonts w:ascii="Times New Roman" w:hAnsi="Times New Roman"/>
          <w:sz w:val="24"/>
          <w:szCs w:val="24"/>
        </w:rPr>
        <w:t xml:space="preserve">manitaire vers le développement. Ce fait est corroboré par les </w:t>
      </w:r>
      <w:r w:rsidR="00157712" w:rsidRPr="003A1D53">
        <w:rPr>
          <w:rFonts w:ascii="Times New Roman" w:hAnsi="Times New Roman"/>
          <w:sz w:val="24"/>
          <w:szCs w:val="24"/>
        </w:rPr>
        <w:t>infrastructures q</w:t>
      </w:r>
      <w:r w:rsidR="00BA39CB" w:rsidRPr="003A1D53">
        <w:rPr>
          <w:rFonts w:ascii="Times New Roman" w:hAnsi="Times New Roman"/>
          <w:sz w:val="24"/>
          <w:szCs w:val="24"/>
        </w:rPr>
        <w:t xml:space="preserve">ui ont été réhabilitées au Nord, et dont toutes </w:t>
      </w:r>
      <w:r w:rsidR="00157712" w:rsidRPr="003A1D53">
        <w:rPr>
          <w:rFonts w:ascii="Times New Roman" w:hAnsi="Times New Roman"/>
          <w:sz w:val="24"/>
          <w:szCs w:val="24"/>
        </w:rPr>
        <w:t>n’arrivent pas à se remettre à offrir du service public parce que les titulaires de charges qui doivent y officier en repartent dès l’inauguration pour cause d’insécurité chronique. Et l’insécurité peut encore être tenu</w:t>
      </w:r>
      <w:r w:rsidR="004E3898" w:rsidRPr="003A1D53">
        <w:rPr>
          <w:rFonts w:ascii="Times New Roman" w:hAnsi="Times New Roman"/>
          <w:sz w:val="24"/>
          <w:szCs w:val="24"/>
        </w:rPr>
        <w:t>e</w:t>
      </w:r>
      <w:r w:rsidR="00157712" w:rsidRPr="003A1D53">
        <w:rPr>
          <w:rFonts w:ascii="Times New Roman" w:hAnsi="Times New Roman"/>
          <w:sz w:val="24"/>
          <w:szCs w:val="24"/>
        </w:rPr>
        <w:t xml:space="preserve"> pour un fait de conjoncture, qui sera jugulé un jour ou l’autre. Mais il y a des problématiques de fond</w:t>
      </w:r>
      <w:r w:rsidR="004E3898" w:rsidRPr="003A1D53">
        <w:rPr>
          <w:rFonts w:ascii="Times New Roman" w:hAnsi="Times New Roman"/>
          <w:sz w:val="24"/>
          <w:szCs w:val="24"/>
        </w:rPr>
        <w:t>,</w:t>
      </w:r>
      <w:r w:rsidR="00157712" w:rsidRPr="003A1D53">
        <w:rPr>
          <w:rFonts w:ascii="Times New Roman" w:hAnsi="Times New Roman"/>
          <w:sz w:val="24"/>
          <w:szCs w:val="24"/>
        </w:rPr>
        <w:t xml:space="preserve"> de nature plus structurelle</w:t>
      </w:r>
      <w:r w:rsidR="004E3898" w:rsidRPr="003A1D53">
        <w:rPr>
          <w:rFonts w:ascii="Times New Roman" w:hAnsi="Times New Roman"/>
          <w:sz w:val="24"/>
          <w:szCs w:val="24"/>
        </w:rPr>
        <w:t>,</w:t>
      </w:r>
      <w:r w:rsidR="00157712" w:rsidRPr="003A1D53">
        <w:rPr>
          <w:rFonts w:ascii="Times New Roman" w:hAnsi="Times New Roman"/>
          <w:sz w:val="24"/>
          <w:szCs w:val="24"/>
        </w:rPr>
        <w:t xml:space="preserve"> qui entrent aussi en jeu dans l</w:t>
      </w:r>
      <w:r w:rsidR="004E3898" w:rsidRPr="003A1D53">
        <w:rPr>
          <w:rFonts w:ascii="Times New Roman" w:hAnsi="Times New Roman"/>
          <w:sz w:val="24"/>
          <w:szCs w:val="24"/>
        </w:rPr>
        <w:t xml:space="preserve">a relation </w:t>
      </w:r>
      <w:r w:rsidR="00157712" w:rsidRPr="003A1D53">
        <w:rPr>
          <w:rFonts w:ascii="Times New Roman" w:hAnsi="Times New Roman"/>
          <w:sz w:val="24"/>
          <w:szCs w:val="24"/>
        </w:rPr>
        <w:t>humanitaire</w:t>
      </w:r>
      <w:r w:rsidR="004E3898" w:rsidRPr="003A1D53">
        <w:rPr>
          <w:rFonts w:ascii="Times New Roman" w:hAnsi="Times New Roman"/>
          <w:sz w:val="24"/>
          <w:szCs w:val="24"/>
        </w:rPr>
        <w:t>-développement</w:t>
      </w:r>
      <w:r w:rsidR="00157712" w:rsidRPr="003A1D53">
        <w:rPr>
          <w:rFonts w:ascii="Times New Roman" w:hAnsi="Times New Roman"/>
          <w:sz w:val="24"/>
          <w:szCs w:val="24"/>
        </w:rPr>
        <w:t xml:space="preserve">. Le secteur éducatif les </w:t>
      </w:r>
      <w:r w:rsidR="00BA39CB" w:rsidRPr="003A1D53">
        <w:rPr>
          <w:rFonts w:ascii="Times New Roman" w:hAnsi="Times New Roman"/>
          <w:sz w:val="24"/>
          <w:szCs w:val="24"/>
        </w:rPr>
        <w:t>illustre d’une certaine manière,</w:t>
      </w:r>
      <w:r w:rsidR="00157712" w:rsidRPr="003A1D53">
        <w:rPr>
          <w:rFonts w:ascii="Times New Roman" w:hAnsi="Times New Roman"/>
          <w:sz w:val="24"/>
          <w:szCs w:val="24"/>
        </w:rPr>
        <w:t xml:space="preserve"> avec ses centaines d’écoles </w:t>
      </w:r>
      <w:r w:rsidR="004E3898" w:rsidRPr="003A1D53">
        <w:rPr>
          <w:rFonts w:ascii="Times New Roman" w:hAnsi="Times New Roman"/>
          <w:sz w:val="24"/>
          <w:szCs w:val="24"/>
        </w:rPr>
        <w:t xml:space="preserve">(environ 500) </w:t>
      </w:r>
      <w:r w:rsidR="00157712" w:rsidRPr="003A1D53">
        <w:rPr>
          <w:rFonts w:ascii="Times New Roman" w:hAnsi="Times New Roman"/>
          <w:sz w:val="24"/>
          <w:szCs w:val="24"/>
        </w:rPr>
        <w:t xml:space="preserve">qui restent fermées dans des zones non insécures mais où le modèle d’éducation uniformément </w:t>
      </w:r>
      <w:r w:rsidR="00BA39CB" w:rsidRPr="003A1D53">
        <w:rPr>
          <w:rFonts w:ascii="Times New Roman" w:hAnsi="Times New Roman"/>
          <w:sz w:val="24"/>
          <w:szCs w:val="24"/>
        </w:rPr>
        <w:t xml:space="preserve">dans ce </w:t>
      </w:r>
      <w:r w:rsidR="00157712" w:rsidRPr="003A1D53">
        <w:rPr>
          <w:rFonts w:ascii="Times New Roman" w:hAnsi="Times New Roman"/>
          <w:sz w:val="24"/>
          <w:szCs w:val="24"/>
        </w:rPr>
        <w:t xml:space="preserve">vaste pays est </w:t>
      </w:r>
      <w:r w:rsidR="00BA39CB" w:rsidRPr="003A1D53">
        <w:rPr>
          <w:rFonts w:ascii="Times New Roman" w:hAnsi="Times New Roman"/>
          <w:sz w:val="24"/>
          <w:szCs w:val="24"/>
        </w:rPr>
        <w:t>parfois</w:t>
      </w:r>
      <w:r w:rsidR="00157712" w:rsidRPr="003A1D53">
        <w:rPr>
          <w:rFonts w:ascii="Times New Roman" w:hAnsi="Times New Roman"/>
          <w:sz w:val="24"/>
          <w:szCs w:val="24"/>
        </w:rPr>
        <w:t xml:space="preserve"> défié.</w:t>
      </w:r>
    </w:p>
    <w:p w14:paraId="604B535F" w14:textId="77777777" w:rsidR="001F2EFB" w:rsidRPr="003A1D53" w:rsidRDefault="001F2EFB" w:rsidP="005B22B2">
      <w:pPr>
        <w:spacing w:after="0" w:line="240" w:lineRule="auto"/>
        <w:jc w:val="both"/>
        <w:rPr>
          <w:rFonts w:ascii="Times New Roman" w:hAnsi="Times New Roman"/>
          <w:sz w:val="24"/>
          <w:szCs w:val="24"/>
        </w:rPr>
      </w:pPr>
    </w:p>
    <w:p w14:paraId="604B5360" w14:textId="77777777" w:rsidR="00691737" w:rsidRPr="003A1D53" w:rsidRDefault="00A4083F" w:rsidP="005B22B2">
      <w:pPr>
        <w:spacing w:after="0" w:line="240" w:lineRule="auto"/>
        <w:jc w:val="both"/>
        <w:rPr>
          <w:rFonts w:ascii="Times New Roman" w:hAnsi="Times New Roman"/>
          <w:sz w:val="24"/>
          <w:szCs w:val="24"/>
        </w:rPr>
      </w:pPr>
      <w:r w:rsidRPr="003A1D53">
        <w:rPr>
          <w:rFonts w:ascii="Times New Roman" w:hAnsi="Times New Roman"/>
          <w:sz w:val="24"/>
          <w:szCs w:val="24"/>
        </w:rPr>
        <w:t>209</w:t>
      </w:r>
      <w:r w:rsidR="0015327E" w:rsidRPr="003A1D53">
        <w:rPr>
          <w:rFonts w:ascii="Times New Roman" w:hAnsi="Times New Roman"/>
          <w:sz w:val="24"/>
          <w:szCs w:val="24"/>
        </w:rPr>
        <w:t>.</w:t>
      </w:r>
      <w:r w:rsidR="001F2EFB" w:rsidRPr="003A1D53">
        <w:rPr>
          <w:rFonts w:ascii="Times New Roman" w:hAnsi="Times New Roman"/>
          <w:sz w:val="24"/>
          <w:szCs w:val="24"/>
        </w:rPr>
        <w:tab/>
      </w:r>
      <w:r w:rsidR="00157712" w:rsidRPr="003A1D53">
        <w:rPr>
          <w:rFonts w:ascii="Times New Roman" w:hAnsi="Times New Roman"/>
          <w:sz w:val="24"/>
          <w:szCs w:val="24"/>
        </w:rPr>
        <w:t>Le problème de l’ancrage et de la vi</w:t>
      </w:r>
      <w:r w:rsidR="001F2EFB" w:rsidRPr="003A1D53">
        <w:rPr>
          <w:rFonts w:ascii="Times New Roman" w:hAnsi="Times New Roman"/>
          <w:sz w:val="24"/>
          <w:szCs w:val="24"/>
        </w:rPr>
        <w:t>a</w:t>
      </w:r>
      <w:r w:rsidR="00157712" w:rsidRPr="003A1D53">
        <w:rPr>
          <w:rFonts w:ascii="Times New Roman" w:hAnsi="Times New Roman"/>
          <w:sz w:val="24"/>
          <w:szCs w:val="24"/>
        </w:rPr>
        <w:t>bilité des solutions de relèvement et de développement</w:t>
      </w:r>
      <w:r w:rsidR="001F2EFB" w:rsidRPr="003A1D53">
        <w:rPr>
          <w:rFonts w:ascii="Times New Roman" w:hAnsi="Times New Roman"/>
          <w:sz w:val="24"/>
          <w:szCs w:val="24"/>
        </w:rPr>
        <w:t xml:space="preserve"> que le Système est censé implanter pour </w:t>
      </w:r>
      <w:r w:rsidR="004E3898" w:rsidRPr="003A1D53">
        <w:rPr>
          <w:rFonts w:ascii="Times New Roman" w:hAnsi="Times New Roman"/>
          <w:sz w:val="24"/>
          <w:szCs w:val="24"/>
        </w:rPr>
        <w:t xml:space="preserve">rendre possible </w:t>
      </w:r>
      <w:r w:rsidR="001F2EFB" w:rsidRPr="003A1D53">
        <w:rPr>
          <w:rFonts w:ascii="Times New Roman" w:hAnsi="Times New Roman"/>
          <w:sz w:val="24"/>
          <w:szCs w:val="24"/>
        </w:rPr>
        <w:t>la transition de l’humanitaire vers le développement,</w:t>
      </w:r>
      <w:r w:rsidR="00157712" w:rsidRPr="003A1D53">
        <w:rPr>
          <w:rFonts w:ascii="Times New Roman" w:hAnsi="Times New Roman"/>
          <w:sz w:val="24"/>
          <w:szCs w:val="24"/>
        </w:rPr>
        <w:t xml:space="preserve"> se pose </w:t>
      </w:r>
      <w:r w:rsidR="001F2EFB" w:rsidRPr="003A1D53">
        <w:rPr>
          <w:rFonts w:ascii="Times New Roman" w:hAnsi="Times New Roman"/>
          <w:sz w:val="24"/>
          <w:szCs w:val="24"/>
        </w:rPr>
        <w:t xml:space="preserve">dramatiquement </w:t>
      </w:r>
      <w:r w:rsidR="00157712" w:rsidRPr="003A1D53">
        <w:rPr>
          <w:rFonts w:ascii="Times New Roman" w:hAnsi="Times New Roman"/>
          <w:sz w:val="24"/>
          <w:szCs w:val="24"/>
        </w:rPr>
        <w:t xml:space="preserve">dans </w:t>
      </w:r>
      <w:r w:rsidR="001F2EFB" w:rsidRPr="003A1D53">
        <w:rPr>
          <w:rFonts w:ascii="Times New Roman" w:hAnsi="Times New Roman"/>
          <w:sz w:val="24"/>
          <w:szCs w:val="24"/>
        </w:rPr>
        <w:t xml:space="preserve">tous </w:t>
      </w:r>
      <w:r w:rsidR="00157712" w:rsidRPr="003A1D53">
        <w:rPr>
          <w:rFonts w:ascii="Times New Roman" w:hAnsi="Times New Roman"/>
          <w:sz w:val="24"/>
          <w:szCs w:val="24"/>
        </w:rPr>
        <w:t>ce</w:t>
      </w:r>
      <w:r w:rsidR="001F2EFB" w:rsidRPr="003A1D53">
        <w:rPr>
          <w:rFonts w:ascii="Times New Roman" w:hAnsi="Times New Roman"/>
          <w:sz w:val="24"/>
          <w:szCs w:val="24"/>
        </w:rPr>
        <w:t>s</w:t>
      </w:r>
      <w:r w:rsidR="00157712" w:rsidRPr="003A1D53">
        <w:rPr>
          <w:rFonts w:ascii="Times New Roman" w:hAnsi="Times New Roman"/>
          <w:sz w:val="24"/>
          <w:szCs w:val="24"/>
        </w:rPr>
        <w:t xml:space="preserve"> contexte</w:t>
      </w:r>
      <w:r w:rsidR="001F2EFB" w:rsidRPr="003A1D53">
        <w:rPr>
          <w:rFonts w:ascii="Times New Roman" w:hAnsi="Times New Roman"/>
          <w:sz w:val="24"/>
          <w:szCs w:val="24"/>
        </w:rPr>
        <w:t xml:space="preserve">s. </w:t>
      </w:r>
      <w:r w:rsidR="00875C87" w:rsidRPr="003A1D53">
        <w:rPr>
          <w:rFonts w:ascii="Times New Roman" w:hAnsi="Times New Roman"/>
          <w:sz w:val="24"/>
          <w:szCs w:val="24"/>
        </w:rPr>
        <w:t xml:space="preserve">Par </w:t>
      </w:r>
      <w:r w:rsidR="00875C87" w:rsidRPr="003A1D53">
        <w:rPr>
          <w:rFonts w:ascii="Times New Roman" w:hAnsi="Times New Roman"/>
          <w:sz w:val="24"/>
          <w:szCs w:val="24"/>
        </w:rPr>
        <w:lastRenderedPageBreak/>
        <w:t xml:space="preserve">exemple, </w:t>
      </w:r>
      <w:r w:rsidR="00BA39CB" w:rsidRPr="003A1D53">
        <w:rPr>
          <w:rFonts w:ascii="Times New Roman" w:hAnsi="Times New Roman"/>
          <w:sz w:val="24"/>
          <w:szCs w:val="24"/>
        </w:rPr>
        <w:t>après la réhabilitation des juridictions au Nord,</w:t>
      </w:r>
      <w:r w:rsidR="001F2EFB" w:rsidRPr="003A1D53">
        <w:rPr>
          <w:rFonts w:ascii="Times New Roman" w:hAnsi="Times New Roman"/>
          <w:sz w:val="24"/>
          <w:szCs w:val="24"/>
        </w:rPr>
        <w:t xml:space="preserve"> la Mission</w:t>
      </w:r>
      <w:r w:rsidR="00BA39CB" w:rsidRPr="003A1D53">
        <w:rPr>
          <w:rFonts w:ascii="Times New Roman" w:hAnsi="Times New Roman"/>
          <w:sz w:val="24"/>
          <w:szCs w:val="24"/>
        </w:rPr>
        <w:t xml:space="preserve"> est à </w:t>
      </w:r>
      <w:r w:rsidR="001F2EFB" w:rsidRPr="003A1D53">
        <w:rPr>
          <w:rFonts w:ascii="Times New Roman" w:hAnsi="Times New Roman"/>
          <w:sz w:val="24"/>
          <w:szCs w:val="24"/>
        </w:rPr>
        <w:t>présent confronté</w:t>
      </w:r>
      <w:r w:rsidR="00BA39CB" w:rsidRPr="003A1D53">
        <w:rPr>
          <w:rFonts w:ascii="Times New Roman" w:hAnsi="Times New Roman"/>
          <w:sz w:val="24"/>
          <w:szCs w:val="24"/>
        </w:rPr>
        <w:t>e</w:t>
      </w:r>
      <w:r w:rsidR="001F2EFB" w:rsidRPr="003A1D53">
        <w:rPr>
          <w:rFonts w:ascii="Times New Roman" w:hAnsi="Times New Roman"/>
          <w:sz w:val="24"/>
          <w:szCs w:val="24"/>
        </w:rPr>
        <w:t xml:space="preserve"> au délicat problème de la sécurisation des magistrats, </w:t>
      </w:r>
      <w:r w:rsidR="00BA39CB" w:rsidRPr="003A1D53">
        <w:rPr>
          <w:rFonts w:ascii="Times New Roman" w:hAnsi="Times New Roman"/>
          <w:sz w:val="24"/>
          <w:szCs w:val="24"/>
        </w:rPr>
        <w:t>qui ne peut être résolu que par l</w:t>
      </w:r>
      <w:r w:rsidR="001F2EFB" w:rsidRPr="003A1D53">
        <w:rPr>
          <w:rFonts w:ascii="Times New Roman" w:hAnsi="Times New Roman"/>
          <w:sz w:val="24"/>
          <w:szCs w:val="24"/>
        </w:rPr>
        <w:t>a partie nationale</w:t>
      </w:r>
      <w:r w:rsidR="00BA39CB" w:rsidRPr="003A1D53">
        <w:rPr>
          <w:rFonts w:ascii="Times New Roman" w:hAnsi="Times New Roman"/>
          <w:sz w:val="24"/>
          <w:szCs w:val="24"/>
        </w:rPr>
        <w:t xml:space="preserve">. Malheureusement </w:t>
      </w:r>
      <w:r w:rsidR="001F2EFB" w:rsidRPr="003A1D53">
        <w:rPr>
          <w:rFonts w:ascii="Times New Roman" w:hAnsi="Times New Roman"/>
          <w:sz w:val="24"/>
          <w:szCs w:val="24"/>
        </w:rPr>
        <w:t>les forces de défense et de sécurité ne se déploient pas aussi vite que cela aurait été requis pour accompagner le redéploiement des services sociaux de base</w:t>
      </w:r>
      <w:r w:rsidR="004E3898" w:rsidRPr="003A1D53">
        <w:rPr>
          <w:rFonts w:ascii="Times New Roman" w:hAnsi="Times New Roman"/>
          <w:sz w:val="24"/>
          <w:szCs w:val="24"/>
        </w:rPr>
        <w:t>,</w:t>
      </w:r>
      <w:r w:rsidR="001F2EFB" w:rsidRPr="003A1D53">
        <w:rPr>
          <w:rFonts w:ascii="Times New Roman" w:hAnsi="Times New Roman"/>
          <w:sz w:val="24"/>
          <w:szCs w:val="24"/>
        </w:rPr>
        <w:t xml:space="preserve"> et de l’autorité de l’Etat à travers </w:t>
      </w:r>
      <w:r w:rsidR="00BA39CB" w:rsidRPr="003A1D53">
        <w:rPr>
          <w:rFonts w:ascii="Times New Roman" w:hAnsi="Times New Roman"/>
          <w:sz w:val="24"/>
          <w:szCs w:val="24"/>
        </w:rPr>
        <w:t>le pays</w:t>
      </w:r>
      <w:r w:rsidR="001F2EFB" w:rsidRPr="003A1D53">
        <w:rPr>
          <w:rFonts w:ascii="Times New Roman" w:hAnsi="Times New Roman"/>
          <w:sz w:val="24"/>
          <w:szCs w:val="24"/>
        </w:rPr>
        <w:t>. La solution étant difficile à trouver</w:t>
      </w:r>
      <w:r w:rsidR="006919E3" w:rsidRPr="003A1D53">
        <w:rPr>
          <w:rFonts w:ascii="Times New Roman" w:hAnsi="Times New Roman"/>
          <w:sz w:val="24"/>
          <w:szCs w:val="24"/>
        </w:rPr>
        <w:t xml:space="preserve"> </w:t>
      </w:r>
      <w:r w:rsidR="001F2EFB" w:rsidRPr="003A1D53">
        <w:rPr>
          <w:rFonts w:ascii="Times New Roman" w:hAnsi="Times New Roman"/>
          <w:sz w:val="24"/>
          <w:szCs w:val="24"/>
        </w:rPr>
        <w:t>en termes de sécurité classique (</w:t>
      </w:r>
      <w:r w:rsidR="00BA39CB" w:rsidRPr="003A1D53">
        <w:rPr>
          <w:rFonts w:ascii="Times New Roman" w:hAnsi="Times New Roman"/>
          <w:sz w:val="24"/>
          <w:szCs w:val="24"/>
        </w:rPr>
        <w:t xml:space="preserve">difficulté de mettre </w:t>
      </w:r>
      <w:r w:rsidR="001F2EFB" w:rsidRPr="003A1D53">
        <w:rPr>
          <w:rFonts w:ascii="Times New Roman" w:hAnsi="Times New Roman"/>
          <w:sz w:val="24"/>
          <w:szCs w:val="24"/>
        </w:rPr>
        <w:t xml:space="preserve">des éléments armés </w:t>
      </w:r>
      <w:r w:rsidR="00BA39CB" w:rsidRPr="003A1D53">
        <w:rPr>
          <w:rFonts w:ascii="Times New Roman" w:hAnsi="Times New Roman"/>
          <w:sz w:val="24"/>
          <w:szCs w:val="24"/>
        </w:rPr>
        <w:t xml:space="preserve">aux côtés de </w:t>
      </w:r>
      <w:r w:rsidR="001F2EFB" w:rsidRPr="003A1D53">
        <w:rPr>
          <w:rFonts w:ascii="Times New Roman" w:hAnsi="Times New Roman"/>
          <w:sz w:val="24"/>
          <w:szCs w:val="24"/>
        </w:rPr>
        <w:t xml:space="preserve">chaque officier de </w:t>
      </w:r>
      <w:r w:rsidR="006919E3" w:rsidRPr="003A1D53">
        <w:rPr>
          <w:rFonts w:ascii="Times New Roman" w:hAnsi="Times New Roman"/>
          <w:sz w:val="24"/>
          <w:szCs w:val="24"/>
        </w:rPr>
        <w:t>justice)</w:t>
      </w:r>
      <w:r w:rsidR="001F2EFB" w:rsidRPr="003A1D53">
        <w:rPr>
          <w:rFonts w:ascii="Times New Roman" w:hAnsi="Times New Roman"/>
          <w:sz w:val="24"/>
          <w:szCs w:val="24"/>
        </w:rPr>
        <w:t xml:space="preserve">, les experts s’interrogent à présent sur </w:t>
      </w:r>
      <w:r w:rsidR="00875C87" w:rsidRPr="003A1D53">
        <w:rPr>
          <w:rFonts w:ascii="Times New Roman" w:hAnsi="Times New Roman"/>
          <w:sz w:val="24"/>
          <w:szCs w:val="24"/>
        </w:rPr>
        <w:t>l’opportunité de faire appel à la justice traditionnelle des cadis (bien sûr dûment capacités et peut-être même reprofilés</w:t>
      </w:r>
      <w:r w:rsidR="00641106" w:rsidRPr="003A1D53">
        <w:rPr>
          <w:rFonts w:ascii="Times New Roman" w:hAnsi="Times New Roman"/>
          <w:sz w:val="24"/>
          <w:szCs w:val="24"/>
        </w:rPr>
        <w:t> !</w:t>
      </w:r>
      <w:r w:rsidR="00875C87" w:rsidRPr="003A1D53">
        <w:rPr>
          <w:rFonts w:ascii="Times New Roman" w:hAnsi="Times New Roman"/>
          <w:sz w:val="24"/>
          <w:szCs w:val="24"/>
        </w:rPr>
        <w:t xml:space="preserve">), pour ancrer un minimum de service de justice dans les zones encore difficiles d’accès aux magistrats. </w:t>
      </w:r>
    </w:p>
    <w:p w14:paraId="604B5361" w14:textId="77777777" w:rsidR="00021874" w:rsidRPr="003A1D53" w:rsidRDefault="00021874" w:rsidP="005B22B2">
      <w:pPr>
        <w:spacing w:after="0" w:line="240" w:lineRule="auto"/>
        <w:jc w:val="both"/>
        <w:rPr>
          <w:rFonts w:ascii="Times New Roman" w:hAnsi="Times New Roman"/>
          <w:sz w:val="24"/>
          <w:szCs w:val="24"/>
        </w:rPr>
      </w:pPr>
    </w:p>
    <w:p w14:paraId="604B5362" w14:textId="77777777" w:rsidR="00BA3DC6" w:rsidRPr="003A1D53" w:rsidRDefault="00BA3DC6" w:rsidP="003B48EF">
      <w:pPr>
        <w:pStyle w:val="Titre2"/>
        <w:numPr>
          <w:ilvl w:val="0"/>
          <w:numId w:val="5"/>
        </w:numPr>
        <w:spacing w:before="0"/>
        <w:rPr>
          <w:rFonts w:ascii="Times New Roman" w:hAnsi="Times New Roman"/>
          <w:color w:val="auto"/>
          <w:sz w:val="24"/>
          <w:szCs w:val="24"/>
        </w:rPr>
      </w:pPr>
      <w:bookmarkStart w:id="259" w:name="_Toc499211631"/>
      <w:bookmarkStart w:id="260" w:name="_Toc500974558"/>
      <w:bookmarkStart w:id="261" w:name="_Toc502863919"/>
      <w:bookmarkStart w:id="262" w:name="_Toc505758490"/>
      <w:bookmarkStart w:id="263" w:name="_Toc506201583"/>
      <w:r w:rsidRPr="003A1D53">
        <w:rPr>
          <w:rFonts w:ascii="Times New Roman" w:hAnsi="Times New Roman"/>
          <w:color w:val="auto"/>
          <w:sz w:val="24"/>
          <w:szCs w:val="24"/>
        </w:rPr>
        <w:t>Leçons apprises</w:t>
      </w:r>
      <w:bookmarkEnd w:id="259"/>
      <w:bookmarkEnd w:id="260"/>
      <w:bookmarkEnd w:id="261"/>
      <w:bookmarkEnd w:id="262"/>
      <w:bookmarkEnd w:id="263"/>
    </w:p>
    <w:p w14:paraId="604B5363" w14:textId="77777777" w:rsidR="005857C5" w:rsidRPr="003A1D53" w:rsidRDefault="005857C5" w:rsidP="005B22B2">
      <w:pPr>
        <w:spacing w:after="0" w:line="240" w:lineRule="auto"/>
        <w:jc w:val="both"/>
        <w:rPr>
          <w:rFonts w:ascii="Times New Roman" w:hAnsi="Times New Roman"/>
          <w:sz w:val="24"/>
          <w:szCs w:val="24"/>
        </w:rPr>
      </w:pPr>
    </w:p>
    <w:p w14:paraId="604B5364" w14:textId="77777777" w:rsidR="00320A94" w:rsidRPr="003A1D53" w:rsidRDefault="00320A94" w:rsidP="00320A94">
      <w:pPr>
        <w:spacing w:after="0" w:line="240" w:lineRule="auto"/>
        <w:jc w:val="both"/>
        <w:rPr>
          <w:rFonts w:ascii="Times New Roman" w:hAnsi="Times New Roman"/>
          <w:b/>
          <w:i/>
          <w:sz w:val="24"/>
          <w:szCs w:val="24"/>
        </w:rPr>
      </w:pPr>
      <w:r w:rsidRPr="003A1D53">
        <w:rPr>
          <w:rFonts w:ascii="Times New Roman" w:hAnsi="Times New Roman"/>
          <w:b/>
          <w:i/>
          <w:sz w:val="24"/>
          <w:szCs w:val="24"/>
        </w:rPr>
        <w:t>Si le Ministère en charge de la Coopération Multilatérale, répondant du Système au sein du Gouvernement, consent certes des efforts appréciables pour assurer la coordination nationale du programme, cette dimension est en attente d’améliorations considérables.</w:t>
      </w:r>
    </w:p>
    <w:p w14:paraId="604B5365" w14:textId="77777777" w:rsidR="00320A94" w:rsidRPr="003A1D53" w:rsidRDefault="00320A94" w:rsidP="00320A94">
      <w:pPr>
        <w:spacing w:after="0" w:line="240" w:lineRule="auto"/>
        <w:jc w:val="both"/>
        <w:rPr>
          <w:rFonts w:ascii="Times New Roman" w:hAnsi="Times New Roman"/>
          <w:sz w:val="24"/>
          <w:szCs w:val="24"/>
        </w:rPr>
      </w:pPr>
    </w:p>
    <w:p w14:paraId="604B5366" w14:textId="77777777" w:rsidR="00320A94" w:rsidRPr="003A1D53" w:rsidRDefault="00A4083F" w:rsidP="00320A94">
      <w:pPr>
        <w:spacing w:after="0" w:line="240" w:lineRule="auto"/>
        <w:jc w:val="both"/>
        <w:rPr>
          <w:rFonts w:ascii="Times New Roman" w:hAnsi="Times New Roman"/>
          <w:sz w:val="24"/>
          <w:szCs w:val="24"/>
        </w:rPr>
      </w:pPr>
      <w:r w:rsidRPr="003A1D53">
        <w:rPr>
          <w:rFonts w:ascii="Times New Roman" w:hAnsi="Times New Roman"/>
          <w:sz w:val="24"/>
          <w:szCs w:val="24"/>
        </w:rPr>
        <w:t>210.</w:t>
      </w:r>
      <w:r w:rsidR="00320A94" w:rsidRPr="003A1D53">
        <w:rPr>
          <w:rFonts w:ascii="Times New Roman" w:hAnsi="Times New Roman"/>
          <w:sz w:val="24"/>
          <w:szCs w:val="24"/>
        </w:rPr>
        <w:tab/>
        <w:t>Le programme ressort beaucoup mieux coordonné à l’intérieur du Système, qu’il n’est piloté et entraîné par la partie nationale. Celle-ci n’a mis en place des points focaux en rapport avec les groupes de résultats que récemment, dans le courant de l’année 2017. D’ailleurs, ce concept d’animation a été développé en mettant à contribution l’expérience interne du Système beaucoup plus ancienne et consistante dans ce domaine. La coordination du côté de la partie nationale n’est pas facilitée les dynamiques centrifuges qui s’y expriment. Les secteurs semblent soucieux de bilatéralité avec leurs partenaires traditionnels au sein Système. Certains contenus du programme sont par ailleurs en débat entre plusieurs départements ministériels pour savoir devrait les avoir sous tutelle. C’est le cas, par exemple, de la stratégique problématique des Objectifs de Développement Durables, sur laquelle un arbitrage de la Primature est attendu. Enfin, le manque de moyens de fonctionnement dessert aussi, dans une grande mesure, l’opérationnalité d’une véritable coordination nationale.</w:t>
      </w:r>
    </w:p>
    <w:p w14:paraId="604B5367" w14:textId="77777777" w:rsidR="00320A94" w:rsidRPr="003A1D53" w:rsidRDefault="00320A94" w:rsidP="00320A94">
      <w:pPr>
        <w:spacing w:after="0" w:line="240" w:lineRule="auto"/>
        <w:jc w:val="both"/>
        <w:rPr>
          <w:rFonts w:ascii="Times New Roman" w:hAnsi="Times New Roman"/>
          <w:sz w:val="24"/>
          <w:szCs w:val="24"/>
        </w:rPr>
      </w:pPr>
    </w:p>
    <w:p w14:paraId="604B5368" w14:textId="77777777" w:rsidR="00320A94" w:rsidRPr="003A1D53" w:rsidRDefault="00A4083F" w:rsidP="00320A94">
      <w:pPr>
        <w:spacing w:after="0" w:line="240" w:lineRule="auto"/>
        <w:jc w:val="both"/>
        <w:rPr>
          <w:rFonts w:ascii="Times New Roman" w:hAnsi="Times New Roman"/>
          <w:sz w:val="24"/>
          <w:szCs w:val="24"/>
        </w:rPr>
      </w:pPr>
      <w:r w:rsidRPr="003A1D53">
        <w:rPr>
          <w:rFonts w:ascii="Times New Roman" w:hAnsi="Times New Roman"/>
          <w:sz w:val="24"/>
          <w:szCs w:val="24"/>
        </w:rPr>
        <w:t>211.</w:t>
      </w:r>
      <w:r w:rsidRPr="003A1D53">
        <w:rPr>
          <w:rFonts w:ascii="Times New Roman" w:hAnsi="Times New Roman"/>
          <w:sz w:val="24"/>
          <w:szCs w:val="24"/>
        </w:rPr>
        <w:tab/>
      </w:r>
      <w:r w:rsidR="00320A94" w:rsidRPr="003A1D53">
        <w:rPr>
          <w:rFonts w:ascii="Times New Roman" w:hAnsi="Times New Roman"/>
          <w:sz w:val="24"/>
          <w:szCs w:val="24"/>
        </w:rPr>
        <w:t>Entre le Système et la partie nationale, l’on ressent très vite deux rythmes nettement différents en matière de coordination, d’appropriation et de leadership sur le programme. La partie nationale devrait gagner des crédits supplémentaires à cet égard, et devenir la force d’entraînement principale du programme. Le contexte de crise, la fin prochaine du cycle de programmation du CREDD et le vide de référence stratégique qui en découlera, sont autant de raisons qui commandent un raffermissement de l’emprise de la partie nationale sur le programme, qui en attend une guidance claire et volontariste.</w:t>
      </w:r>
    </w:p>
    <w:p w14:paraId="604B5369" w14:textId="77777777" w:rsidR="00320A94" w:rsidRPr="003A1D53" w:rsidRDefault="00320A94" w:rsidP="00320A94">
      <w:pPr>
        <w:spacing w:after="0" w:line="240" w:lineRule="auto"/>
        <w:jc w:val="both"/>
        <w:rPr>
          <w:rFonts w:ascii="Times New Roman" w:hAnsi="Times New Roman"/>
          <w:sz w:val="24"/>
          <w:szCs w:val="24"/>
        </w:rPr>
      </w:pPr>
      <w:r w:rsidRPr="003A1D53">
        <w:rPr>
          <w:rFonts w:ascii="Times New Roman" w:hAnsi="Times New Roman"/>
          <w:sz w:val="24"/>
          <w:szCs w:val="24"/>
        </w:rPr>
        <w:tab/>
      </w:r>
    </w:p>
    <w:p w14:paraId="604B536A" w14:textId="77777777" w:rsidR="00320A94" w:rsidRPr="003A1D53" w:rsidRDefault="00320A94" w:rsidP="00320A94">
      <w:pPr>
        <w:spacing w:after="0" w:line="240" w:lineRule="auto"/>
        <w:jc w:val="both"/>
        <w:rPr>
          <w:rFonts w:ascii="Times New Roman" w:hAnsi="Times New Roman"/>
          <w:b/>
          <w:i/>
          <w:sz w:val="24"/>
          <w:szCs w:val="24"/>
        </w:rPr>
      </w:pPr>
      <w:r w:rsidRPr="003A1D53">
        <w:rPr>
          <w:rFonts w:ascii="Times New Roman" w:hAnsi="Times New Roman"/>
          <w:b/>
          <w:i/>
          <w:sz w:val="24"/>
          <w:szCs w:val="24"/>
        </w:rPr>
        <w:t>Un Effet qui a consommé le moins de ressources est aussi celui qui montre le plus de satisfaction dans la livraison des produits du programme, et, inversement, un autre qui a proportionnellement absorbé le plus de ressources affiche des résultats plus mitigés.</w:t>
      </w:r>
    </w:p>
    <w:p w14:paraId="604B536B" w14:textId="77777777" w:rsidR="00320A94" w:rsidRPr="003A1D53" w:rsidRDefault="00320A94" w:rsidP="00320A94">
      <w:pPr>
        <w:spacing w:after="0" w:line="240" w:lineRule="auto"/>
        <w:jc w:val="both"/>
        <w:rPr>
          <w:rFonts w:ascii="Times New Roman" w:hAnsi="Times New Roman"/>
          <w:sz w:val="24"/>
          <w:szCs w:val="24"/>
        </w:rPr>
      </w:pPr>
    </w:p>
    <w:p w14:paraId="604B536C" w14:textId="77777777" w:rsidR="00320A94" w:rsidRPr="003A1D53" w:rsidRDefault="00A4083F" w:rsidP="00320A94">
      <w:pPr>
        <w:spacing w:after="0" w:line="240" w:lineRule="auto"/>
        <w:jc w:val="both"/>
        <w:rPr>
          <w:rFonts w:ascii="Times New Roman" w:hAnsi="Times New Roman"/>
          <w:sz w:val="24"/>
          <w:szCs w:val="24"/>
        </w:rPr>
      </w:pPr>
      <w:r w:rsidRPr="003A1D53">
        <w:rPr>
          <w:rFonts w:ascii="Times New Roman" w:hAnsi="Times New Roman"/>
          <w:sz w:val="24"/>
          <w:szCs w:val="24"/>
        </w:rPr>
        <w:t>212.</w:t>
      </w:r>
      <w:r w:rsidR="00320A94" w:rsidRPr="003A1D53">
        <w:rPr>
          <w:rFonts w:ascii="Times New Roman" w:hAnsi="Times New Roman"/>
          <w:sz w:val="24"/>
          <w:szCs w:val="24"/>
        </w:rPr>
        <w:tab/>
        <w:t>Avec seulement 25% de ses ressources prévisionnelles, l’Effet 5 aligne de bonnes performances sur la presque totalité de ses indicateurs de produits : eau et assainissement, activités génératrices de revenus, relance des exportations d’agrumes, diffusions des énergies renouvelables, notamment. Sur les indicateurs renseignés, 19 sont satisfaisants</w:t>
      </w:r>
      <w:r w:rsidR="00320A94" w:rsidRPr="003A1D53">
        <w:rPr>
          <w:rFonts w:ascii="Times New Roman" w:hAnsi="Times New Roman"/>
          <w:sz w:val="24"/>
          <w:szCs w:val="24"/>
          <w:vertAlign w:val="superscript"/>
        </w:rPr>
        <w:footnoteReference w:id="3"/>
      </w:r>
      <w:r w:rsidR="00320A94" w:rsidRPr="003A1D53">
        <w:rPr>
          <w:rFonts w:ascii="Times New Roman" w:hAnsi="Times New Roman"/>
          <w:sz w:val="24"/>
          <w:szCs w:val="24"/>
        </w:rPr>
        <w:t xml:space="preserve">, contre 2 seulement qui ne le sont pas, soit un ratio de satisfaction de plus de 90%. L’Effet 4, en revanche, bien qu’ayant consommé 126% de ses ressources prévisionnelles, affiche des résultats beaucoup plus contrastés. Les réalisations y sont bonnes en matière d’état civil, mitigées sur la </w:t>
      </w:r>
      <w:r w:rsidR="00320A94" w:rsidRPr="003A1D53">
        <w:rPr>
          <w:rFonts w:ascii="Times New Roman" w:hAnsi="Times New Roman"/>
          <w:sz w:val="24"/>
          <w:szCs w:val="24"/>
        </w:rPr>
        <w:lastRenderedPageBreak/>
        <w:t>santé et la lutte contre les violences faites aux femmes, et globalement nettement plus faibles sur la nutrition et sur l’éducation. Sur les indicateurs renseignés, 14 sont satisfaisants, contre 19 qui ne le sont pas, soit un ratio de satisfaction de 42%. </w:t>
      </w:r>
    </w:p>
    <w:p w14:paraId="604B536D" w14:textId="77777777" w:rsidR="00320A94" w:rsidRPr="003A1D53" w:rsidRDefault="00320A94" w:rsidP="00320A94">
      <w:pPr>
        <w:spacing w:after="0" w:line="240" w:lineRule="auto"/>
        <w:jc w:val="both"/>
        <w:rPr>
          <w:rFonts w:ascii="Times New Roman" w:hAnsi="Times New Roman"/>
          <w:sz w:val="24"/>
          <w:szCs w:val="24"/>
        </w:rPr>
      </w:pPr>
    </w:p>
    <w:p w14:paraId="604B536E" w14:textId="77777777" w:rsidR="00320A94" w:rsidRPr="003A1D53" w:rsidRDefault="00A4083F" w:rsidP="00320A94">
      <w:pPr>
        <w:spacing w:after="0" w:line="240" w:lineRule="auto"/>
        <w:jc w:val="both"/>
        <w:rPr>
          <w:rFonts w:ascii="Times New Roman" w:hAnsi="Times New Roman"/>
          <w:sz w:val="24"/>
          <w:szCs w:val="24"/>
        </w:rPr>
      </w:pPr>
      <w:r w:rsidRPr="003A1D53">
        <w:rPr>
          <w:rFonts w:ascii="Times New Roman" w:hAnsi="Times New Roman"/>
          <w:sz w:val="24"/>
          <w:szCs w:val="24"/>
        </w:rPr>
        <w:t>213.</w:t>
      </w:r>
      <w:r w:rsidR="00320A94" w:rsidRPr="003A1D53">
        <w:rPr>
          <w:rFonts w:ascii="Times New Roman" w:hAnsi="Times New Roman"/>
          <w:sz w:val="24"/>
          <w:szCs w:val="24"/>
        </w:rPr>
        <w:tab/>
        <w:t>Ces disparités entre les moyens mis en œuvre et les rendus stratégiques alertent sur une faible "élasticité-prix" sur le programme, dont l’explication est fondamentalement une planification trop ample, qui n’a pas serré ressources et objectifs stratégiques au plus pré des besoins de la réalité opérationnels. Sur un plan plus substantiel, la planification a également pu configurer les réponses techniques que le programme doit apporter sans les articuler suffisamment aux conditions nationales préalables dont elles ont besoin pour être effectives. Par exemple, il est apparu que la réponse au VIH pour lesquelles le Système dispose d’importantes ressources en provenance du Fonds Mondial contre les Maladies, a été handicapée à un moment donné par l’absence ou la prise tardive de mesures réglementaires à la diligence des autorités nationales.</w:t>
      </w:r>
    </w:p>
    <w:p w14:paraId="604B536F" w14:textId="77777777" w:rsidR="00320A94" w:rsidRPr="003A1D53" w:rsidRDefault="00320A94" w:rsidP="00320A94">
      <w:pPr>
        <w:spacing w:after="0" w:line="240" w:lineRule="auto"/>
        <w:jc w:val="both"/>
        <w:rPr>
          <w:rFonts w:ascii="Times New Roman" w:hAnsi="Times New Roman"/>
          <w:sz w:val="24"/>
          <w:szCs w:val="24"/>
        </w:rPr>
      </w:pPr>
    </w:p>
    <w:p w14:paraId="604B5370" w14:textId="77777777" w:rsidR="00320A94" w:rsidRPr="003A1D53" w:rsidRDefault="00320A94" w:rsidP="00320A94">
      <w:pPr>
        <w:spacing w:after="0" w:line="240" w:lineRule="auto"/>
        <w:jc w:val="both"/>
        <w:rPr>
          <w:rFonts w:ascii="Times New Roman" w:hAnsi="Times New Roman"/>
          <w:b/>
          <w:i/>
          <w:sz w:val="24"/>
          <w:szCs w:val="24"/>
        </w:rPr>
      </w:pPr>
      <w:r w:rsidRPr="003A1D53">
        <w:rPr>
          <w:rFonts w:ascii="Times New Roman" w:hAnsi="Times New Roman"/>
          <w:b/>
          <w:i/>
          <w:sz w:val="24"/>
          <w:szCs w:val="24"/>
        </w:rPr>
        <w:t>Bien que le Système au Mali n’ait pas choisi d’appliquer le principe d’unification des ressources, cette question est à l’œuvre et dessine une ligne de fracture entre les entités, et mérite qu’on y articule une réflexion stratégique en prévision de la réforme de l’institution Coordination Résidente envisagée par le nouveau Secrétaire Général.</w:t>
      </w:r>
    </w:p>
    <w:p w14:paraId="604B5371" w14:textId="77777777" w:rsidR="00320A94" w:rsidRPr="003A1D53" w:rsidRDefault="00320A94" w:rsidP="00320A94">
      <w:pPr>
        <w:spacing w:after="0" w:line="240" w:lineRule="auto"/>
        <w:jc w:val="both"/>
        <w:rPr>
          <w:rFonts w:ascii="Times New Roman" w:hAnsi="Times New Roman"/>
          <w:sz w:val="24"/>
          <w:szCs w:val="24"/>
        </w:rPr>
      </w:pPr>
    </w:p>
    <w:p w14:paraId="604B5372" w14:textId="77777777" w:rsidR="00320A94" w:rsidRPr="003A1D53" w:rsidRDefault="00A4083F" w:rsidP="00320A94">
      <w:pPr>
        <w:spacing w:after="0" w:line="240" w:lineRule="auto"/>
        <w:jc w:val="both"/>
        <w:rPr>
          <w:rFonts w:ascii="Times New Roman" w:hAnsi="Times New Roman"/>
          <w:sz w:val="24"/>
          <w:szCs w:val="24"/>
        </w:rPr>
      </w:pPr>
      <w:r w:rsidRPr="003A1D53">
        <w:rPr>
          <w:rFonts w:ascii="Times New Roman" w:hAnsi="Times New Roman"/>
          <w:sz w:val="24"/>
          <w:szCs w:val="24"/>
        </w:rPr>
        <w:t>214.</w:t>
      </w:r>
      <w:r w:rsidR="00320A94" w:rsidRPr="003A1D53">
        <w:rPr>
          <w:rFonts w:ascii="Times New Roman" w:hAnsi="Times New Roman"/>
          <w:sz w:val="24"/>
          <w:szCs w:val="24"/>
        </w:rPr>
        <w:tab/>
        <w:t>D’un côté, certaines entités considérèrent que le programme a besoin d’être adossé à un confortable volant de ressources commune pour booster la programmation conjointe et maximiser les valeurs ajoutées du Système au bénéfice du pays. D’un autre côté, d’autres entités estiment qu’il faut travailler davantage sur la programmation conjointe, et faire en sorte qu’il y ait un véritable cadre d’intégration des activités des agences, fonds, programmes et autres entités. L’idée est que si ce moule existe, les ressources mobilisées par chaque acteur et exécutées dans ce cadre servent au plus haut point le programme et contribue avec efficience aux valeurs ajoutées générées par le Système dans son environnement.</w:t>
      </w:r>
    </w:p>
    <w:p w14:paraId="604B5373" w14:textId="77777777" w:rsidR="00320A94" w:rsidRPr="003A1D53" w:rsidRDefault="00320A94" w:rsidP="00320A94">
      <w:pPr>
        <w:spacing w:after="0" w:line="240" w:lineRule="auto"/>
        <w:jc w:val="both"/>
        <w:rPr>
          <w:rFonts w:ascii="Times New Roman" w:hAnsi="Times New Roman"/>
          <w:sz w:val="24"/>
          <w:szCs w:val="24"/>
        </w:rPr>
      </w:pPr>
    </w:p>
    <w:p w14:paraId="604B5374" w14:textId="77777777" w:rsidR="00320A94" w:rsidRPr="003A1D53" w:rsidRDefault="00A4083F" w:rsidP="00320A94">
      <w:pPr>
        <w:spacing w:after="0" w:line="240" w:lineRule="auto"/>
        <w:jc w:val="both"/>
        <w:rPr>
          <w:rFonts w:ascii="Times New Roman" w:hAnsi="Times New Roman"/>
          <w:sz w:val="24"/>
          <w:szCs w:val="24"/>
        </w:rPr>
      </w:pPr>
      <w:r w:rsidRPr="003A1D53">
        <w:rPr>
          <w:rFonts w:ascii="Times New Roman" w:hAnsi="Times New Roman"/>
          <w:sz w:val="24"/>
          <w:szCs w:val="24"/>
        </w:rPr>
        <w:t>215.</w:t>
      </w:r>
      <w:r w:rsidR="00320A94" w:rsidRPr="003A1D53">
        <w:rPr>
          <w:rFonts w:ascii="Times New Roman" w:hAnsi="Times New Roman"/>
          <w:sz w:val="24"/>
          <w:szCs w:val="24"/>
        </w:rPr>
        <w:tab/>
        <w:t>Ce débat ne manquera pas d’avoir une résonnance sur la mise en œuvre de la Stratégie conjointe de mobilisation de ressource, et déterminer ses rendements in fine. Dans ce cadre nouveau, les partenaires financiers seront-ils approchés de manière systématiquement conjointe, ou alors la persistance d’approches bilatérales restera-t-elle tolérée ? Ce débat fait particulièrement sens dans le contexte à venir de la réforme de la Coordination Résidente, où il est justement envisagé la mise en place systématique de ressources conjointes.</w:t>
      </w:r>
    </w:p>
    <w:p w14:paraId="604B5375" w14:textId="77777777" w:rsidR="00320A94" w:rsidRPr="003A1D53" w:rsidRDefault="00320A94" w:rsidP="00320A94">
      <w:pPr>
        <w:spacing w:after="0" w:line="240" w:lineRule="auto"/>
        <w:jc w:val="both"/>
        <w:rPr>
          <w:rFonts w:ascii="Times New Roman" w:hAnsi="Times New Roman"/>
          <w:sz w:val="24"/>
          <w:szCs w:val="24"/>
        </w:rPr>
      </w:pPr>
    </w:p>
    <w:p w14:paraId="604B5376" w14:textId="77777777" w:rsidR="00320A94" w:rsidRPr="003A1D53" w:rsidRDefault="00320A94" w:rsidP="00320A94">
      <w:pPr>
        <w:spacing w:after="0" w:line="240" w:lineRule="auto"/>
        <w:jc w:val="both"/>
        <w:rPr>
          <w:rFonts w:ascii="Times New Roman" w:hAnsi="Times New Roman"/>
          <w:b/>
          <w:i/>
          <w:sz w:val="24"/>
          <w:szCs w:val="24"/>
        </w:rPr>
      </w:pPr>
      <w:r w:rsidRPr="003A1D53">
        <w:rPr>
          <w:rFonts w:ascii="Times New Roman" w:hAnsi="Times New Roman"/>
          <w:b/>
          <w:i/>
          <w:sz w:val="24"/>
          <w:szCs w:val="24"/>
        </w:rPr>
        <w:tab/>
        <w:t>La relation du programme avec ses partenaires financiers, en termes de motivations profondes, ressort de plus en plus tirée par les nécessités du contexte, et moins en moins nourrie de satisfactions franches.</w:t>
      </w:r>
    </w:p>
    <w:p w14:paraId="604B5377" w14:textId="77777777" w:rsidR="00320A94" w:rsidRPr="003A1D53" w:rsidRDefault="00320A94" w:rsidP="00320A94">
      <w:pPr>
        <w:spacing w:after="0" w:line="240" w:lineRule="auto"/>
        <w:jc w:val="both"/>
        <w:rPr>
          <w:rFonts w:ascii="Times New Roman" w:hAnsi="Times New Roman"/>
          <w:sz w:val="24"/>
          <w:szCs w:val="24"/>
        </w:rPr>
      </w:pPr>
    </w:p>
    <w:p w14:paraId="604B5378" w14:textId="77777777" w:rsidR="00320A94" w:rsidRPr="003A1D53" w:rsidRDefault="00A4083F" w:rsidP="00320A94">
      <w:pPr>
        <w:spacing w:after="0" w:line="240" w:lineRule="auto"/>
        <w:jc w:val="both"/>
        <w:rPr>
          <w:rFonts w:ascii="Times New Roman" w:hAnsi="Times New Roman"/>
          <w:sz w:val="24"/>
          <w:szCs w:val="24"/>
        </w:rPr>
      </w:pPr>
      <w:r w:rsidRPr="003A1D53">
        <w:rPr>
          <w:rFonts w:ascii="Times New Roman" w:hAnsi="Times New Roman"/>
          <w:sz w:val="24"/>
          <w:szCs w:val="24"/>
        </w:rPr>
        <w:t>216.</w:t>
      </w:r>
      <w:r w:rsidR="00320A94" w:rsidRPr="003A1D53">
        <w:rPr>
          <w:rFonts w:ascii="Times New Roman" w:hAnsi="Times New Roman"/>
          <w:sz w:val="24"/>
          <w:szCs w:val="24"/>
        </w:rPr>
        <w:tab/>
        <w:t>Il est nettement ressorti des entretiens avec les partenaires financiers qu’à leurs yeux, le Système a surtout l’atout de la nécessité : dans le contexte actuel, en plus de ses savoir faire dans de nombreux métiers du développement international, il a l’avantage, en s’appuyant sur les moyens de la Mission, de déployer des activités d’envergure synonyme d’une bonne couverture du territoire national, permettant d’atteindre le plus de bénéficiaires y compris dans des zones reculées ou difficiles d’accès pour des raisons de sécurité. Cet avantage est malheureusement contrebalancé par ce que des limites que les partenaires font aussi valoir.</w:t>
      </w:r>
    </w:p>
    <w:p w14:paraId="604B5379" w14:textId="77777777" w:rsidR="00320A94" w:rsidRPr="003A1D53" w:rsidRDefault="00320A94" w:rsidP="00320A94">
      <w:pPr>
        <w:spacing w:after="0" w:line="240" w:lineRule="auto"/>
        <w:jc w:val="both"/>
        <w:rPr>
          <w:rFonts w:ascii="Times New Roman" w:hAnsi="Times New Roman"/>
          <w:sz w:val="24"/>
          <w:szCs w:val="24"/>
        </w:rPr>
      </w:pPr>
    </w:p>
    <w:p w14:paraId="604B537A" w14:textId="77777777" w:rsidR="00320A94" w:rsidRPr="003A1D53" w:rsidRDefault="00A4083F" w:rsidP="00320A94">
      <w:pPr>
        <w:spacing w:after="0" w:line="240" w:lineRule="auto"/>
        <w:jc w:val="both"/>
        <w:rPr>
          <w:rFonts w:ascii="Times New Roman" w:hAnsi="Times New Roman"/>
          <w:sz w:val="24"/>
          <w:szCs w:val="24"/>
        </w:rPr>
      </w:pPr>
      <w:r w:rsidRPr="003A1D53">
        <w:rPr>
          <w:rFonts w:ascii="Times New Roman" w:hAnsi="Times New Roman"/>
          <w:sz w:val="24"/>
          <w:szCs w:val="24"/>
        </w:rPr>
        <w:t>217.</w:t>
      </w:r>
      <w:r w:rsidR="00320A94" w:rsidRPr="003A1D53">
        <w:rPr>
          <w:rFonts w:ascii="Times New Roman" w:hAnsi="Times New Roman"/>
          <w:sz w:val="24"/>
          <w:szCs w:val="24"/>
        </w:rPr>
        <w:tab/>
        <w:t xml:space="preserve">Il a souvent été entendu à ce niveau qu’au moment où des organisations de société civile approchent ses standard de production, le Système reste cher, pas fondamentalement pour les </w:t>
      </w:r>
      <w:r w:rsidR="00320A94" w:rsidRPr="003A1D53">
        <w:rPr>
          <w:rFonts w:ascii="Times New Roman" w:hAnsi="Times New Roman"/>
          <w:sz w:val="24"/>
          <w:szCs w:val="24"/>
        </w:rPr>
        <w:lastRenderedPageBreak/>
        <w:t>frais de gestion facturés sur les ressources, mais plus globalement pour le niveau de ses coûts d’intermédiation (staffing, moyens logistiques, etc.). Le Système est lent, est-il régulièrement dit, et ne parvient pas souvent pas à éviter des extensions de cycle sans incidence budgétaire. Le Système ne reporte pas à satisfaction des bailleurs : dans de nombreux cas, les rapports recèlent des lacunes et sont délivrés avec retard. Certaines entités du Système n’effectuent pas un suivi rapproché des activités de terrain sous-traitées à des agences locales d’exécution. Enfin, un dernier argument qui n’a pas été entendu aussi souvent que ls autres, est que certaines porosités observées entre les entités du Système et les institutions nationales, avec des va et vient de personnels de haut niveau entre les deux bords, pourraient être de nature à entamer sa capacité de distanciation.</w:t>
      </w:r>
    </w:p>
    <w:p w14:paraId="604B537B" w14:textId="77777777" w:rsidR="00320A94" w:rsidRPr="003A1D53" w:rsidRDefault="00320A94" w:rsidP="00320A94">
      <w:pPr>
        <w:spacing w:after="0" w:line="240" w:lineRule="auto"/>
        <w:jc w:val="both"/>
        <w:rPr>
          <w:rFonts w:ascii="Times New Roman" w:hAnsi="Times New Roman"/>
          <w:sz w:val="24"/>
          <w:szCs w:val="24"/>
        </w:rPr>
      </w:pPr>
    </w:p>
    <w:p w14:paraId="604B537C" w14:textId="77777777" w:rsidR="00320A94" w:rsidRPr="003A1D53" w:rsidRDefault="00A4083F" w:rsidP="00320A94">
      <w:pPr>
        <w:spacing w:after="0" w:line="240" w:lineRule="auto"/>
        <w:jc w:val="both"/>
        <w:rPr>
          <w:rFonts w:ascii="Times New Roman" w:hAnsi="Times New Roman"/>
          <w:sz w:val="24"/>
          <w:szCs w:val="24"/>
        </w:rPr>
      </w:pPr>
      <w:r w:rsidRPr="003A1D53">
        <w:rPr>
          <w:rFonts w:ascii="Times New Roman" w:hAnsi="Times New Roman"/>
          <w:sz w:val="24"/>
          <w:szCs w:val="24"/>
        </w:rPr>
        <w:t>218.</w:t>
      </w:r>
      <w:r w:rsidR="00320A94" w:rsidRPr="003A1D53">
        <w:rPr>
          <w:rFonts w:ascii="Times New Roman" w:hAnsi="Times New Roman"/>
          <w:sz w:val="24"/>
          <w:szCs w:val="24"/>
        </w:rPr>
        <w:tab/>
        <w:t xml:space="preserve">Ces considérations doivent être évaluées à l’interne pour déterminer ce qui doit en être retenu, et y articuler des réponses appropriées. Le contexte est appelé à évolué, et pourrait donc relativiser l’atout de nécessité que le Système en retire. Et de toute manière, la compétition pour les ressources, déjà à l’œuvre à l’intérieur du Système, est une tendance lourde de manière globale, et appelle pour le Système de travailler sur ses propres limites, tout en renforçant ses avantages comparatifs. </w:t>
      </w:r>
    </w:p>
    <w:p w14:paraId="604B537D" w14:textId="77777777" w:rsidR="00BA3DC6" w:rsidRPr="003A1D53" w:rsidRDefault="00BA3DC6" w:rsidP="005B22B2">
      <w:pPr>
        <w:spacing w:after="0" w:line="240" w:lineRule="auto"/>
        <w:jc w:val="both"/>
        <w:rPr>
          <w:rFonts w:ascii="Times New Roman" w:hAnsi="Times New Roman"/>
          <w:sz w:val="14"/>
          <w:szCs w:val="14"/>
        </w:rPr>
      </w:pPr>
    </w:p>
    <w:p w14:paraId="604B537E" w14:textId="77777777" w:rsidR="00BA3DC6" w:rsidRPr="003A1D53" w:rsidRDefault="00BA3DC6" w:rsidP="003B48EF">
      <w:pPr>
        <w:pStyle w:val="Titre2"/>
        <w:numPr>
          <w:ilvl w:val="0"/>
          <w:numId w:val="5"/>
        </w:numPr>
        <w:spacing w:before="0"/>
        <w:rPr>
          <w:rFonts w:ascii="Times New Roman" w:hAnsi="Times New Roman"/>
          <w:color w:val="auto"/>
          <w:sz w:val="24"/>
          <w:szCs w:val="24"/>
        </w:rPr>
      </w:pPr>
      <w:bookmarkStart w:id="264" w:name="_Toc499211632"/>
      <w:bookmarkStart w:id="265" w:name="_Toc500974559"/>
      <w:bookmarkStart w:id="266" w:name="_Toc502863920"/>
      <w:bookmarkStart w:id="267" w:name="_Toc505758491"/>
      <w:bookmarkStart w:id="268" w:name="_Toc506201584"/>
      <w:r w:rsidRPr="003A1D53">
        <w:rPr>
          <w:rFonts w:ascii="Times New Roman" w:hAnsi="Times New Roman"/>
          <w:color w:val="auto"/>
          <w:sz w:val="24"/>
          <w:szCs w:val="24"/>
        </w:rPr>
        <w:t>Recommandations</w:t>
      </w:r>
      <w:bookmarkEnd w:id="264"/>
      <w:bookmarkEnd w:id="265"/>
      <w:bookmarkEnd w:id="266"/>
      <w:bookmarkEnd w:id="267"/>
      <w:bookmarkEnd w:id="268"/>
    </w:p>
    <w:p w14:paraId="604B537F" w14:textId="77777777" w:rsidR="00F02379" w:rsidRPr="003A1D53" w:rsidRDefault="00F02379" w:rsidP="005B22B2">
      <w:pPr>
        <w:autoSpaceDE w:val="0"/>
        <w:autoSpaceDN w:val="0"/>
        <w:adjustRightInd w:val="0"/>
        <w:spacing w:after="0" w:line="240" w:lineRule="auto"/>
        <w:jc w:val="both"/>
        <w:rPr>
          <w:rFonts w:ascii="Times New Roman" w:hAnsi="Times New Roman"/>
          <w:sz w:val="24"/>
          <w:szCs w:val="24"/>
        </w:rPr>
      </w:pPr>
    </w:p>
    <w:p w14:paraId="604B5380" w14:textId="77777777" w:rsidR="00CA3F67" w:rsidRPr="003A1D53" w:rsidRDefault="00CA3F67" w:rsidP="00CA3F67">
      <w:pPr>
        <w:pStyle w:val="Paragraphedeliste"/>
        <w:numPr>
          <w:ilvl w:val="0"/>
          <w:numId w:val="59"/>
        </w:numPr>
        <w:spacing w:after="0" w:line="240" w:lineRule="auto"/>
        <w:jc w:val="both"/>
        <w:rPr>
          <w:rFonts w:ascii="Times New Roman" w:hAnsi="Times New Roman"/>
          <w:b/>
          <w:sz w:val="24"/>
          <w:szCs w:val="24"/>
        </w:rPr>
      </w:pPr>
      <w:r w:rsidRPr="003A1D53">
        <w:rPr>
          <w:rFonts w:ascii="Times New Roman" w:hAnsi="Times New Roman"/>
          <w:b/>
          <w:sz w:val="24"/>
          <w:szCs w:val="24"/>
        </w:rPr>
        <w:t>Aider le renforcement de la coordination nationale</w:t>
      </w:r>
    </w:p>
    <w:p w14:paraId="604B5381" w14:textId="77777777" w:rsidR="00CA3F67" w:rsidRPr="003A1D53" w:rsidRDefault="00CA3F67" w:rsidP="00CA3F67">
      <w:pPr>
        <w:spacing w:after="0" w:line="240" w:lineRule="auto"/>
        <w:jc w:val="both"/>
        <w:rPr>
          <w:rFonts w:ascii="Times New Roman" w:hAnsi="Times New Roman"/>
          <w:sz w:val="24"/>
          <w:szCs w:val="24"/>
        </w:rPr>
      </w:pPr>
    </w:p>
    <w:p w14:paraId="604B5382" w14:textId="77777777" w:rsidR="00CA3F67" w:rsidRPr="003A1D53" w:rsidRDefault="00A4083F" w:rsidP="00CA3F67">
      <w:pPr>
        <w:spacing w:after="0" w:line="240" w:lineRule="auto"/>
        <w:jc w:val="both"/>
        <w:rPr>
          <w:rFonts w:ascii="Times New Roman" w:hAnsi="Times New Roman"/>
          <w:sz w:val="24"/>
          <w:szCs w:val="24"/>
        </w:rPr>
      </w:pPr>
      <w:r w:rsidRPr="003A1D53">
        <w:rPr>
          <w:rFonts w:ascii="Times New Roman" w:hAnsi="Times New Roman"/>
          <w:sz w:val="24"/>
          <w:szCs w:val="24"/>
        </w:rPr>
        <w:t>219.</w:t>
      </w:r>
      <w:r w:rsidR="00CA3F67" w:rsidRPr="003A1D53">
        <w:rPr>
          <w:rFonts w:ascii="Times New Roman" w:hAnsi="Times New Roman"/>
          <w:sz w:val="24"/>
          <w:szCs w:val="24"/>
        </w:rPr>
        <w:tab/>
      </w:r>
      <w:r w:rsidR="00CA3F67" w:rsidRPr="003A1D53">
        <w:rPr>
          <w:rFonts w:ascii="Times New Roman" w:hAnsi="Times New Roman"/>
          <w:i/>
          <w:sz w:val="24"/>
          <w:szCs w:val="24"/>
          <w:u w:val="single"/>
        </w:rPr>
        <w:t>Le problème sous-jacent</w:t>
      </w:r>
      <w:r w:rsidR="00CA3F67" w:rsidRPr="003A1D53">
        <w:rPr>
          <w:rFonts w:ascii="Times New Roman" w:hAnsi="Times New Roman"/>
          <w:sz w:val="24"/>
          <w:szCs w:val="24"/>
          <w:u w:val="single"/>
        </w:rPr>
        <w:t xml:space="preserve"> à cette recommandation</w:t>
      </w:r>
      <w:r w:rsidR="00CA3F67" w:rsidRPr="003A1D53">
        <w:rPr>
          <w:rFonts w:ascii="Times New Roman" w:hAnsi="Times New Roman"/>
          <w:sz w:val="24"/>
          <w:szCs w:val="24"/>
        </w:rPr>
        <w:t xml:space="preserve"> est le manque d’interactions internes dans la partie nationale pour promouvoir l’appropriation institutionnelle globale du programme. Les secteurs qui sont en interface avec le programme ne dialoguent pas assez entre eux et sur la conduite du programme. L’appareil statistique national, qui s’était initialement ouvert au programme, le voit s’éloigner dans le cycle en cours, et les institutionnels nationaux ne perçoivent pas clairement comment le monitoring du programme s’insère dans le de suivi des politiques nationales de développement. </w:t>
      </w:r>
      <w:r w:rsidR="00CA3F67" w:rsidRPr="003A1D53">
        <w:rPr>
          <w:rFonts w:ascii="Times New Roman" w:hAnsi="Times New Roman"/>
          <w:i/>
          <w:sz w:val="24"/>
          <w:szCs w:val="24"/>
          <w:u w:val="single"/>
        </w:rPr>
        <w:t>L’action à prendre</w:t>
      </w:r>
      <w:r w:rsidR="00CA3F67" w:rsidRPr="003A1D53">
        <w:rPr>
          <w:rFonts w:ascii="Times New Roman" w:hAnsi="Times New Roman"/>
          <w:sz w:val="24"/>
          <w:szCs w:val="24"/>
        </w:rPr>
        <w:t xml:space="preserve"> est de budgétiser l’assistance à l’opérationnalisation d’un cadre national d’animation et dialogue sur le programme autour du Ministère chargé de la Coopération Multilatérale qui l’a initialisé avec le dispositif des points focaux, mais manque de ressources pour le faire vivre.</w:t>
      </w:r>
    </w:p>
    <w:p w14:paraId="604B5383" w14:textId="77777777" w:rsidR="00CA3F67" w:rsidRPr="003A1D53" w:rsidRDefault="00CA3F67" w:rsidP="00CA3F67">
      <w:pPr>
        <w:spacing w:after="0" w:line="240" w:lineRule="auto"/>
        <w:jc w:val="both"/>
        <w:rPr>
          <w:rFonts w:ascii="Times New Roman" w:hAnsi="Times New Roman"/>
          <w:sz w:val="24"/>
          <w:szCs w:val="24"/>
        </w:rPr>
      </w:pPr>
    </w:p>
    <w:p w14:paraId="604B5384" w14:textId="77777777" w:rsidR="00CA3F67" w:rsidRPr="003A1D53" w:rsidRDefault="00CA3F67" w:rsidP="00CA3F67">
      <w:pPr>
        <w:pStyle w:val="Paragraphedeliste"/>
        <w:numPr>
          <w:ilvl w:val="0"/>
          <w:numId w:val="59"/>
        </w:numPr>
        <w:spacing w:after="0" w:line="240" w:lineRule="auto"/>
        <w:jc w:val="both"/>
        <w:rPr>
          <w:rFonts w:ascii="Times New Roman" w:hAnsi="Times New Roman"/>
          <w:b/>
          <w:sz w:val="24"/>
          <w:szCs w:val="24"/>
        </w:rPr>
      </w:pPr>
      <w:r w:rsidRPr="003A1D53">
        <w:rPr>
          <w:rFonts w:ascii="Times New Roman" w:hAnsi="Times New Roman"/>
          <w:b/>
          <w:sz w:val="24"/>
          <w:szCs w:val="24"/>
        </w:rPr>
        <w:t>Améliorer la qualité de la programmation</w:t>
      </w:r>
    </w:p>
    <w:p w14:paraId="604B5385" w14:textId="77777777" w:rsidR="00CA3F67" w:rsidRPr="003A1D53" w:rsidRDefault="00CA3F67" w:rsidP="00CA3F67">
      <w:pPr>
        <w:spacing w:after="0" w:line="240" w:lineRule="auto"/>
        <w:jc w:val="both"/>
        <w:rPr>
          <w:rFonts w:ascii="Times New Roman" w:hAnsi="Times New Roman"/>
          <w:sz w:val="24"/>
          <w:szCs w:val="24"/>
        </w:rPr>
      </w:pPr>
    </w:p>
    <w:p w14:paraId="604B5386" w14:textId="77777777" w:rsidR="00CA3F67" w:rsidRPr="003A1D53" w:rsidRDefault="00A4083F" w:rsidP="00CA3F67">
      <w:pPr>
        <w:spacing w:after="0" w:line="240" w:lineRule="auto"/>
        <w:jc w:val="both"/>
        <w:rPr>
          <w:rFonts w:ascii="Times New Roman" w:hAnsi="Times New Roman"/>
          <w:sz w:val="24"/>
          <w:szCs w:val="24"/>
        </w:rPr>
      </w:pPr>
      <w:r w:rsidRPr="003A1D53">
        <w:rPr>
          <w:rFonts w:ascii="Times New Roman" w:hAnsi="Times New Roman"/>
          <w:sz w:val="24"/>
          <w:szCs w:val="24"/>
        </w:rPr>
        <w:t>220.</w:t>
      </w:r>
      <w:r w:rsidR="00CA3F67" w:rsidRPr="003A1D53">
        <w:rPr>
          <w:rFonts w:ascii="Times New Roman" w:hAnsi="Times New Roman"/>
          <w:sz w:val="24"/>
          <w:szCs w:val="24"/>
        </w:rPr>
        <w:tab/>
      </w:r>
      <w:r w:rsidR="00CA3F67" w:rsidRPr="003A1D53">
        <w:rPr>
          <w:rFonts w:ascii="Times New Roman" w:hAnsi="Times New Roman"/>
          <w:i/>
          <w:sz w:val="24"/>
          <w:szCs w:val="24"/>
          <w:u w:val="single"/>
        </w:rPr>
        <w:t>Le problème sous-jacent à cette recommandation</w:t>
      </w:r>
      <w:r w:rsidR="00CA3F67" w:rsidRPr="003A1D53">
        <w:rPr>
          <w:rFonts w:ascii="Times New Roman" w:hAnsi="Times New Roman"/>
          <w:sz w:val="24"/>
          <w:szCs w:val="24"/>
        </w:rPr>
        <w:t xml:space="preserve"> est l’antériorité de la programmation d’agence par rapport à la programmation conjointe, qui laisse le programme avec des outils (effets, produits, indicateurs) pléthoriques et de moindre qualité technique. </w:t>
      </w:r>
      <w:r w:rsidR="00CA3F67" w:rsidRPr="003A1D53">
        <w:rPr>
          <w:rFonts w:ascii="Times New Roman" w:hAnsi="Times New Roman"/>
          <w:i/>
          <w:sz w:val="24"/>
          <w:szCs w:val="24"/>
          <w:u w:val="single"/>
        </w:rPr>
        <w:t>L’action à prendre</w:t>
      </w:r>
      <w:r w:rsidR="00CA3F67" w:rsidRPr="003A1D53">
        <w:rPr>
          <w:rFonts w:ascii="Times New Roman" w:hAnsi="Times New Roman"/>
          <w:sz w:val="24"/>
          <w:szCs w:val="24"/>
        </w:rPr>
        <w:t xml:space="preserve"> est l’organisation d’ateliers de planification de niveau UNDAF en amont de la programmation de niveau Agences ; les arbitrages obtenus à ce premier niveau guideront ensuite les planifications spécifiques à l’initiative des entités spécifiques.</w:t>
      </w:r>
    </w:p>
    <w:p w14:paraId="604B5387" w14:textId="77777777" w:rsidR="00CA3F67" w:rsidRPr="003A1D53" w:rsidRDefault="00CA3F67" w:rsidP="00CA3F67">
      <w:pPr>
        <w:spacing w:after="0" w:line="240" w:lineRule="auto"/>
        <w:jc w:val="both"/>
        <w:rPr>
          <w:rFonts w:ascii="Times New Roman" w:hAnsi="Times New Roman"/>
          <w:sz w:val="24"/>
          <w:szCs w:val="24"/>
        </w:rPr>
      </w:pPr>
    </w:p>
    <w:p w14:paraId="604B5388" w14:textId="77777777" w:rsidR="00CA3F67" w:rsidRPr="003A1D53" w:rsidRDefault="00CA3F67" w:rsidP="00CA3F67">
      <w:pPr>
        <w:spacing w:after="0" w:line="240" w:lineRule="auto"/>
        <w:jc w:val="both"/>
        <w:rPr>
          <w:rFonts w:ascii="Times New Roman" w:hAnsi="Times New Roman"/>
          <w:sz w:val="24"/>
          <w:szCs w:val="24"/>
        </w:rPr>
      </w:pPr>
    </w:p>
    <w:p w14:paraId="604B5389" w14:textId="77777777" w:rsidR="00CA3F67" w:rsidRPr="003A1D53" w:rsidRDefault="00CA3F67" w:rsidP="00CA3F67">
      <w:pPr>
        <w:pStyle w:val="Paragraphedeliste"/>
        <w:numPr>
          <w:ilvl w:val="0"/>
          <w:numId w:val="59"/>
        </w:numPr>
        <w:autoSpaceDE w:val="0"/>
        <w:autoSpaceDN w:val="0"/>
        <w:adjustRightInd w:val="0"/>
        <w:spacing w:after="0" w:line="240" w:lineRule="auto"/>
        <w:jc w:val="both"/>
        <w:rPr>
          <w:rFonts w:ascii="Times New Roman" w:hAnsi="Times New Roman"/>
          <w:b/>
          <w:sz w:val="24"/>
          <w:szCs w:val="24"/>
        </w:rPr>
      </w:pPr>
      <w:r w:rsidRPr="003A1D53">
        <w:rPr>
          <w:rFonts w:ascii="Times New Roman" w:hAnsi="Times New Roman"/>
          <w:b/>
          <w:sz w:val="24"/>
          <w:szCs w:val="24"/>
        </w:rPr>
        <w:t>Développer un support électronique de programmation et du suivi du programme</w:t>
      </w:r>
    </w:p>
    <w:p w14:paraId="604B538A" w14:textId="77777777" w:rsidR="00CA3F67" w:rsidRPr="003A1D53" w:rsidRDefault="00CA3F67" w:rsidP="00CA3F67">
      <w:pPr>
        <w:autoSpaceDE w:val="0"/>
        <w:autoSpaceDN w:val="0"/>
        <w:adjustRightInd w:val="0"/>
        <w:spacing w:after="0" w:line="240" w:lineRule="auto"/>
        <w:jc w:val="both"/>
        <w:rPr>
          <w:rFonts w:ascii="Times New Roman" w:hAnsi="Times New Roman"/>
          <w:sz w:val="24"/>
          <w:szCs w:val="24"/>
        </w:rPr>
      </w:pPr>
    </w:p>
    <w:p w14:paraId="604B538B" w14:textId="77777777" w:rsidR="00CA3F67" w:rsidRPr="003A1D53" w:rsidRDefault="00A4083F" w:rsidP="00CA3F67">
      <w:pPr>
        <w:autoSpaceDE w:val="0"/>
        <w:autoSpaceDN w:val="0"/>
        <w:adjustRightInd w:val="0"/>
        <w:spacing w:after="0" w:line="240" w:lineRule="auto"/>
        <w:jc w:val="both"/>
        <w:rPr>
          <w:rFonts w:ascii="Times New Roman" w:hAnsi="Times New Roman"/>
          <w:sz w:val="24"/>
          <w:szCs w:val="24"/>
        </w:rPr>
      </w:pPr>
      <w:r w:rsidRPr="003A1D53">
        <w:rPr>
          <w:rFonts w:ascii="Times New Roman" w:hAnsi="Times New Roman"/>
          <w:sz w:val="24"/>
          <w:szCs w:val="24"/>
        </w:rPr>
        <w:t>221.</w:t>
      </w:r>
      <w:r w:rsidR="00CA3F67" w:rsidRPr="003A1D53">
        <w:rPr>
          <w:rFonts w:ascii="Times New Roman" w:hAnsi="Times New Roman"/>
          <w:sz w:val="24"/>
          <w:szCs w:val="24"/>
        </w:rPr>
        <w:tab/>
      </w:r>
      <w:r w:rsidR="00CA3F67" w:rsidRPr="003A1D53">
        <w:rPr>
          <w:rFonts w:ascii="Times New Roman" w:hAnsi="Times New Roman"/>
          <w:i/>
          <w:sz w:val="24"/>
          <w:szCs w:val="24"/>
          <w:u w:val="single"/>
        </w:rPr>
        <w:t>Le problème sous-jacent à cette recommandation</w:t>
      </w:r>
      <w:r w:rsidR="00CA3F67" w:rsidRPr="003A1D53">
        <w:rPr>
          <w:rFonts w:ascii="Times New Roman" w:hAnsi="Times New Roman"/>
          <w:sz w:val="24"/>
          <w:szCs w:val="24"/>
        </w:rPr>
        <w:t xml:space="preserve"> est que la programmation et le suivi de l’exécution du programme exercent une pression lourde sur les équipes et groupes de travail de l’UNDAF, sans le résultat ne soit satisfaisant à ces deux niveaux. </w:t>
      </w:r>
      <w:r w:rsidR="00CA3F67" w:rsidRPr="003A1D53">
        <w:rPr>
          <w:rFonts w:ascii="Times New Roman" w:hAnsi="Times New Roman"/>
          <w:i/>
          <w:sz w:val="24"/>
          <w:szCs w:val="24"/>
          <w:u w:val="single"/>
        </w:rPr>
        <w:t>L’action à prendre</w:t>
      </w:r>
      <w:r w:rsidR="00CA3F67" w:rsidRPr="003A1D53">
        <w:rPr>
          <w:rFonts w:ascii="Times New Roman" w:hAnsi="Times New Roman"/>
          <w:sz w:val="24"/>
          <w:szCs w:val="24"/>
        </w:rPr>
        <w:t xml:space="preserve"> est de développer un applicatif dédié, à l’image des logiciels de programmation budgétaire, de gestion des flux d’aide au développement, etc. dont le Système appuie la diffusion au sein des administrations publiques. entes fonctions d’appui à la coordination du programme, portées par </w:t>
      </w:r>
      <w:r w:rsidR="00CA3F67" w:rsidRPr="003A1D53">
        <w:rPr>
          <w:rFonts w:ascii="Times New Roman" w:hAnsi="Times New Roman"/>
          <w:sz w:val="24"/>
          <w:szCs w:val="24"/>
        </w:rPr>
        <w:lastRenderedPageBreak/>
        <w:t>les groupes thématiques et techniques, et par la Coordination elle-même a coordination, sont rendues plus alertes, plus efficaces et donc moins pesantes sur les entités qui y participent à leur animation.</w:t>
      </w:r>
    </w:p>
    <w:p w14:paraId="604B538C" w14:textId="77777777" w:rsidR="00CA3F67" w:rsidRPr="003A1D53" w:rsidRDefault="00CA3F67" w:rsidP="00CA3F67">
      <w:pPr>
        <w:autoSpaceDE w:val="0"/>
        <w:autoSpaceDN w:val="0"/>
        <w:adjustRightInd w:val="0"/>
        <w:spacing w:after="0" w:line="240" w:lineRule="auto"/>
        <w:jc w:val="both"/>
        <w:rPr>
          <w:rFonts w:ascii="Times New Roman" w:hAnsi="Times New Roman"/>
          <w:sz w:val="24"/>
          <w:szCs w:val="24"/>
        </w:rPr>
      </w:pPr>
    </w:p>
    <w:p w14:paraId="604B538D" w14:textId="77777777" w:rsidR="00CA3F67" w:rsidRPr="003A1D53" w:rsidRDefault="00CA3F67" w:rsidP="00CA3F67">
      <w:pPr>
        <w:pStyle w:val="Paragraphedeliste"/>
        <w:numPr>
          <w:ilvl w:val="0"/>
          <w:numId w:val="59"/>
        </w:numPr>
        <w:autoSpaceDE w:val="0"/>
        <w:autoSpaceDN w:val="0"/>
        <w:adjustRightInd w:val="0"/>
        <w:spacing w:after="0" w:line="240" w:lineRule="auto"/>
        <w:jc w:val="both"/>
        <w:rPr>
          <w:rFonts w:ascii="Times New Roman" w:hAnsi="Times New Roman"/>
          <w:b/>
          <w:sz w:val="24"/>
          <w:szCs w:val="24"/>
        </w:rPr>
      </w:pPr>
      <w:r w:rsidRPr="003A1D53">
        <w:rPr>
          <w:rFonts w:ascii="Times New Roman" w:hAnsi="Times New Roman"/>
          <w:b/>
          <w:sz w:val="24"/>
          <w:szCs w:val="24"/>
        </w:rPr>
        <w:t xml:space="preserve">Procéder à la révision du document de programme </w:t>
      </w:r>
    </w:p>
    <w:p w14:paraId="604B538E" w14:textId="77777777" w:rsidR="00CA3F67" w:rsidRPr="003A1D53" w:rsidRDefault="00CA3F67" w:rsidP="00CA3F67">
      <w:pPr>
        <w:autoSpaceDE w:val="0"/>
        <w:autoSpaceDN w:val="0"/>
        <w:adjustRightInd w:val="0"/>
        <w:spacing w:after="0" w:line="240" w:lineRule="auto"/>
        <w:jc w:val="both"/>
        <w:rPr>
          <w:rFonts w:ascii="Times New Roman" w:hAnsi="Times New Roman"/>
          <w:sz w:val="24"/>
          <w:szCs w:val="24"/>
        </w:rPr>
      </w:pPr>
    </w:p>
    <w:p w14:paraId="604B538F" w14:textId="77777777" w:rsidR="00CA3F67" w:rsidRPr="003A1D53" w:rsidRDefault="00A4083F" w:rsidP="00CA3F67">
      <w:pPr>
        <w:autoSpaceDE w:val="0"/>
        <w:autoSpaceDN w:val="0"/>
        <w:adjustRightInd w:val="0"/>
        <w:spacing w:after="0" w:line="240" w:lineRule="auto"/>
        <w:jc w:val="both"/>
        <w:rPr>
          <w:rFonts w:ascii="Times New Roman" w:hAnsi="Times New Roman"/>
          <w:sz w:val="24"/>
          <w:szCs w:val="24"/>
        </w:rPr>
      </w:pPr>
      <w:r w:rsidRPr="003A1D53">
        <w:rPr>
          <w:rFonts w:ascii="Times New Roman" w:hAnsi="Times New Roman"/>
          <w:sz w:val="24"/>
          <w:szCs w:val="24"/>
        </w:rPr>
        <w:t>222</w:t>
      </w:r>
      <w:r w:rsidR="00CA3F67" w:rsidRPr="003A1D53">
        <w:rPr>
          <w:rFonts w:ascii="Times New Roman" w:hAnsi="Times New Roman"/>
          <w:sz w:val="24"/>
          <w:szCs w:val="24"/>
        </w:rPr>
        <w:t>.</w:t>
      </w:r>
      <w:r w:rsidR="00CA3F67" w:rsidRPr="003A1D53">
        <w:rPr>
          <w:rFonts w:ascii="Times New Roman" w:hAnsi="Times New Roman"/>
          <w:sz w:val="24"/>
          <w:szCs w:val="24"/>
        </w:rPr>
        <w:tab/>
      </w:r>
      <w:r w:rsidR="00CA3F67" w:rsidRPr="003A1D53">
        <w:rPr>
          <w:rFonts w:ascii="Times New Roman" w:hAnsi="Times New Roman"/>
          <w:i/>
          <w:sz w:val="24"/>
          <w:szCs w:val="24"/>
          <w:u w:val="single"/>
        </w:rPr>
        <w:t>Le problème sous-jacent à cette recommandation</w:t>
      </w:r>
      <w:r w:rsidR="00CA3F67" w:rsidRPr="003A1D53">
        <w:rPr>
          <w:rFonts w:ascii="Times New Roman" w:hAnsi="Times New Roman"/>
          <w:sz w:val="24"/>
          <w:szCs w:val="24"/>
        </w:rPr>
        <w:t xml:space="preserve"> est le besoin de remettre à niveau la pertinence du programme, dans un environnement et un contexte qui ont forcément connu des évolution depuis 2014, d’une part, la nécessité de corriger certaines des lacunes techniques diagnostiquées dans le cadre logique, d’autre part. </w:t>
      </w:r>
      <w:r w:rsidR="00CA3F67" w:rsidRPr="003A1D53">
        <w:rPr>
          <w:rFonts w:ascii="Times New Roman" w:hAnsi="Times New Roman"/>
          <w:i/>
          <w:sz w:val="24"/>
          <w:szCs w:val="24"/>
          <w:u w:val="single"/>
        </w:rPr>
        <w:t>L’action à prendre</w:t>
      </w:r>
      <w:r w:rsidR="00CA3F67" w:rsidRPr="003A1D53">
        <w:rPr>
          <w:rFonts w:ascii="Times New Roman" w:hAnsi="Times New Roman"/>
          <w:sz w:val="24"/>
          <w:szCs w:val="24"/>
        </w:rPr>
        <w:t xml:space="preserve"> est de réviser la matrice des résultats et des ressources en tenant compte d’éléments nouveaux clés comme : les ODD</w:t>
      </w:r>
      <w:r w:rsidR="00D5438C" w:rsidRPr="003A1D53">
        <w:rPr>
          <w:rFonts w:ascii="Times New Roman" w:hAnsi="Times New Roman"/>
          <w:sz w:val="24"/>
          <w:szCs w:val="24"/>
        </w:rPr>
        <w:t xml:space="preserve"> priorisés</w:t>
      </w:r>
      <w:r w:rsidR="00CA3F67" w:rsidRPr="003A1D53">
        <w:rPr>
          <w:rFonts w:ascii="Times New Roman" w:hAnsi="Times New Roman"/>
          <w:sz w:val="24"/>
          <w:szCs w:val="24"/>
        </w:rPr>
        <w:t>, la Stratégie des Nations Unies pour le Sahel, en rapport avec le nouveau cadre qu’est le G5 Sahel, la Stratégie de transition de la MINUSMA, la Réforme de la Stratégie de développement du SNU, notamment. A la faveur de cette révision certaines dimensions de développement insuffisamment appréhendées dans le document actuel, comme le genre, pour par ailleurs être mieux prises en compte.</w:t>
      </w:r>
    </w:p>
    <w:p w14:paraId="604B5390" w14:textId="77777777" w:rsidR="00CA3F67" w:rsidRPr="003A1D53" w:rsidRDefault="00CA3F67" w:rsidP="00CA3F67">
      <w:pPr>
        <w:autoSpaceDE w:val="0"/>
        <w:autoSpaceDN w:val="0"/>
        <w:adjustRightInd w:val="0"/>
        <w:spacing w:after="0" w:line="240" w:lineRule="auto"/>
        <w:jc w:val="both"/>
        <w:rPr>
          <w:rFonts w:ascii="Times New Roman" w:hAnsi="Times New Roman"/>
          <w:sz w:val="24"/>
          <w:szCs w:val="24"/>
        </w:rPr>
      </w:pPr>
    </w:p>
    <w:p w14:paraId="604B5391" w14:textId="77777777" w:rsidR="00CA3F67" w:rsidRPr="003A1D53" w:rsidRDefault="00CA3F67" w:rsidP="00CA3F67">
      <w:pPr>
        <w:pStyle w:val="Paragraphedeliste"/>
        <w:numPr>
          <w:ilvl w:val="0"/>
          <w:numId w:val="59"/>
        </w:numPr>
        <w:spacing w:after="0" w:line="240" w:lineRule="auto"/>
        <w:jc w:val="both"/>
        <w:rPr>
          <w:rFonts w:ascii="Times New Roman" w:hAnsi="Times New Roman"/>
          <w:b/>
          <w:sz w:val="24"/>
          <w:szCs w:val="24"/>
        </w:rPr>
      </w:pPr>
      <w:r w:rsidRPr="003A1D53">
        <w:rPr>
          <w:rFonts w:ascii="Times New Roman" w:hAnsi="Times New Roman"/>
          <w:b/>
          <w:sz w:val="24"/>
          <w:szCs w:val="24"/>
        </w:rPr>
        <w:t>Développer des outils de suivi de la relation avec les bailleurs</w:t>
      </w:r>
    </w:p>
    <w:p w14:paraId="604B5392" w14:textId="77777777" w:rsidR="00CA3F67" w:rsidRPr="003A1D53" w:rsidRDefault="00CA3F67" w:rsidP="00CA3F67">
      <w:pPr>
        <w:spacing w:after="0" w:line="240" w:lineRule="auto"/>
        <w:jc w:val="both"/>
        <w:rPr>
          <w:rFonts w:ascii="Times New Roman" w:hAnsi="Times New Roman"/>
          <w:sz w:val="24"/>
          <w:szCs w:val="24"/>
        </w:rPr>
      </w:pPr>
    </w:p>
    <w:p w14:paraId="604B5393" w14:textId="77777777" w:rsidR="00CA3F67" w:rsidRPr="003A1D53" w:rsidRDefault="00A4083F" w:rsidP="00CA3F67">
      <w:pPr>
        <w:spacing w:after="0" w:line="240" w:lineRule="auto"/>
        <w:jc w:val="both"/>
        <w:rPr>
          <w:rFonts w:ascii="Times New Roman" w:hAnsi="Times New Roman"/>
          <w:sz w:val="24"/>
          <w:szCs w:val="24"/>
        </w:rPr>
      </w:pPr>
      <w:r w:rsidRPr="003A1D53">
        <w:rPr>
          <w:rFonts w:ascii="Times New Roman" w:hAnsi="Times New Roman"/>
          <w:sz w:val="24"/>
          <w:szCs w:val="24"/>
        </w:rPr>
        <w:t>223.</w:t>
      </w:r>
      <w:r w:rsidR="00CA3F67" w:rsidRPr="003A1D53">
        <w:rPr>
          <w:rFonts w:ascii="Times New Roman" w:hAnsi="Times New Roman"/>
          <w:sz w:val="24"/>
          <w:szCs w:val="24"/>
        </w:rPr>
        <w:tab/>
      </w:r>
      <w:r w:rsidR="00CA3F67" w:rsidRPr="003A1D53">
        <w:rPr>
          <w:rFonts w:ascii="Times New Roman" w:hAnsi="Times New Roman"/>
          <w:i/>
          <w:sz w:val="24"/>
          <w:szCs w:val="24"/>
          <w:u w:val="single"/>
        </w:rPr>
        <w:t>Le problème qui est sous-jacent à cette recommandation</w:t>
      </w:r>
      <w:r w:rsidR="00CA3F67" w:rsidRPr="003A1D53">
        <w:rPr>
          <w:rFonts w:ascii="Times New Roman" w:hAnsi="Times New Roman"/>
          <w:sz w:val="24"/>
          <w:szCs w:val="24"/>
        </w:rPr>
        <w:t xml:space="preserve"> est l’insatisfaction diverse et varié exprimé par plusieurs bailleurs importants et en direction de plusieurs entités du Système : sur le respect des délais, les coûts d’opération, le monitoring des activités sous-traitées aux acteurs locaux, le reporting, notamment. </w:t>
      </w:r>
      <w:r w:rsidR="00CA3F67" w:rsidRPr="003A1D53">
        <w:rPr>
          <w:rFonts w:ascii="Times New Roman" w:hAnsi="Times New Roman"/>
          <w:i/>
          <w:sz w:val="24"/>
          <w:szCs w:val="24"/>
          <w:u w:val="single"/>
        </w:rPr>
        <w:t>L’action à prendre</w:t>
      </w:r>
      <w:r w:rsidR="00CA3F67" w:rsidRPr="003A1D53">
        <w:rPr>
          <w:rFonts w:ascii="Times New Roman" w:hAnsi="Times New Roman"/>
          <w:sz w:val="24"/>
          <w:szCs w:val="24"/>
        </w:rPr>
        <w:t xml:space="preserve"> est de créer un indice de satisfaction des partenaires financiers bâti autour des éléments énumérés ci-dessus et d’autres qui viendraient à être pertinents dans ce cadre.</w:t>
      </w:r>
    </w:p>
    <w:p w14:paraId="604B5394" w14:textId="77777777" w:rsidR="00CA3F67" w:rsidRPr="003A1D53" w:rsidRDefault="00CA3F67" w:rsidP="00CA3F67">
      <w:pPr>
        <w:spacing w:after="0" w:line="240" w:lineRule="auto"/>
        <w:jc w:val="both"/>
        <w:rPr>
          <w:rFonts w:ascii="Times New Roman" w:hAnsi="Times New Roman"/>
          <w:sz w:val="24"/>
          <w:szCs w:val="24"/>
        </w:rPr>
      </w:pPr>
    </w:p>
    <w:p w14:paraId="604B5395" w14:textId="77777777" w:rsidR="00CA3F67" w:rsidRPr="003A1D53" w:rsidRDefault="00CA3F67" w:rsidP="00CA3F67">
      <w:pPr>
        <w:pStyle w:val="Paragraphedeliste"/>
        <w:numPr>
          <w:ilvl w:val="0"/>
          <w:numId w:val="59"/>
        </w:numPr>
        <w:spacing w:after="0" w:line="240" w:lineRule="auto"/>
        <w:jc w:val="both"/>
        <w:rPr>
          <w:rFonts w:ascii="Times New Roman" w:hAnsi="Times New Roman"/>
          <w:b/>
          <w:sz w:val="24"/>
          <w:szCs w:val="24"/>
        </w:rPr>
      </w:pPr>
      <w:r w:rsidRPr="003A1D53">
        <w:rPr>
          <w:rFonts w:ascii="Times New Roman" w:hAnsi="Times New Roman"/>
          <w:b/>
          <w:sz w:val="24"/>
          <w:szCs w:val="24"/>
        </w:rPr>
        <w:t>Orienter la stratégie de communication vers la résolution de problème</w:t>
      </w:r>
    </w:p>
    <w:p w14:paraId="604B5396" w14:textId="77777777" w:rsidR="00CA3F67" w:rsidRPr="003A1D53" w:rsidRDefault="00CA3F67" w:rsidP="00CA3F67">
      <w:pPr>
        <w:spacing w:after="0" w:line="240" w:lineRule="auto"/>
        <w:jc w:val="both"/>
        <w:rPr>
          <w:rFonts w:ascii="Times New Roman" w:hAnsi="Times New Roman"/>
          <w:sz w:val="24"/>
          <w:szCs w:val="24"/>
        </w:rPr>
      </w:pPr>
    </w:p>
    <w:p w14:paraId="604B5397" w14:textId="42264E03" w:rsidR="00CA3F67" w:rsidRDefault="00A4083F" w:rsidP="00CA3F67">
      <w:pPr>
        <w:spacing w:after="0" w:line="240" w:lineRule="auto"/>
        <w:jc w:val="both"/>
        <w:rPr>
          <w:rFonts w:ascii="Times New Roman" w:hAnsi="Times New Roman"/>
          <w:sz w:val="24"/>
          <w:szCs w:val="24"/>
        </w:rPr>
      </w:pPr>
      <w:r w:rsidRPr="003A1D53">
        <w:rPr>
          <w:rFonts w:ascii="Times New Roman" w:hAnsi="Times New Roman"/>
          <w:sz w:val="24"/>
          <w:szCs w:val="24"/>
        </w:rPr>
        <w:t>224.</w:t>
      </w:r>
      <w:r w:rsidR="00CA3F67" w:rsidRPr="003A1D53">
        <w:rPr>
          <w:rFonts w:ascii="Times New Roman" w:hAnsi="Times New Roman"/>
          <w:sz w:val="24"/>
          <w:szCs w:val="24"/>
        </w:rPr>
        <w:tab/>
      </w:r>
      <w:r w:rsidR="00CA3F67" w:rsidRPr="003A1D53">
        <w:rPr>
          <w:rFonts w:ascii="Times New Roman" w:hAnsi="Times New Roman"/>
          <w:i/>
          <w:sz w:val="24"/>
          <w:szCs w:val="24"/>
          <w:u w:val="single"/>
        </w:rPr>
        <w:t>Le problème qui est sous-jacent à cette recommandation</w:t>
      </w:r>
      <w:r w:rsidR="00CA3F67" w:rsidRPr="003A1D53">
        <w:rPr>
          <w:rFonts w:ascii="Times New Roman" w:hAnsi="Times New Roman"/>
          <w:sz w:val="24"/>
          <w:szCs w:val="24"/>
        </w:rPr>
        <w:t xml:space="preserve"> est l’existence ou la persistance de plusieurs problèmes de communication non résolus. A l’intérieur du Système, l’on sent une ligne de démarcation entre les entités de la Mission d’un côté, et les agences, fonds et programmes humanitaires et de développement, de l’autre ; il y aussi le cas de la Banque Mondiale, une entité prépondérante sur le terrain du développement et qui est quasiment absente du programme et de l’Equipe pays. A l’externe, l’image des entités du Système se détériore auprès des bailleurs, et reste relativement brouillée auprès de certains segments de la partie nationale. </w:t>
      </w:r>
      <w:r w:rsidR="00CA3F67" w:rsidRPr="003A1D53">
        <w:rPr>
          <w:rFonts w:ascii="Times New Roman" w:hAnsi="Times New Roman"/>
          <w:i/>
          <w:sz w:val="24"/>
          <w:szCs w:val="24"/>
          <w:u w:val="single"/>
        </w:rPr>
        <w:t>L’action à prendre</w:t>
      </w:r>
      <w:r w:rsidR="00CA3F67" w:rsidRPr="003A1D53">
        <w:rPr>
          <w:rFonts w:ascii="Times New Roman" w:hAnsi="Times New Roman"/>
          <w:sz w:val="24"/>
          <w:szCs w:val="24"/>
        </w:rPr>
        <w:t xml:space="preserve"> est de partir de chacun de ces gaps, pour configurer la démarche de communication appropriée, capable de délivrer une contribution de communication à la résorption du gap (résolution du problème)</w:t>
      </w:r>
      <w:r w:rsidR="003A1D53">
        <w:rPr>
          <w:rFonts w:ascii="Times New Roman" w:hAnsi="Times New Roman"/>
          <w:sz w:val="24"/>
          <w:szCs w:val="24"/>
        </w:rPr>
        <w:t>.</w:t>
      </w:r>
      <w:bookmarkStart w:id="269" w:name="_GoBack"/>
      <w:bookmarkEnd w:id="269"/>
    </w:p>
    <w:p w14:paraId="604B5398" w14:textId="77777777" w:rsidR="00CA3F67" w:rsidRDefault="00CA3F67" w:rsidP="00CA3F67">
      <w:pPr>
        <w:spacing w:after="0" w:line="240" w:lineRule="auto"/>
        <w:jc w:val="both"/>
        <w:rPr>
          <w:rFonts w:ascii="Times New Roman" w:hAnsi="Times New Roman"/>
          <w:sz w:val="24"/>
          <w:szCs w:val="24"/>
        </w:rPr>
      </w:pPr>
    </w:p>
    <w:sectPr w:rsidR="00CA3F67" w:rsidSect="00632A47">
      <w:footerReference w:type="default" r:id="rId13"/>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B53AB" w14:textId="77777777" w:rsidR="0091271F" w:rsidRDefault="0091271F" w:rsidP="00BA3DC6">
      <w:pPr>
        <w:spacing w:after="0" w:line="240" w:lineRule="auto"/>
      </w:pPr>
      <w:r>
        <w:separator/>
      </w:r>
    </w:p>
  </w:endnote>
  <w:endnote w:type="continuationSeparator" w:id="0">
    <w:p w14:paraId="604B53AC" w14:textId="77777777" w:rsidR="0091271F" w:rsidRDefault="0091271F" w:rsidP="00BA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w:altName w:val="Trebuchet MS"/>
    <w:panose1 w:val="00000000000000000000"/>
    <w:charset w:val="00"/>
    <w:family w:val="swiss"/>
    <w:notTrueType/>
    <w:pitch w:val="variable"/>
    <w:sig w:usb0="00000001"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56594"/>
      <w:docPartObj>
        <w:docPartGallery w:val="Page Numbers (Bottom of Page)"/>
        <w:docPartUnique/>
      </w:docPartObj>
    </w:sdtPr>
    <w:sdtEndPr/>
    <w:sdtContent>
      <w:p w14:paraId="604B53AD" w14:textId="7B101C1F" w:rsidR="0021189A" w:rsidRDefault="0091271F">
        <w:pPr>
          <w:pStyle w:val="Pieddepage"/>
          <w:jc w:val="center"/>
        </w:pPr>
        <w:r>
          <w:fldChar w:fldCharType="begin"/>
        </w:r>
        <w:r>
          <w:instrText xml:space="preserve"> PAGE   \* MERGEFORMAT </w:instrText>
        </w:r>
        <w:r>
          <w:fldChar w:fldCharType="separate"/>
        </w:r>
        <w:r w:rsidR="003A1D53">
          <w:rPr>
            <w:noProof/>
          </w:rPr>
          <w:t>57</w:t>
        </w:r>
        <w:r>
          <w:rPr>
            <w:noProof/>
          </w:rPr>
          <w:fldChar w:fldCharType="end"/>
        </w:r>
      </w:p>
    </w:sdtContent>
  </w:sdt>
  <w:p w14:paraId="604B53AE" w14:textId="77777777" w:rsidR="0021189A" w:rsidRDefault="002118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B53A9" w14:textId="77777777" w:rsidR="0091271F" w:rsidRDefault="0091271F" w:rsidP="00BA3DC6">
      <w:pPr>
        <w:spacing w:after="0" w:line="240" w:lineRule="auto"/>
      </w:pPr>
      <w:r>
        <w:separator/>
      </w:r>
    </w:p>
  </w:footnote>
  <w:footnote w:type="continuationSeparator" w:id="0">
    <w:p w14:paraId="604B53AA" w14:textId="77777777" w:rsidR="0091271F" w:rsidRDefault="0091271F" w:rsidP="00BA3DC6">
      <w:pPr>
        <w:spacing w:after="0" w:line="240" w:lineRule="auto"/>
      </w:pPr>
      <w:r>
        <w:continuationSeparator/>
      </w:r>
    </w:p>
  </w:footnote>
  <w:footnote w:id="1">
    <w:p w14:paraId="604B53AF" w14:textId="77777777" w:rsidR="0021189A" w:rsidRDefault="0021189A" w:rsidP="003B61FD">
      <w:pPr>
        <w:pStyle w:val="Notedebasdepage"/>
      </w:pPr>
      <w:r>
        <w:rPr>
          <w:rStyle w:val="Appelnotedebasdep"/>
        </w:rPr>
        <w:footnoteRef/>
      </w:r>
      <w:r>
        <w:t xml:space="preserve"> Cadre Stratégique pour Relance Economique et de Développement Durable (2016 – 2018) </w:t>
      </w:r>
    </w:p>
  </w:footnote>
  <w:footnote w:id="2">
    <w:p w14:paraId="604B53B0" w14:textId="77777777" w:rsidR="0021189A" w:rsidRPr="00490991" w:rsidRDefault="0021189A" w:rsidP="003B61FD">
      <w:pPr>
        <w:rPr>
          <w:sz w:val="20"/>
          <w:szCs w:val="20"/>
        </w:rPr>
      </w:pPr>
      <w:r w:rsidRPr="00490991">
        <w:rPr>
          <w:rStyle w:val="Appelnotedebasdep"/>
          <w:sz w:val="20"/>
          <w:szCs w:val="20"/>
        </w:rPr>
        <w:footnoteRef/>
      </w:r>
      <w:r w:rsidRPr="00490991">
        <w:rPr>
          <w:sz w:val="20"/>
          <w:szCs w:val="20"/>
        </w:rPr>
        <w:t xml:space="preserve"> Rapport de Synthèse - Enquête Nationale Sur La Sécurité</w:t>
      </w:r>
      <w:r w:rsidRPr="00490991">
        <w:rPr>
          <w:rStyle w:val="Appelnotedebasdep"/>
          <w:sz w:val="20"/>
          <w:szCs w:val="20"/>
        </w:rPr>
        <w:footnoteRef/>
      </w:r>
      <w:r w:rsidRPr="00490991">
        <w:rPr>
          <w:sz w:val="20"/>
          <w:szCs w:val="20"/>
        </w:rPr>
        <w:t xml:space="preserve"> Alimentaire Et Nutritionnelle, Février 2017 (ENSAN Mali)</w:t>
      </w:r>
    </w:p>
    <w:p w14:paraId="604B53B1" w14:textId="77777777" w:rsidR="0021189A" w:rsidRDefault="0021189A" w:rsidP="003B61FD">
      <w:pPr>
        <w:pStyle w:val="Notedebasdepage"/>
      </w:pPr>
    </w:p>
  </w:footnote>
  <w:footnote w:id="3">
    <w:p w14:paraId="604B53B2" w14:textId="77777777" w:rsidR="0021189A" w:rsidRPr="008E2E41" w:rsidRDefault="0021189A" w:rsidP="00320A94">
      <w:pPr>
        <w:pStyle w:val="Notedebasdepage"/>
      </w:pPr>
      <w:r w:rsidRPr="008E2E41">
        <w:rPr>
          <w:rStyle w:val="Appelnotedebasdep"/>
        </w:rPr>
        <w:footnoteRef/>
      </w:r>
      <w:r w:rsidRPr="008E2E41">
        <w:t xml:space="preserve"> Un indicateur est dit "satisfaisant" à mi-parcours s’il est au moins réalisé à moitié.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D51"/>
    <w:multiLevelType w:val="multilevel"/>
    <w:tmpl w:val="D080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F12FE"/>
    <w:multiLevelType w:val="hybridMultilevel"/>
    <w:tmpl w:val="8682C7A0"/>
    <w:lvl w:ilvl="0" w:tplc="259069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85A57"/>
    <w:multiLevelType w:val="multilevel"/>
    <w:tmpl w:val="2C7E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649F8"/>
    <w:multiLevelType w:val="hybridMultilevel"/>
    <w:tmpl w:val="FBE4EA74"/>
    <w:lvl w:ilvl="0" w:tplc="4A54C94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FF7975"/>
    <w:multiLevelType w:val="hybridMultilevel"/>
    <w:tmpl w:val="231C5CB6"/>
    <w:lvl w:ilvl="0" w:tplc="549E859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20576D"/>
    <w:multiLevelType w:val="multilevel"/>
    <w:tmpl w:val="BE402F7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42E66C0"/>
    <w:multiLevelType w:val="hybridMultilevel"/>
    <w:tmpl w:val="FC6C5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CC73BE"/>
    <w:multiLevelType w:val="multilevel"/>
    <w:tmpl w:val="2BD0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F2196"/>
    <w:multiLevelType w:val="multilevel"/>
    <w:tmpl w:val="710E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C4D87"/>
    <w:multiLevelType w:val="multilevel"/>
    <w:tmpl w:val="0D76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62417"/>
    <w:multiLevelType w:val="hybridMultilevel"/>
    <w:tmpl w:val="5F7CA948"/>
    <w:lvl w:ilvl="0" w:tplc="A972279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A32DCB"/>
    <w:multiLevelType w:val="multilevel"/>
    <w:tmpl w:val="1F2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46E72"/>
    <w:multiLevelType w:val="hybridMultilevel"/>
    <w:tmpl w:val="B0C2A404"/>
    <w:lvl w:ilvl="0" w:tplc="6A884B00">
      <w:start w:val="2"/>
      <w:numFmt w:val="bullet"/>
      <w:lvlText w:val="-"/>
      <w:lvlJc w:val="left"/>
      <w:pPr>
        <w:ind w:left="720" w:hanging="360"/>
      </w:pPr>
      <w:rPr>
        <w:rFonts w:ascii="Calibri" w:eastAsia="Times New Roman" w:hAnsi="Calibri"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C314E1"/>
    <w:multiLevelType w:val="hybridMultilevel"/>
    <w:tmpl w:val="48DA40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F87E40"/>
    <w:multiLevelType w:val="hybridMultilevel"/>
    <w:tmpl w:val="4056B686"/>
    <w:lvl w:ilvl="0" w:tplc="7B144A30">
      <w:start w:val="1"/>
      <w:numFmt w:val="bullet"/>
      <w:lvlText w:val="-"/>
      <w:lvlJc w:val="left"/>
      <w:pPr>
        <w:ind w:left="1068" w:hanging="360"/>
      </w:pPr>
      <w:rPr>
        <w:rFonts w:ascii="Calibri" w:eastAsia="Cambria"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7C727E9"/>
    <w:multiLevelType w:val="multilevel"/>
    <w:tmpl w:val="A0FC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04454D"/>
    <w:multiLevelType w:val="multilevel"/>
    <w:tmpl w:val="C4CC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79166B"/>
    <w:multiLevelType w:val="hybridMultilevel"/>
    <w:tmpl w:val="73D8A9AC"/>
    <w:lvl w:ilvl="0" w:tplc="7B144A30">
      <w:start w:val="1"/>
      <w:numFmt w:val="bullet"/>
      <w:lvlText w:val="-"/>
      <w:lvlJc w:val="left"/>
      <w:pPr>
        <w:ind w:left="1080" w:hanging="360"/>
      </w:pPr>
      <w:rPr>
        <w:rFonts w:ascii="Calibri" w:eastAsia="Cambr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F144F3C"/>
    <w:multiLevelType w:val="hybridMultilevel"/>
    <w:tmpl w:val="C50021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F74143"/>
    <w:multiLevelType w:val="multilevel"/>
    <w:tmpl w:val="BE402F7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1E715B1"/>
    <w:multiLevelType w:val="hybridMultilevel"/>
    <w:tmpl w:val="9712159C"/>
    <w:lvl w:ilvl="0" w:tplc="1152BE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115752"/>
    <w:multiLevelType w:val="hybridMultilevel"/>
    <w:tmpl w:val="F5E858C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4DD3BB4"/>
    <w:multiLevelType w:val="hybridMultilevel"/>
    <w:tmpl w:val="08C4B600"/>
    <w:lvl w:ilvl="0" w:tplc="3EB891F4">
      <w:start w:val="1"/>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66450EF"/>
    <w:multiLevelType w:val="hybridMultilevel"/>
    <w:tmpl w:val="689EE26C"/>
    <w:lvl w:ilvl="0" w:tplc="EAAC8116">
      <w:start w:val="1"/>
      <w:numFmt w:val="decimal"/>
      <w:pStyle w:val="Lgende"/>
      <w:lvlText w:val="%1."/>
      <w:lvlJc w:val="left"/>
      <w:pPr>
        <w:ind w:left="360" w:hanging="360"/>
      </w:pPr>
      <w:rPr>
        <w:rFonts w:hint="default"/>
        <w:i w:val="0"/>
        <w:spacing w:val="0"/>
        <w:w w:val="100"/>
        <w:kern w:val="0"/>
        <w:position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78D683D"/>
    <w:multiLevelType w:val="hybridMultilevel"/>
    <w:tmpl w:val="86BAEE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8113059"/>
    <w:multiLevelType w:val="hybridMultilevel"/>
    <w:tmpl w:val="7BEA40A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A424241"/>
    <w:multiLevelType w:val="hybridMultilevel"/>
    <w:tmpl w:val="FD88E136"/>
    <w:lvl w:ilvl="0" w:tplc="7B144A30">
      <w:start w:val="1"/>
      <w:numFmt w:val="bullet"/>
      <w:lvlText w:val="-"/>
      <w:lvlJc w:val="left"/>
      <w:pPr>
        <w:ind w:left="1068" w:hanging="360"/>
      </w:pPr>
      <w:rPr>
        <w:rFonts w:ascii="Calibri" w:eastAsia="Cambr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3BC66C27"/>
    <w:multiLevelType w:val="hybridMultilevel"/>
    <w:tmpl w:val="A81CD806"/>
    <w:lvl w:ilvl="0" w:tplc="6A884B00">
      <w:start w:val="2"/>
      <w:numFmt w:val="bullet"/>
      <w:lvlText w:val="-"/>
      <w:lvlJc w:val="left"/>
      <w:pPr>
        <w:ind w:left="720" w:hanging="360"/>
      </w:pPr>
      <w:rPr>
        <w:rFonts w:ascii="Calibri" w:eastAsia="Times New Roman" w:hAnsi="Calibri"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0515EE"/>
    <w:multiLevelType w:val="multilevel"/>
    <w:tmpl w:val="8E8E62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7F53DD0"/>
    <w:multiLevelType w:val="multilevel"/>
    <w:tmpl w:val="3606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41670C"/>
    <w:multiLevelType w:val="multilevel"/>
    <w:tmpl w:val="11A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F26E99"/>
    <w:multiLevelType w:val="hybridMultilevel"/>
    <w:tmpl w:val="51EE9AB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4B5E14B6"/>
    <w:multiLevelType w:val="hybridMultilevel"/>
    <w:tmpl w:val="C51AFBAA"/>
    <w:lvl w:ilvl="0" w:tplc="0FCA153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CDE23BA"/>
    <w:multiLevelType w:val="multilevel"/>
    <w:tmpl w:val="8B7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7A2FBE"/>
    <w:multiLevelType w:val="hybridMultilevel"/>
    <w:tmpl w:val="56E63BA0"/>
    <w:lvl w:ilvl="0" w:tplc="A836B7BC">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4FF24D77"/>
    <w:multiLevelType w:val="hybridMultilevel"/>
    <w:tmpl w:val="0324B4D0"/>
    <w:lvl w:ilvl="0" w:tplc="6A884B00">
      <w:start w:val="2"/>
      <w:numFmt w:val="bullet"/>
      <w:lvlText w:val="-"/>
      <w:lvlJc w:val="left"/>
      <w:pPr>
        <w:ind w:left="720" w:hanging="360"/>
      </w:pPr>
      <w:rPr>
        <w:rFonts w:ascii="Calibri" w:eastAsia="Times New Roman" w:hAnsi="Calibri"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0615137"/>
    <w:multiLevelType w:val="multilevel"/>
    <w:tmpl w:val="C5D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3163694"/>
    <w:multiLevelType w:val="multilevel"/>
    <w:tmpl w:val="315C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81480E"/>
    <w:multiLevelType w:val="hybridMultilevel"/>
    <w:tmpl w:val="2E944E10"/>
    <w:lvl w:ilvl="0" w:tplc="1152BEC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54F633DE"/>
    <w:multiLevelType w:val="multilevel"/>
    <w:tmpl w:val="2F8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5209A6"/>
    <w:multiLevelType w:val="hybridMultilevel"/>
    <w:tmpl w:val="9230A59E"/>
    <w:lvl w:ilvl="0" w:tplc="DE0CFC8E">
      <w:start w:val="1"/>
      <w:numFmt w:val="lowerRoman"/>
      <w:lvlText w:val="(%1)"/>
      <w:lvlJc w:val="left"/>
      <w:pPr>
        <w:ind w:left="720" w:hanging="720"/>
      </w:pPr>
      <w:rPr>
        <w:rFonts w:eastAsia="Calibri"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5E373C81"/>
    <w:multiLevelType w:val="multilevel"/>
    <w:tmpl w:val="BE72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B76CF6"/>
    <w:multiLevelType w:val="hybridMultilevel"/>
    <w:tmpl w:val="49FA7C4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5F85334B"/>
    <w:multiLevelType w:val="hybridMultilevel"/>
    <w:tmpl w:val="DDBC1E02"/>
    <w:lvl w:ilvl="0" w:tplc="1152BEC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1747364"/>
    <w:multiLevelType w:val="hybridMultilevel"/>
    <w:tmpl w:val="3C5E6E00"/>
    <w:lvl w:ilvl="0" w:tplc="040C0005">
      <w:start w:val="1"/>
      <w:numFmt w:val="bullet"/>
      <w:lvlText w:val=""/>
      <w:lvlJc w:val="left"/>
      <w:pPr>
        <w:ind w:left="360" w:hanging="360"/>
      </w:pPr>
      <w:rPr>
        <w:rFonts w:ascii="Wingdings" w:hAnsi="Wingdings" w:hint="default"/>
      </w:rPr>
    </w:lvl>
    <w:lvl w:ilvl="1" w:tplc="55CCF44C">
      <w:numFmt w:val="bullet"/>
      <w:lvlText w:val=""/>
      <w:lvlJc w:val="left"/>
      <w:pPr>
        <w:ind w:left="1080" w:hanging="360"/>
      </w:pPr>
      <w:rPr>
        <w:rFonts w:ascii="Symbol" w:eastAsia="Times New Roman" w:hAnsi="Symbol" w:hint="default"/>
        <w:b w:val="0"/>
        <w:bCs w:val="0"/>
        <w:i/>
        <w:iCs/>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1A70402"/>
    <w:multiLevelType w:val="multilevel"/>
    <w:tmpl w:val="FCEE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306953"/>
    <w:multiLevelType w:val="hybridMultilevel"/>
    <w:tmpl w:val="9918B30C"/>
    <w:lvl w:ilvl="0" w:tplc="3B9A0BC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3823D48"/>
    <w:multiLevelType w:val="hybridMultilevel"/>
    <w:tmpl w:val="41A4AB42"/>
    <w:lvl w:ilvl="0" w:tplc="6A884B00">
      <w:start w:val="2"/>
      <w:numFmt w:val="bullet"/>
      <w:lvlText w:val="-"/>
      <w:lvlJc w:val="left"/>
      <w:pPr>
        <w:ind w:left="720" w:hanging="360"/>
      </w:pPr>
      <w:rPr>
        <w:rFonts w:ascii="Calibri" w:eastAsia="Times New Roman" w:hAnsi="Calibri"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CF82CF4"/>
    <w:multiLevelType w:val="hybridMultilevel"/>
    <w:tmpl w:val="1D72121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6EBB455D"/>
    <w:multiLevelType w:val="hybridMultilevel"/>
    <w:tmpl w:val="8EBADE7C"/>
    <w:lvl w:ilvl="0" w:tplc="55CCF44C">
      <w:numFmt w:val="bullet"/>
      <w:lvlText w:val=""/>
      <w:lvlJc w:val="left"/>
      <w:pPr>
        <w:ind w:left="1080" w:hanging="360"/>
      </w:pPr>
      <w:rPr>
        <w:rFonts w:ascii="Symbol" w:eastAsia="Times New Roman" w:hAnsi="Symbol" w:hint="default"/>
        <w:b w:val="0"/>
        <w:bCs w:val="0"/>
        <w:i/>
        <w:iCs/>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6EE63F0A"/>
    <w:multiLevelType w:val="multilevel"/>
    <w:tmpl w:val="6D5E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EC05AF"/>
    <w:multiLevelType w:val="hybridMultilevel"/>
    <w:tmpl w:val="C814600A"/>
    <w:lvl w:ilvl="0" w:tplc="BE6834AA">
      <w:start w:val="1"/>
      <w:numFmt w:val="lowerRoman"/>
      <w:lvlText w:val="(%1)"/>
      <w:lvlJc w:val="left"/>
      <w:pPr>
        <w:ind w:left="720" w:hanging="720"/>
      </w:pPr>
      <w:rPr>
        <w:rFonts w:ascii="Times New Roman" w:eastAsia="Calibri" w:hAnsi="Times New Roman" w:hint="default"/>
        <w:color w:val="auto"/>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15:restartNumberingAfterBreak="0">
    <w:nsid w:val="70C511CD"/>
    <w:multiLevelType w:val="multilevel"/>
    <w:tmpl w:val="203A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A64E09"/>
    <w:multiLevelType w:val="hybridMultilevel"/>
    <w:tmpl w:val="B372A616"/>
    <w:lvl w:ilvl="0" w:tplc="4D1A6FBA">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3E70AE04">
      <w:start w:val="1"/>
      <w:numFmt w:val="decimal"/>
      <w:lvlText w:val="%4."/>
      <w:lvlJc w:val="left"/>
      <w:pPr>
        <w:tabs>
          <w:tab w:val="num" w:pos="2880"/>
        </w:tabs>
        <w:ind w:left="2880" w:hanging="360"/>
      </w:pPr>
    </w:lvl>
    <w:lvl w:ilvl="4" w:tplc="1152BEC8">
      <w:numFmt w:val="bullet"/>
      <w:lvlText w:val="-"/>
      <w:lvlJc w:val="left"/>
      <w:pPr>
        <w:tabs>
          <w:tab w:val="num" w:pos="3600"/>
        </w:tabs>
        <w:ind w:left="3600" w:hanging="360"/>
      </w:pPr>
      <w:rPr>
        <w:rFonts w:ascii="Times New Roman" w:eastAsia="Times New Roman" w:hAnsi="Times New Roman"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B630EB"/>
    <w:multiLevelType w:val="hybridMultilevel"/>
    <w:tmpl w:val="C92EA110"/>
    <w:lvl w:ilvl="0" w:tplc="55CCF44C">
      <w:numFmt w:val="bullet"/>
      <w:lvlText w:val=""/>
      <w:lvlJc w:val="left"/>
      <w:pPr>
        <w:ind w:left="1423" w:hanging="360"/>
      </w:pPr>
      <w:rPr>
        <w:rFonts w:ascii="Symbol" w:eastAsia="Times New Roman" w:hAnsi="Symbol" w:hint="default"/>
        <w:b w:val="0"/>
        <w:bCs w:val="0"/>
        <w:i/>
        <w:iCs/>
        <w:color w:val="auto"/>
      </w:rPr>
    </w:lvl>
    <w:lvl w:ilvl="1" w:tplc="040C0003">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55" w15:restartNumberingAfterBreak="0">
    <w:nsid w:val="72C41094"/>
    <w:multiLevelType w:val="multilevel"/>
    <w:tmpl w:val="5F548E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6" w15:restartNumberingAfterBreak="0">
    <w:nsid w:val="782452A9"/>
    <w:multiLevelType w:val="multilevel"/>
    <w:tmpl w:val="A6A8E5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B45509"/>
    <w:multiLevelType w:val="hybridMultilevel"/>
    <w:tmpl w:val="ECDA0C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9F44F3F"/>
    <w:multiLevelType w:val="hybridMultilevel"/>
    <w:tmpl w:val="EA6A8E64"/>
    <w:lvl w:ilvl="0" w:tplc="1680827A">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7D1A1107"/>
    <w:multiLevelType w:val="hybridMultilevel"/>
    <w:tmpl w:val="B29C95C0"/>
    <w:lvl w:ilvl="0" w:tplc="651A0E8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3"/>
  </w:num>
  <w:num w:numId="2">
    <w:abstractNumId w:val="28"/>
  </w:num>
  <w:num w:numId="3">
    <w:abstractNumId w:val="55"/>
  </w:num>
  <w:num w:numId="4">
    <w:abstractNumId w:val="56"/>
  </w:num>
  <w:num w:numId="5">
    <w:abstractNumId w:val="59"/>
  </w:num>
  <w:num w:numId="6">
    <w:abstractNumId w:val="46"/>
  </w:num>
  <w:num w:numId="7">
    <w:abstractNumId w:val="23"/>
  </w:num>
  <w:num w:numId="8">
    <w:abstractNumId w:val="32"/>
  </w:num>
  <w:num w:numId="9">
    <w:abstractNumId w:val="18"/>
  </w:num>
  <w:num w:numId="10">
    <w:abstractNumId w:val="57"/>
  </w:num>
  <w:num w:numId="11">
    <w:abstractNumId w:val="26"/>
  </w:num>
  <w:num w:numId="12">
    <w:abstractNumId w:val="13"/>
  </w:num>
  <w:num w:numId="13">
    <w:abstractNumId w:val="14"/>
  </w:num>
  <w:num w:numId="14">
    <w:abstractNumId w:val="17"/>
  </w:num>
  <w:num w:numId="15">
    <w:abstractNumId w:val="42"/>
  </w:num>
  <w:num w:numId="16">
    <w:abstractNumId w:val="4"/>
  </w:num>
  <w:num w:numId="17">
    <w:abstractNumId w:val="49"/>
  </w:num>
  <w:num w:numId="18">
    <w:abstractNumId w:val="1"/>
  </w:num>
  <w:num w:numId="19">
    <w:abstractNumId w:val="58"/>
  </w:num>
  <w:num w:numId="20">
    <w:abstractNumId w:val="36"/>
  </w:num>
  <w:num w:numId="21">
    <w:abstractNumId w:val="37"/>
  </w:num>
  <w:num w:numId="22">
    <w:abstractNumId w:val="43"/>
  </w:num>
  <w:num w:numId="23">
    <w:abstractNumId w:val="38"/>
  </w:num>
  <w:num w:numId="24">
    <w:abstractNumId w:val="40"/>
  </w:num>
  <w:num w:numId="25">
    <w:abstractNumId w:val="51"/>
  </w:num>
  <w:num w:numId="26">
    <w:abstractNumId w:val="34"/>
  </w:num>
  <w:num w:numId="27">
    <w:abstractNumId w:val="20"/>
  </w:num>
  <w:num w:numId="28">
    <w:abstractNumId w:val="45"/>
  </w:num>
  <w:num w:numId="29">
    <w:abstractNumId w:val="11"/>
  </w:num>
  <w:num w:numId="30">
    <w:abstractNumId w:val="50"/>
  </w:num>
  <w:num w:numId="31">
    <w:abstractNumId w:val="29"/>
  </w:num>
  <w:num w:numId="32">
    <w:abstractNumId w:val="8"/>
  </w:num>
  <w:num w:numId="33">
    <w:abstractNumId w:val="16"/>
  </w:num>
  <w:num w:numId="34">
    <w:abstractNumId w:val="33"/>
  </w:num>
  <w:num w:numId="35">
    <w:abstractNumId w:val="30"/>
  </w:num>
  <w:num w:numId="36">
    <w:abstractNumId w:val="0"/>
  </w:num>
  <w:num w:numId="37">
    <w:abstractNumId w:val="52"/>
  </w:num>
  <w:num w:numId="38">
    <w:abstractNumId w:val="7"/>
  </w:num>
  <w:num w:numId="39">
    <w:abstractNumId w:val="2"/>
  </w:num>
  <w:num w:numId="40">
    <w:abstractNumId w:val="15"/>
  </w:num>
  <w:num w:numId="41">
    <w:abstractNumId w:val="39"/>
  </w:num>
  <w:num w:numId="42">
    <w:abstractNumId w:val="41"/>
  </w:num>
  <w:num w:numId="43">
    <w:abstractNumId w:val="9"/>
  </w:num>
  <w:num w:numId="44">
    <w:abstractNumId w:val="22"/>
  </w:num>
  <w:num w:numId="45">
    <w:abstractNumId w:val="54"/>
  </w:num>
  <w:num w:numId="46">
    <w:abstractNumId w:val="10"/>
  </w:num>
  <w:num w:numId="47">
    <w:abstractNumId w:val="25"/>
  </w:num>
  <w:num w:numId="48">
    <w:abstractNumId w:val="31"/>
  </w:num>
  <w:num w:numId="49">
    <w:abstractNumId w:val="21"/>
  </w:num>
  <w:num w:numId="50">
    <w:abstractNumId w:val="24"/>
  </w:num>
  <w:num w:numId="51">
    <w:abstractNumId w:val="48"/>
  </w:num>
  <w:num w:numId="52">
    <w:abstractNumId w:val="44"/>
  </w:num>
  <w:num w:numId="53">
    <w:abstractNumId w:val="19"/>
  </w:num>
  <w:num w:numId="54">
    <w:abstractNumId w:val="27"/>
  </w:num>
  <w:num w:numId="55">
    <w:abstractNumId w:val="47"/>
  </w:num>
  <w:num w:numId="56">
    <w:abstractNumId w:val="35"/>
  </w:num>
  <w:num w:numId="57">
    <w:abstractNumId w:val="5"/>
  </w:num>
  <w:num w:numId="58">
    <w:abstractNumId w:val="12"/>
  </w:num>
  <w:num w:numId="59">
    <w:abstractNumId w:val="6"/>
  </w:num>
  <w:num w:numId="60">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C6"/>
    <w:rsid w:val="000031A7"/>
    <w:rsid w:val="000038B8"/>
    <w:rsid w:val="00004CF9"/>
    <w:rsid w:val="00006904"/>
    <w:rsid w:val="00006C7E"/>
    <w:rsid w:val="00012718"/>
    <w:rsid w:val="00016890"/>
    <w:rsid w:val="0001787A"/>
    <w:rsid w:val="00021874"/>
    <w:rsid w:val="000228C8"/>
    <w:rsid w:val="0002348F"/>
    <w:rsid w:val="00025197"/>
    <w:rsid w:val="00025AC1"/>
    <w:rsid w:val="00026A45"/>
    <w:rsid w:val="00026C10"/>
    <w:rsid w:val="00026F23"/>
    <w:rsid w:val="00030FA3"/>
    <w:rsid w:val="000315DF"/>
    <w:rsid w:val="00031FCA"/>
    <w:rsid w:val="00033310"/>
    <w:rsid w:val="00033A7E"/>
    <w:rsid w:val="00034D57"/>
    <w:rsid w:val="000355A5"/>
    <w:rsid w:val="00035A0E"/>
    <w:rsid w:val="00035A91"/>
    <w:rsid w:val="00036905"/>
    <w:rsid w:val="00040771"/>
    <w:rsid w:val="00040D72"/>
    <w:rsid w:val="00040FF5"/>
    <w:rsid w:val="000424D5"/>
    <w:rsid w:val="000431F3"/>
    <w:rsid w:val="000433C8"/>
    <w:rsid w:val="0004399B"/>
    <w:rsid w:val="00043FA7"/>
    <w:rsid w:val="000440BA"/>
    <w:rsid w:val="000442E1"/>
    <w:rsid w:val="00046FEC"/>
    <w:rsid w:val="00047896"/>
    <w:rsid w:val="0005074A"/>
    <w:rsid w:val="00050F8B"/>
    <w:rsid w:val="00056F98"/>
    <w:rsid w:val="00060697"/>
    <w:rsid w:val="00061F3D"/>
    <w:rsid w:val="0006200F"/>
    <w:rsid w:val="00063B1B"/>
    <w:rsid w:val="0006749A"/>
    <w:rsid w:val="000678C6"/>
    <w:rsid w:val="000714DB"/>
    <w:rsid w:val="00071737"/>
    <w:rsid w:val="000731DC"/>
    <w:rsid w:val="0007392A"/>
    <w:rsid w:val="00073A5B"/>
    <w:rsid w:val="000760E5"/>
    <w:rsid w:val="0007661E"/>
    <w:rsid w:val="00076724"/>
    <w:rsid w:val="00080C9E"/>
    <w:rsid w:val="00080D6E"/>
    <w:rsid w:val="00083CF9"/>
    <w:rsid w:val="00083EFE"/>
    <w:rsid w:val="00090973"/>
    <w:rsid w:val="00091457"/>
    <w:rsid w:val="0009467D"/>
    <w:rsid w:val="00096D3E"/>
    <w:rsid w:val="000A05E3"/>
    <w:rsid w:val="000A281A"/>
    <w:rsid w:val="000A63FC"/>
    <w:rsid w:val="000A6F52"/>
    <w:rsid w:val="000B348F"/>
    <w:rsid w:val="000B5082"/>
    <w:rsid w:val="000B5408"/>
    <w:rsid w:val="000B5D63"/>
    <w:rsid w:val="000B60C6"/>
    <w:rsid w:val="000B63F2"/>
    <w:rsid w:val="000B6EF9"/>
    <w:rsid w:val="000B7A34"/>
    <w:rsid w:val="000C2EEE"/>
    <w:rsid w:val="000C5625"/>
    <w:rsid w:val="000C5BEE"/>
    <w:rsid w:val="000C5E87"/>
    <w:rsid w:val="000C6A77"/>
    <w:rsid w:val="000D10C0"/>
    <w:rsid w:val="000D16D1"/>
    <w:rsid w:val="000D1D85"/>
    <w:rsid w:val="000D2F88"/>
    <w:rsid w:val="000D34A2"/>
    <w:rsid w:val="000D5050"/>
    <w:rsid w:val="000D52DE"/>
    <w:rsid w:val="000E103B"/>
    <w:rsid w:val="000E2367"/>
    <w:rsid w:val="000E40E5"/>
    <w:rsid w:val="000E638B"/>
    <w:rsid w:val="000E6803"/>
    <w:rsid w:val="000E7700"/>
    <w:rsid w:val="000F048A"/>
    <w:rsid w:val="000F3C3B"/>
    <w:rsid w:val="000F4D40"/>
    <w:rsid w:val="000F4E86"/>
    <w:rsid w:val="000F6758"/>
    <w:rsid w:val="00102812"/>
    <w:rsid w:val="00103272"/>
    <w:rsid w:val="00105857"/>
    <w:rsid w:val="0011013A"/>
    <w:rsid w:val="00110195"/>
    <w:rsid w:val="00110255"/>
    <w:rsid w:val="00110A02"/>
    <w:rsid w:val="001166FD"/>
    <w:rsid w:val="00117844"/>
    <w:rsid w:val="001225E9"/>
    <w:rsid w:val="00125327"/>
    <w:rsid w:val="00125E8D"/>
    <w:rsid w:val="00133D53"/>
    <w:rsid w:val="0013510F"/>
    <w:rsid w:val="0014187E"/>
    <w:rsid w:val="001421C0"/>
    <w:rsid w:val="001436B7"/>
    <w:rsid w:val="0014380B"/>
    <w:rsid w:val="00144086"/>
    <w:rsid w:val="00144E00"/>
    <w:rsid w:val="00145113"/>
    <w:rsid w:val="00145467"/>
    <w:rsid w:val="0014632B"/>
    <w:rsid w:val="0014734C"/>
    <w:rsid w:val="00151319"/>
    <w:rsid w:val="00152F26"/>
    <w:rsid w:val="0015327E"/>
    <w:rsid w:val="00157383"/>
    <w:rsid w:val="00157712"/>
    <w:rsid w:val="00157AB3"/>
    <w:rsid w:val="00160368"/>
    <w:rsid w:val="001612A5"/>
    <w:rsid w:val="0016412B"/>
    <w:rsid w:val="00167957"/>
    <w:rsid w:val="00171576"/>
    <w:rsid w:val="0017347A"/>
    <w:rsid w:val="0017489B"/>
    <w:rsid w:val="00176E9B"/>
    <w:rsid w:val="001773A1"/>
    <w:rsid w:val="00184C37"/>
    <w:rsid w:val="001867D3"/>
    <w:rsid w:val="00192839"/>
    <w:rsid w:val="00194882"/>
    <w:rsid w:val="0019510D"/>
    <w:rsid w:val="00196F98"/>
    <w:rsid w:val="0019715D"/>
    <w:rsid w:val="0019787E"/>
    <w:rsid w:val="00197ED1"/>
    <w:rsid w:val="00197F23"/>
    <w:rsid w:val="001A0B2B"/>
    <w:rsid w:val="001A1105"/>
    <w:rsid w:val="001A3E7F"/>
    <w:rsid w:val="001A3FE3"/>
    <w:rsid w:val="001A4C4C"/>
    <w:rsid w:val="001B1890"/>
    <w:rsid w:val="001B1A09"/>
    <w:rsid w:val="001B1A2B"/>
    <w:rsid w:val="001B46B9"/>
    <w:rsid w:val="001B56C1"/>
    <w:rsid w:val="001B6644"/>
    <w:rsid w:val="001B7004"/>
    <w:rsid w:val="001B7817"/>
    <w:rsid w:val="001C0774"/>
    <w:rsid w:val="001C3C03"/>
    <w:rsid w:val="001C4641"/>
    <w:rsid w:val="001C6361"/>
    <w:rsid w:val="001C65B3"/>
    <w:rsid w:val="001C6770"/>
    <w:rsid w:val="001D03BE"/>
    <w:rsid w:val="001D08EA"/>
    <w:rsid w:val="001D2972"/>
    <w:rsid w:val="001D4350"/>
    <w:rsid w:val="001D45D1"/>
    <w:rsid w:val="001E3A22"/>
    <w:rsid w:val="001F0062"/>
    <w:rsid w:val="001F2EFB"/>
    <w:rsid w:val="001F707D"/>
    <w:rsid w:val="001F7F84"/>
    <w:rsid w:val="0020106F"/>
    <w:rsid w:val="002017E6"/>
    <w:rsid w:val="00201CB4"/>
    <w:rsid w:val="00203AD4"/>
    <w:rsid w:val="00204BA9"/>
    <w:rsid w:val="00205506"/>
    <w:rsid w:val="00205F6B"/>
    <w:rsid w:val="00206077"/>
    <w:rsid w:val="002068FE"/>
    <w:rsid w:val="00206ACF"/>
    <w:rsid w:val="0020766A"/>
    <w:rsid w:val="00207846"/>
    <w:rsid w:val="0021189A"/>
    <w:rsid w:val="00212539"/>
    <w:rsid w:val="00212816"/>
    <w:rsid w:val="002171EB"/>
    <w:rsid w:val="00220301"/>
    <w:rsid w:val="002209B5"/>
    <w:rsid w:val="00225015"/>
    <w:rsid w:val="0022759B"/>
    <w:rsid w:val="00231252"/>
    <w:rsid w:val="00232C75"/>
    <w:rsid w:val="002333ED"/>
    <w:rsid w:val="002340AA"/>
    <w:rsid w:val="00236BD2"/>
    <w:rsid w:val="002376B2"/>
    <w:rsid w:val="00237D59"/>
    <w:rsid w:val="0024167E"/>
    <w:rsid w:val="00246CC6"/>
    <w:rsid w:val="0024772E"/>
    <w:rsid w:val="00247F0C"/>
    <w:rsid w:val="002542AF"/>
    <w:rsid w:val="00256D14"/>
    <w:rsid w:val="00261813"/>
    <w:rsid w:val="002623C8"/>
    <w:rsid w:val="00264B81"/>
    <w:rsid w:val="002710D2"/>
    <w:rsid w:val="002710EA"/>
    <w:rsid w:val="0027159F"/>
    <w:rsid w:val="00272C87"/>
    <w:rsid w:val="0027472B"/>
    <w:rsid w:val="00275653"/>
    <w:rsid w:val="00275BD9"/>
    <w:rsid w:val="00276856"/>
    <w:rsid w:val="00281CC6"/>
    <w:rsid w:val="002830D1"/>
    <w:rsid w:val="00283828"/>
    <w:rsid w:val="00283C0E"/>
    <w:rsid w:val="00291723"/>
    <w:rsid w:val="0029202F"/>
    <w:rsid w:val="00293B56"/>
    <w:rsid w:val="00294D37"/>
    <w:rsid w:val="002A47CF"/>
    <w:rsid w:val="002A6DD9"/>
    <w:rsid w:val="002A6E0C"/>
    <w:rsid w:val="002B021F"/>
    <w:rsid w:val="002B16ED"/>
    <w:rsid w:val="002B46E9"/>
    <w:rsid w:val="002B5036"/>
    <w:rsid w:val="002B576E"/>
    <w:rsid w:val="002B5FE6"/>
    <w:rsid w:val="002B6623"/>
    <w:rsid w:val="002B6C68"/>
    <w:rsid w:val="002B71ED"/>
    <w:rsid w:val="002C0530"/>
    <w:rsid w:val="002C521E"/>
    <w:rsid w:val="002C53E9"/>
    <w:rsid w:val="002C6DEA"/>
    <w:rsid w:val="002C7DC1"/>
    <w:rsid w:val="002C7F6C"/>
    <w:rsid w:val="002D1449"/>
    <w:rsid w:val="002D2F61"/>
    <w:rsid w:val="002D3C58"/>
    <w:rsid w:val="002D48B0"/>
    <w:rsid w:val="002D5D6C"/>
    <w:rsid w:val="002D66B5"/>
    <w:rsid w:val="002E66E8"/>
    <w:rsid w:val="002E71CA"/>
    <w:rsid w:val="002F02EC"/>
    <w:rsid w:val="002F03BA"/>
    <w:rsid w:val="002F3881"/>
    <w:rsid w:val="002F39C4"/>
    <w:rsid w:val="002F68B9"/>
    <w:rsid w:val="002F7BFD"/>
    <w:rsid w:val="002F7D1F"/>
    <w:rsid w:val="00301624"/>
    <w:rsid w:val="00303125"/>
    <w:rsid w:val="00303618"/>
    <w:rsid w:val="00303E9E"/>
    <w:rsid w:val="00304442"/>
    <w:rsid w:val="00304E7E"/>
    <w:rsid w:val="003077BA"/>
    <w:rsid w:val="0030792A"/>
    <w:rsid w:val="00307E16"/>
    <w:rsid w:val="00307E26"/>
    <w:rsid w:val="003104C3"/>
    <w:rsid w:val="00312191"/>
    <w:rsid w:val="00315051"/>
    <w:rsid w:val="00320A94"/>
    <w:rsid w:val="00322031"/>
    <w:rsid w:val="0032365E"/>
    <w:rsid w:val="00323AED"/>
    <w:rsid w:val="00324255"/>
    <w:rsid w:val="0032464A"/>
    <w:rsid w:val="00326324"/>
    <w:rsid w:val="003349C0"/>
    <w:rsid w:val="00334A1A"/>
    <w:rsid w:val="00336C9C"/>
    <w:rsid w:val="00341B08"/>
    <w:rsid w:val="003467CE"/>
    <w:rsid w:val="00347A29"/>
    <w:rsid w:val="00347ADE"/>
    <w:rsid w:val="00350348"/>
    <w:rsid w:val="00350381"/>
    <w:rsid w:val="00352445"/>
    <w:rsid w:val="0035291E"/>
    <w:rsid w:val="00354CB3"/>
    <w:rsid w:val="00355A5D"/>
    <w:rsid w:val="003647CC"/>
    <w:rsid w:val="00364E60"/>
    <w:rsid w:val="00367936"/>
    <w:rsid w:val="003726BC"/>
    <w:rsid w:val="00375964"/>
    <w:rsid w:val="00375DB6"/>
    <w:rsid w:val="00377C7C"/>
    <w:rsid w:val="0038039C"/>
    <w:rsid w:val="00381668"/>
    <w:rsid w:val="00384965"/>
    <w:rsid w:val="00385C97"/>
    <w:rsid w:val="003874DF"/>
    <w:rsid w:val="00391AFE"/>
    <w:rsid w:val="003929F9"/>
    <w:rsid w:val="00394FF5"/>
    <w:rsid w:val="003A19A2"/>
    <w:rsid w:val="003A1D53"/>
    <w:rsid w:val="003A1DDC"/>
    <w:rsid w:val="003A511B"/>
    <w:rsid w:val="003A5883"/>
    <w:rsid w:val="003A71DD"/>
    <w:rsid w:val="003B0438"/>
    <w:rsid w:val="003B0DB8"/>
    <w:rsid w:val="003B11D4"/>
    <w:rsid w:val="003B2BE7"/>
    <w:rsid w:val="003B41C3"/>
    <w:rsid w:val="003B43E8"/>
    <w:rsid w:val="003B48EF"/>
    <w:rsid w:val="003B537D"/>
    <w:rsid w:val="003B5AA2"/>
    <w:rsid w:val="003B61FD"/>
    <w:rsid w:val="003B6685"/>
    <w:rsid w:val="003B7F14"/>
    <w:rsid w:val="003C24CD"/>
    <w:rsid w:val="003C3770"/>
    <w:rsid w:val="003C5F31"/>
    <w:rsid w:val="003C6847"/>
    <w:rsid w:val="003D270F"/>
    <w:rsid w:val="003D27D8"/>
    <w:rsid w:val="003D48C0"/>
    <w:rsid w:val="003D53F5"/>
    <w:rsid w:val="003D5E3F"/>
    <w:rsid w:val="003D5FB2"/>
    <w:rsid w:val="003D6233"/>
    <w:rsid w:val="003E0B3A"/>
    <w:rsid w:val="003E1BA9"/>
    <w:rsid w:val="003E2D46"/>
    <w:rsid w:val="003E3C85"/>
    <w:rsid w:val="003E5FFA"/>
    <w:rsid w:val="003E64F4"/>
    <w:rsid w:val="003F4879"/>
    <w:rsid w:val="004011DF"/>
    <w:rsid w:val="00402FEE"/>
    <w:rsid w:val="00403456"/>
    <w:rsid w:val="00404A74"/>
    <w:rsid w:val="00406332"/>
    <w:rsid w:val="00406A1B"/>
    <w:rsid w:val="00406E61"/>
    <w:rsid w:val="00407487"/>
    <w:rsid w:val="0040758A"/>
    <w:rsid w:val="00407F82"/>
    <w:rsid w:val="00410681"/>
    <w:rsid w:val="00412BF3"/>
    <w:rsid w:val="00414327"/>
    <w:rsid w:val="00414C56"/>
    <w:rsid w:val="00415BCF"/>
    <w:rsid w:val="0042070D"/>
    <w:rsid w:val="0042175A"/>
    <w:rsid w:val="0042520E"/>
    <w:rsid w:val="004271A0"/>
    <w:rsid w:val="00427260"/>
    <w:rsid w:val="00433052"/>
    <w:rsid w:val="00433C5C"/>
    <w:rsid w:val="00434A62"/>
    <w:rsid w:val="00434F71"/>
    <w:rsid w:val="004354EF"/>
    <w:rsid w:val="0043636B"/>
    <w:rsid w:val="004375FA"/>
    <w:rsid w:val="0044009C"/>
    <w:rsid w:val="00440576"/>
    <w:rsid w:val="00443437"/>
    <w:rsid w:val="00444643"/>
    <w:rsid w:val="00445CDE"/>
    <w:rsid w:val="00450BF3"/>
    <w:rsid w:val="00452C63"/>
    <w:rsid w:val="00453322"/>
    <w:rsid w:val="00454255"/>
    <w:rsid w:val="0045466A"/>
    <w:rsid w:val="00454FDD"/>
    <w:rsid w:val="004556A6"/>
    <w:rsid w:val="00457B45"/>
    <w:rsid w:val="00463F28"/>
    <w:rsid w:val="00464B45"/>
    <w:rsid w:val="0046534E"/>
    <w:rsid w:val="0047103B"/>
    <w:rsid w:val="004710A9"/>
    <w:rsid w:val="00475744"/>
    <w:rsid w:val="00477C5F"/>
    <w:rsid w:val="00477D04"/>
    <w:rsid w:val="00482E32"/>
    <w:rsid w:val="0048442F"/>
    <w:rsid w:val="0048539E"/>
    <w:rsid w:val="00486ED6"/>
    <w:rsid w:val="004873BD"/>
    <w:rsid w:val="00487493"/>
    <w:rsid w:val="00490991"/>
    <w:rsid w:val="00490FF6"/>
    <w:rsid w:val="004927B1"/>
    <w:rsid w:val="00492937"/>
    <w:rsid w:val="004A249D"/>
    <w:rsid w:val="004A4DFB"/>
    <w:rsid w:val="004A541E"/>
    <w:rsid w:val="004A638D"/>
    <w:rsid w:val="004B20CB"/>
    <w:rsid w:val="004B5399"/>
    <w:rsid w:val="004B56D2"/>
    <w:rsid w:val="004B5B1E"/>
    <w:rsid w:val="004C1CD9"/>
    <w:rsid w:val="004C4EAB"/>
    <w:rsid w:val="004C5D4B"/>
    <w:rsid w:val="004C6C72"/>
    <w:rsid w:val="004D07CF"/>
    <w:rsid w:val="004D2D13"/>
    <w:rsid w:val="004D2F76"/>
    <w:rsid w:val="004D5980"/>
    <w:rsid w:val="004D5C1B"/>
    <w:rsid w:val="004D61BE"/>
    <w:rsid w:val="004E0665"/>
    <w:rsid w:val="004E17A8"/>
    <w:rsid w:val="004E2363"/>
    <w:rsid w:val="004E3898"/>
    <w:rsid w:val="004E4761"/>
    <w:rsid w:val="004E4F08"/>
    <w:rsid w:val="004E6B90"/>
    <w:rsid w:val="004E7045"/>
    <w:rsid w:val="004E7599"/>
    <w:rsid w:val="004F0F49"/>
    <w:rsid w:val="004F22E5"/>
    <w:rsid w:val="004F4507"/>
    <w:rsid w:val="004F6ADD"/>
    <w:rsid w:val="004F7E75"/>
    <w:rsid w:val="0050158B"/>
    <w:rsid w:val="00502041"/>
    <w:rsid w:val="00502C0C"/>
    <w:rsid w:val="00502E9E"/>
    <w:rsid w:val="00504E8C"/>
    <w:rsid w:val="0050660A"/>
    <w:rsid w:val="00506BBC"/>
    <w:rsid w:val="005073D6"/>
    <w:rsid w:val="005107E7"/>
    <w:rsid w:val="005127A6"/>
    <w:rsid w:val="005143B5"/>
    <w:rsid w:val="00517167"/>
    <w:rsid w:val="00527EA3"/>
    <w:rsid w:val="00533F84"/>
    <w:rsid w:val="0053405F"/>
    <w:rsid w:val="00534BBF"/>
    <w:rsid w:val="00536985"/>
    <w:rsid w:val="00537670"/>
    <w:rsid w:val="00540119"/>
    <w:rsid w:val="0054026A"/>
    <w:rsid w:val="00541B96"/>
    <w:rsid w:val="005429D4"/>
    <w:rsid w:val="005441EE"/>
    <w:rsid w:val="005442DA"/>
    <w:rsid w:val="00546FEE"/>
    <w:rsid w:val="005506D2"/>
    <w:rsid w:val="00552A46"/>
    <w:rsid w:val="00553127"/>
    <w:rsid w:val="0055495D"/>
    <w:rsid w:val="00554B21"/>
    <w:rsid w:val="00554BDA"/>
    <w:rsid w:val="00555A71"/>
    <w:rsid w:val="005560CF"/>
    <w:rsid w:val="0055718A"/>
    <w:rsid w:val="0056148C"/>
    <w:rsid w:val="00562B18"/>
    <w:rsid w:val="00562DA0"/>
    <w:rsid w:val="0056355D"/>
    <w:rsid w:val="00564749"/>
    <w:rsid w:val="005656E5"/>
    <w:rsid w:val="00566D13"/>
    <w:rsid w:val="00567B21"/>
    <w:rsid w:val="00570DC1"/>
    <w:rsid w:val="0057261A"/>
    <w:rsid w:val="00574525"/>
    <w:rsid w:val="00574B4D"/>
    <w:rsid w:val="00576527"/>
    <w:rsid w:val="005773E9"/>
    <w:rsid w:val="005801E7"/>
    <w:rsid w:val="00582EC8"/>
    <w:rsid w:val="00584418"/>
    <w:rsid w:val="005854D2"/>
    <w:rsid w:val="0058575F"/>
    <w:rsid w:val="005857C5"/>
    <w:rsid w:val="00586A90"/>
    <w:rsid w:val="00586CEA"/>
    <w:rsid w:val="00587651"/>
    <w:rsid w:val="005918B0"/>
    <w:rsid w:val="00596DD8"/>
    <w:rsid w:val="00597409"/>
    <w:rsid w:val="005A1164"/>
    <w:rsid w:val="005A3546"/>
    <w:rsid w:val="005A3F58"/>
    <w:rsid w:val="005A59AB"/>
    <w:rsid w:val="005B0739"/>
    <w:rsid w:val="005B14EB"/>
    <w:rsid w:val="005B1F02"/>
    <w:rsid w:val="005B22B2"/>
    <w:rsid w:val="005B2523"/>
    <w:rsid w:val="005B470C"/>
    <w:rsid w:val="005B5296"/>
    <w:rsid w:val="005B62C9"/>
    <w:rsid w:val="005B64AD"/>
    <w:rsid w:val="005B6C98"/>
    <w:rsid w:val="005B6DE1"/>
    <w:rsid w:val="005C0B44"/>
    <w:rsid w:val="005C31C5"/>
    <w:rsid w:val="005C349C"/>
    <w:rsid w:val="005C6320"/>
    <w:rsid w:val="005C7AF6"/>
    <w:rsid w:val="005D04B7"/>
    <w:rsid w:val="005D2341"/>
    <w:rsid w:val="005D2B1B"/>
    <w:rsid w:val="005D2BA7"/>
    <w:rsid w:val="005D484B"/>
    <w:rsid w:val="005D5B59"/>
    <w:rsid w:val="005D796C"/>
    <w:rsid w:val="005D7D9D"/>
    <w:rsid w:val="005E0CC4"/>
    <w:rsid w:val="005E12FE"/>
    <w:rsid w:val="005E1927"/>
    <w:rsid w:val="005E247D"/>
    <w:rsid w:val="005E3852"/>
    <w:rsid w:val="005E4020"/>
    <w:rsid w:val="005E486A"/>
    <w:rsid w:val="005E4FFE"/>
    <w:rsid w:val="005E7FF5"/>
    <w:rsid w:val="005F2B28"/>
    <w:rsid w:val="005F4C9A"/>
    <w:rsid w:val="005F555E"/>
    <w:rsid w:val="005F5FEF"/>
    <w:rsid w:val="005F6B71"/>
    <w:rsid w:val="005F714E"/>
    <w:rsid w:val="00603E87"/>
    <w:rsid w:val="0061063D"/>
    <w:rsid w:val="006120A3"/>
    <w:rsid w:val="006123DE"/>
    <w:rsid w:val="00615C1B"/>
    <w:rsid w:val="00615F0D"/>
    <w:rsid w:val="00616F38"/>
    <w:rsid w:val="00620E6A"/>
    <w:rsid w:val="00623E8F"/>
    <w:rsid w:val="0062455F"/>
    <w:rsid w:val="00625AE8"/>
    <w:rsid w:val="006266E5"/>
    <w:rsid w:val="00627362"/>
    <w:rsid w:val="00630BA3"/>
    <w:rsid w:val="00631E79"/>
    <w:rsid w:val="00632A47"/>
    <w:rsid w:val="0063303B"/>
    <w:rsid w:val="00633B06"/>
    <w:rsid w:val="0063549D"/>
    <w:rsid w:val="00635DC2"/>
    <w:rsid w:val="00635E5B"/>
    <w:rsid w:val="0063675B"/>
    <w:rsid w:val="00641106"/>
    <w:rsid w:val="00641ACB"/>
    <w:rsid w:val="00642AD1"/>
    <w:rsid w:val="00645AA0"/>
    <w:rsid w:val="00646CB7"/>
    <w:rsid w:val="00647556"/>
    <w:rsid w:val="00651328"/>
    <w:rsid w:val="006620A9"/>
    <w:rsid w:val="00664267"/>
    <w:rsid w:val="00666465"/>
    <w:rsid w:val="00667B62"/>
    <w:rsid w:val="006709ED"/>
    <w:rsid w:val="00670D5D"/>
    <w:rsid w:val="00670DB1"/>
    <w:rsid w:val="006715F3"/>
    <w:rsid w:val="00673BCB"/>
    <w:rsid w:val="00675634"/>
    <w:rsid w:val="00681C88"/>
    <w:rsid w:val="00686FAE"/>
    <w:rsid w:val="006914A6"/>
    <w:rsid w:val="00691737"/>
    <w:rsid w:val="006919E3"/>
    <w:rsid w:val="006939A8"/>
    <w:rsid w:val="00695C9D"/>
    <w:rsid w:val="006A0917"/>
    <w:rsid w:val="006A214E"/>
    <w:rsid w:val="006A2303"/>
    <w:rsid w:val="006A6E5F"/>
    <w:rsid w:val="006A7221"/>
    <w:rsid w:val="006B03EB"/>
    <w:rsid w:val="006B0E7E"/>
    <w:rsid w:val="006B11F8"/>
    <w:rsid w:val="006B309F"/>
    <w:rsid w:val="006B3797"/>
    <w:rsid w:val="006B37EC"/>
    <w:rsid w:val="006B5CEC"/>
    <w:rsid w:val="006B6C7E"/>
    <w:rsid w:val="006C4413"/>
    <w:rsid w:val="006C7510"/>
    <w:rsid w:val="006D47EF"/>
    <w:rsid w:val="006D5456"/>
    <w:rsid w:val="006E1B2C"/>
    <w:rsid w:val="006E369E"/>
    <w:rsid w:val="006E3E82"/>
    <w:rsid w:val="006E401D"/>
    <w:rsid w:val="006F01DC"/>
    <w:rsid w:val="006F2583"/>
    <w:rsid w:val="006F2B31"/>
    <w:rsid w:val="006F2EBC"/>
    <w:rsid w:val="006F6A7B"/>
    <w:rsid w:val="00700045"/>
    <w:rsid w:val="00703603"/>
    <w:rsid w:val="00703C67"/>
    <w:rsid w:val="00705F60"/>
    <w:rsid w:val="00712D6E"/>
    <w:rsid w:val="00717597"/>
    <w:rsid w:val="007175A2"/>
    <w:rsid w:val="00721F7C"/>
    <w:rsid w:val="007253FB"/>
    <w:rsid w:val="00726A7E"/>
    <w:rsid w:val="00730311"/>
    <w:rsid w:val="00730FBF"/>
    <w:rsid w:val="00732FEA"/>
    <w:rsid w:val="007406E3"/>
    <w:rsid w:val="007407BD"/>
    <w:rsid w:val="0074101F"/>
    <w:rsid w:val="007431DD"/>
    <w:rsid w:val="0074645B"/>
    <w:rsid w:val="00747DFE"/>
    <w:rsid w:val="00750BAA"/>
    <w:rsid w:val="00750D4E"/>
    <w:rsid w:val="00750F44"/>
    <w:rsid w:val="00751FC1"/>
    <w:rsid w:val="007619B7"/>
    <w:rsid w:val="00764E68"/>
    <w:rsid w:val="00764E9D"/>
    <w:rsid w:val="0076625E"/>
    <w:rsid w:val="00766D0D"/>
    <w:rsid w:val="007670EF"/>
    <w:rsid w:val="007708F5"/>
    <w:rsid w:val="0077136E"/>
    <w:rsid w:val="00771B89"/>
    <w:rsid w:val="007744C9"/>
    <w:rsid w:val="00774E47"/>
    <w:rsid w:val="00775C1E"/>
    <w:rsid w:val="00775E11"/>
    <w:rsid w:val="007762E7"/>
    <w:rsid w:val="00777E9B"/>
    <w:rsid w:val="0078125F"/>
    <w:rsid w:val="00781AC7"/>
    <w:rsid w:val="0078208F"/>
    <w:rsid w:val="00785315"/>
    <w:rsid w:val="0078705F"/>
    <w:rsid w:val="00790B11"/>
    <w:rsid w:val="00790EE5"/>
    <w:rsid w:val="00791AAC"/>
    <w:rsid w:val="00792337"/>
    <w:rsid w:val="00793956"/>
    <w:rsid w:val="007945F9"/>
    <w:rsid w:val="00795741"/>
    <w:rsid w:val="00796A1E"/>
    <w:rsid w:val="0079781C"/>
    <w:rsid w:val="007A2BC3"/>
    <w:rsid w:val="007A2CFA"/>
    <w:rsid w:val="007A52DA"/>
    <w:rsid w:val="007A7B4A"/>
    <w:rsid w:val="007B122E"/>
    <w:rsid w:val="007B1C3C"/>
    <w:rsid w:val="007B28D2"/>
    <w:rsid w:val="007B3A85"/>
    <w:rsid w:val="007B481E"/>
    <w:rsid w:val="007B54A2"/>
    <w:rsid w:val="007C5D25"/>
    <w:rsid w:val="007C76E1"/>
    <w:rsid w:val="007D006D"/>
    <w:rsid w:val="007D213B"/>
    <w:rsid w:val="007D3410"/>
    <w:rsid w:val="007D4BA9"/>
    <w:rsid w:val="007D56F7"/>
    <w:rsid w:val="007D6BF6"/>
    <w:rsid w:val="007E0ECE"/>
    <w:rsid w:val="007E2521"/>
    <w:rsid w:val="007E34BC"/>
    <w:rsid w:val="007E3885"/>
    <w:rsid w:val="007E5253"/>
    <w:rsid w:val="007E5430"/>
    <w:rsid w:val="007E7621"/>
    <w:rsid w:val="007F0322"/>
    <w:rsid w:val="007F5672"/>
    <w:rsid w:val="007F7D76"/>
    <w:rsid w:val="008011AC"/>
    <w:rsid w:val="00801FD2"/>
    <w:rsid w:val="00802B24"/>
    <w:rsid w:val="0080352F"/>
    <w:rsid w:val="00804D9B"/>
    <w:rsid w:val="0081108C"/>
    <w:rsid w:val="0081255A"/>
    <w:rsid w:val="0081434D"/>
    <w:rsid w:val="0081511C"/>
    <w:rsid w:val="0081592C"/>
    <w:rsid w:val="008160AC"/>
    <w:rsid w:val="00816493"/>
    <w:rsid w:val="00820930"/>
    <w:rsid w:val="0082359A"/>
    <w:rsid w:val="00824D21"/>
    <w:rsid w:val="00831D0E"/>
    <w:rsid w:val="00831F80"/>
    <w:rsid w:val="00833719"/>
    <w:rsid w:val="00835714"/>
    <w:rsid w:val="00836832"/>
    <w:rsid w:val="00836FCF"/>
    <w:rsid w:val="00837111"/>
    <w:rsid w:val="0084190E"/>
    <w:rsid w:val="00841E28"/>
    <w:rsid w:val="008421CE"/>
    <w:rsid w:val="008427F8"/>
    <w:rsid w:val="00843B53"/>
    <w:rsid w:val="00846C93"/>
    <w:rsid w:val="00847D01"/>
    <w:rsid w:val="00852537"/>
    <w:rsid w:val="00856877"/>
    <w:rsid w:val="00861A15"/>
    <w:rsid w:val="00864756"/>
    <w:rsid w:val="00864A26"/>
    <w:rsid w:val="008656F3"/>
    <w:rsid w:val="00865844"/>
    <w:rsid w:val="00866FBC"/>
    <w:rsid w:val="00871407"/>
    <w:rsid w:val="00872EB4"/>
    <w:rsid w:val="008748B3"/>
    <w:rsid w:val="00875694"/>
    <w:rsid w:val="00875C87"/>
    <w:rsid w:val="00876952"/>
    <w:rsid w:val="00876FDA"/>
    <w:rsid w:val="00880058"/>
    <w:rsid w:val="00880645"/>
    <w:rsid w:val="00880FC1"/>
    <w:rsid w:val="00881707"/>
    <w:rsid w:val="00883DDD"/>
    <w:rsid w:val="00887C5C"/>
    <w:rsid w:val="008916AA"/>
    <w:rsid w:val="00892B19"/>
    <w:rsid w:val="00892E27"/>
    <w:rsid w:val="00893F9C"/>
    <w:rsid w:val="0089432A"/>
    <w:rsid w:val="00895006"/>
    <w:rsid w:val="00896F45"/>
    <w:rsid w:val="008978C5"/>
    <w:rsid w:val="008A1034"/>
    <w:rsid w:val="008A12BA"/>
    <w:rsid w:val="008A1FE9"/>
    <w:rsid w:val="008A2CF5"/>
    <w:rsid w:val="008A52C4"/>
    <w:rsid w:val="008B07DE"/>
    <w:rsid w:val="008B499C"/>
    <w:rsid w:val="008B5802"/>
    <w:rsid w:val="008B58A9"/>
    <w:rsid w:val="008C1DF1"/>
    <w:rsid w:val="008C32A6"/>
    <w:rsid w:val="008D1F8E"/>
    <w:rsid w:val="008D2232"/>
    <w:rsid w:val="008D4367"/>
    <w:rsid w:val="008D4B00"/>
    <w:rsid w:val="008D4FCE"/>
    <w:rsid w:val="008D525A"/>
    <w:rsid w:val="008D5E79"/>
    <w:rsid w:val="008D66EA"/>
    <w:rsid w:val="008E077C"/>
    <w:rsid w:val="008E2AA1"/>
    <w:rsid w:val="008E641F"/>
    <w:rsid w:val="008F3842"/>
    <w:rsid w:val="008F3D02"/>
    <w:rsid w:val="008F7D15"/>
    <w:rsid w:val="00900592"/>
    <w:rsid w:val="00900D6E"/>
    <w:rsid w:val="0090581F"/>
    <w:rsid w:val="00906C12"/>
    <w:rsid w:val="00906CCC"/>
    <w:rsid w:val="00910F16"/>
    <w:rsid w:val="009117B4"/>
    <w:rsid w:val="0091271F"/>
    <w:rsid w:val="0091342B"/>
    <w:rsid w:val="009151B5"/>
    <w:rsid w:val="009178ED"/>
    <w:rsid w:val="00920E8E"/>
    <w:rsid w:val="00921DD6"/>
    <w:rsid w:val="00930D6E"/>
    <w:rsid w:val="00930ED7"/>
    <w:rsid w:val="00933A36"/>
    <w:rsid w:val="00935A68"/>
    <w:rsid w:val="00936FB4"/>
    <w:rsid w:val="009406A8"/>
    <w:rsid w:val="00941FC2"/>
    <w:rsid w:val="00943CD3"/>
    <w:rsid w:val="009479FA"/>
    <w:rsid w:val="00953544"/>
    <w:rsid w:val="009555FD"/>
    <w:rsid w:val="00956580"/>
    <w:rsid w:val="00957EDB"/>
    <w:rsid w:val="0096438F"/>
    <w:rsid w:val="00964461"/>
    <w:rsid w:val="00966DF8"/>
    <w:rsid w:val="00966EFE"/>
    <w:rsid w:val="009673C5"/>
    <w:rsid w:val="00970FAE"/>
    <w:rsid w:val="00971306"/>
    <w:rsid w:val="00972907"/>
    <w:rsid w:val="009735B7"/>
    <w:rsid w:val="00977E28"/>
    <w:rsid w:val="00983545"/>
    <w:rsid w:val="00983AA2"/>
    <w:rsid w:val="00990E01"/>
    <w:rsid w:val="00990FC3"/>
    <w:rsid w:val="0099145C"/>
    <w:rsid w:val="00991E30"/>
    <w:rsid w:val="009927C4"/>
    <w:rsid w:val="00993689"/>
    <w:rsid w:val="00993D73"/>
    <w:rsid w:val="009941DA"/>
    <w:rsid w:val="00995C6A"/>
    <w:rsid w:val="00996DB9"/>
    <w:rsid w:val="009A1AFC"/>
    <w:rsid w:val="009A1BD1"/>
    <w:rsid w:val="009A30CC"/>
    <w:rsid w:val="009A48F8"/>
    <w:rsid w:val="009A6085"/>
    <w:rsid w:val="009A6E22"/>
    <w:rsid w:val="009A77A7"/>
    <w:rsid w:val="009A7E9F"/>
    <w:rsid w:val="009B09D9"/>
    <w:rsid w:val="009B19A1"/>
    <w:rsid w:val="009B2268"/>
    <w:rsid w:val="009B4BB2"/>
    <w:rsid w:val="009B4BFF"/>
    <w:rsid w:val="009B4D30"/>
    <w:rsid w:val="009B6B1D"/>
    <w:rsid w:val="009B76F6"/>
    <w:rsid w:val="009B7E14"/>
    <w:rsid w:val="009B7FEF"/>
    <w:rsid w:val="009C493D"/>
    <w:rsid w:val="009C517E"/>
    <w:rsid w:val="009C5952"/>
    <w:rsid w:val="009C5E40"/>
    <w:rsid w:val="009C6111"/>
    <w:rsid w:val="009C639F"/>
    <w:rsid w:val="009C6D9D"/>
    <w:rsid w:val="009D3E2D"/>
    <w:rsid w:val="009D592C"/>
    <w:rsid w:val="009E214D"/>
    <w:rsid w:val="009E26DF"/>
    <w:rsid w:val="009E2AE7"/>
    <w:rsid w:val="009E2E52"/>
    <w:rsid w:val="009E3880"/>
    <w:rsid w:val="009E601E"/>
    <w:rsid w:val="009E769A"/>
    <w:rsid w:val="009F199C"/>
    <w:rsid w:val="009F3416"/>
    <w:rsid w:val="009F3B6B"/>
    <w:rsid w:val="009F73AA"/>
    <w:rsid w:val="009F7614"/>
    <w:rsid w:val="009F7F87"/>
    <w:rsid w:val="00A0208C"/>
    <w:rsid w:val="00A02132"/>
    <w:rsid w:val="00A04158"/>
    <w:rsid w:val="00A05C34"/>
    <w:rsid w:val="00A05D14"/>
    <w:rsid w:val="00A108B8"/>
    <w:rsid w:val="00A10DF1"/>
    <w:rsid w:val="00A117ED"/>
    <w:rsid w:val="00A118C7"/>
    <w:rsid w:val="00A138F3"/>
    <w:rsid w:val="00A148BB"/>
    <w:rsid w:val="00A14D33"/>
    <w:rsid w:val="00A16791"/>
    <w:rsid w:val="00A233A0"/>
    <w:rsid w:val="00A23796"/>
    <w:rsid w:val="00A261E4"/>
    <w:rsid w:val="00A2631A"/>
    <w:rsid w:val="00A267D4"/>
    <w:rsid w:val="00A26EC1"/>
    <w:rsid w:val="00A335BF"/>
    <w:rsid w:val="00A36746"/>
    <w:rsid w:val="00A36942"/>
    <w:rsid w:val="00A4083F"/>
    <w:rsid w:val="00A46E54"/>
    <w:rsid w:val="00A47DED"/>
    <w:rsid w:val="00A525B2"/>
    <w:rsid w:val="00A53071"/>
    <w:rsid w:val="00A5330E"/>
    <w:rsid w:val="00A53D60"/>
    <w:rsid w:val="00A546FC"/>
    <w:rsid w:val="00A55071"/>
    <w:rsid w:val="00A55ABE"/>
    <w:rsid w:val="00A6002A"/>
    <w:rsid w:val="00A60EE2"/>
    <w:rsid w:val="00A61092"/>
    <w:rsid w:val="00A615CD"/>
    <w:rsid w:val="00A63150"/>
    <w:rsid w:val="00A67337"/>
    <w:rsid w:val="00A71A46"/>
    <w:rsid w:val="00A71B0B"/>
    <w:rsid w:val="00A738CD"/>
    <w:rsid w:val="00A74DCB"/>
    <w:rsid w:val="00A759E2"/>
    <w:rsid w:val="00A8756A"/>
    <w:rsid w:val="00A93099"/>
    <w:rsid w:val="00A930C2"/>
    <w:rsid w:val="00A96E17"/>
    <w:rsid w:val="00AA1680"/>
    <w:rsid w:val="00AA1C52"/>
    <w:rsid w:val="00AA3206"/>
    <w:rsid w:val="00AA6EC3"/>
    <w:rsid w:val="00AB0C0F"/>
    <w:rsid w:val="00AB0F81"/>
    <w:rsid w:val="00AB27D0"/>
    <w:rsid w:val="00AC29CD"/>
    <w:rsid w:val="00AC3DDF"/>
    <w:rsid w:val="00AC5A9A"/>
    <w:rsid w:val="00AC6BA8"/>
    <w:rsid w:val="00AC7054"/>
    <w:rsid w:val="00AD2A78"/>
    <w:rsid w:val="00AD2EA4"/>
    <w:rsid w:val="00AD443E"/>
    <w:rsid w:val="00AD6986"/>
    <w:rsid w:val="00AD7869"/>
    <w:rsid w:val="00AE0045"/>
    <w:rsid w:val="00AE15BA"/>
    <w:rsid w:val="00AE1CFC"/>
    <w:rsid w:val="00AE2565"/>
    <w:rsid w:val="00AE52DC"/>
    <w:rsid w:val="00AE57FC"/>
    <w:rsid w:val="00AF023D"/>
    <w:rsid w:val="00AF1667"/>
    <w:rsid w:val="00AF24B5"/>
    <w:rsid w:val="00AF261E"/>
    <w:rsid w:val="00AF6BB5"/>
    <w:rsid w:val="00AF6D5C"/>
    <w:rsid w:val="00AF6E4C"/>
    <w:rsid w:val="00B002E3"/>
    <w:rsid w:val="00B01FCC"/>
    <w:rsid w:val="00B02613"/>
    <w:rsid w:val="00B0265C"/>
    <w:rsid w:val="00B026AE"/>
    <w:rsid w:val="00B04B1D"/>
    <w:rsid w:val="00B04FA8"/>
    <w:rsid w:val="00B0551A"/>
    <w:rsid w:val="00B05CB9"/>
    <w:rsid w:val="00B07B62"/>
    <w:rsid w:val="00B10696"/>
    <w:rsid w:val="00B108CC"/>
    <w:rsid w:val="00B1113D"/>
    <w:rsid w:val="00B116D2"/>
    <w:rsid w:val="00B12E82"/>
    <w:rsid w:val="00B15566"/>
    <w:rsid w:val="00B17050"/>
    <w:rsid w:val="00B23DEE"/>
    <w:rsid w:val="00B24F5B"/>
    <w:rsid w:val="00B251D5"/>
    <w:rsid w:val="00B30909"/>
    <w:rsid w:val="00B312AF"/>
    <w:rsid w:val="00B31DD0"/>
    <w:rsid w:val="00B33E91"/>
    <w:rsid w:val="00B3527A"/>
    <w:rsid w:val="00B36394"/>
    <w:rsid w:val="00B36C02"/>
    <w:rsid w:val="00B42740"/>
    <w:rsid w:val="00B42CFE"/>
    <w:rsid w:val="00B43817"/>
    <w:rsid w:val="00B451C7"/>
    <w:rsid w:val="00B53B0E"/>
    <w:rsid w:val="00B54333"/>
    <w:rsid w:val="00B544AD"/>
    <w:rsid w:val="00B54B07"/>
    <w:rsid w:val="00B5720E"/>
    <w:rsid w:val="00B6229F"/>
    <w:rsid w:val="00B62630"/>
    <w:rsid w:val="00B62AD1"/>
    <w:rsid w:val="00B65785"/>
    <w:rsid w:val="00B67195"/>
    <w:rsid w:val="00B76361"/>
    <w:rsid w:val="00B80515"/>
    <w:rsid w:val="00B853F0"/>
    <w:rsid w:val="00B86F80"/>
    <w:rsid w:val="00B871E4"/>
    <w:rsid w:val="00B87561"/>
    <w:rsid w:val="00B87D11"/>
    <w:rsid w:val="00B90C98"/>
    <w:rsid w:val="00B95473"/>
    <w:rsid w:val="00B95E57"/>
    <w:rsid w:val="00B96F0F"/>
    <w:rsid w:val="00B9749C"/>
    <w:rsid w:val="00BA00C2"/>
    <w:rsid w:val="00BA36D9"/>
    <w:rsid w:val="00BA38F0"/>
    <w:rsid w:val="00BA39CB"/>
    <w:rsid w:val="00BA3DC6"/>
    <w:rsid w:val="00BA61EF"/>
    <w:rsid w:val="00BB02DC"/>
    <w:rsid w:val="00BB1D61"/>
    <w:rsid w:val="00BB247D"/>
    <w:rsid w:val="00BB2716"/>
    <w:rsid w:val="00BB326B"/>
    <w:rsid w:val="00BB4A05"/>
    <w:rsid w:val="00BB7894"/>
    <w:rsid w:val="00BC072C"/>
    <w:rsid w:val="00BC24A0"/>
    <w:rsid w:val="00BC317C"/>
    <w:rsid w:val="00BC3D4D"/>
    <w:rsid w:val="00BD0090"/>
    <w:rsid w:val="00BD0165"/>
    <w:rsid w:val="00BD0629"/>
    <w:rsid w:val="00BD13CF"/>
    <w:rsid w:val="00BD274E"/>
    <w:rsid w:val="00BD5C78"/>
    <w:rsid w:val="00BE082B"/>
    <w:rsid w:val="00BE2B4B"/>
    <w:rsid w:val="00BE2BC7"/>
    <w:rsid w:val="00BE3EAE"/>
    <w:rsid w:val="00BE4402"/>
    <w:rsid w:val="00BE522C"/>
    <w:rsid w:val="00BE5988"/>
    <w:rsid w:val="00BE7FB1"/>
    <w:rsid w:val="00BF3CA7"/>
    <w:rsid w:val="00BF6D05"/>
    <w:rsid w:val="00BF79EA"/>
    <w:rsid w:val="00C02D56"/>
    <w:rsid w:val="00C04145"/>
    <w:rsid w:val="00C04BED"/>
    <w:rsid w:val="00C07786"/>
    <w:rsid w:val="00C16B8B"/>
    <w:rsid w:val="00C20487"/>
    <w:rsid w:val="00C21F24"/>
    <w:rsid w:val="00C23C33"/>
    <w:rsid w:val="00C23CCA"/>
    <w:rsid w:val="00C25111"/>
    <w:rsid w:val="00C25E22"/>
    <w:rsid w:val="00C32BCE"/>
    <w:rsid w:val="00C35441"/>
    <w:rsid w:val="00C3686C"/>
    <w:rsid w:val="00C36DC5"/>
    <w:rsid w:val="00C371F5"/>
    <w:rsid w:val="00C43CCA"/>
    <w:rsid w:val="00C44525"/>
    <w:rsid w:val="00C44CF7"/>
    <w:rsid w:val="00C4558F"/>
    <w:rsid w:val="00C45D2C"/>
    <w:rsid w:val="00C4618F"/>
    <w:rsid w:val="00C4683F"/>
    <w:rsid w:val="00C5048E"/>
    <w:rsid w:val="00C51D0D"/>
    <w:rsid w:val="00C5461F"/>
    <w:rsid w:val="00C56FF6"/>
    <w:rsid w:val="00C61439"/>
    <w:rsid w:val="00C6266F"/>
    <w:rsid w:val="00C64867"/>
    <w:rsid w:val="00C65972"/>
    <w:rsid w:val="00C66464"/>
    <w:rsid w:val="00C71246"/>
    <w:rsid w:val="00C71FA9"/>
    <w:rsid w:val="00C7258B"/>
    <w:rsid w:val="00C73250"/>
    <w:rsid w:val="00C737F5"/>
    <w:rsid w:val="00C75122"/>
    <w:rsid w:val="00C77566"/>
    <w:rsid w:val="00C82CC2"/>
    <w:rsid w:val="00C834E1"/>
    <w:rsid w:val="00C84296"/>
    <w:rsid w:val="00C84BF9"/>
    <w:rsid w:val="00C85E1E"/>
    <w:rsid w:val="00C86844"/>
    <w:rsid w:val="00C90674"/>
    <w:rsid w:val="00C92DD3"/>
    <w:rsid w:val="00C9351C"/>
    <w:rsid w:val="00C9419B"/>
    <w:rsid w:val="00C946CC"/>
    <w:rsid w:val="00C94F0F"/>
    <w:rsid w:val="00CA1153"/>
    <w:rsid w:val="00CA1D81"/>
    <w:rsid w:val="00CA2C38"/>
    <w:rsid w:val="00CA395C"/>
    <w:rsid w:val="00CA3F67"/>
    <w:rsid w:val="00CA52E6"/>
    <w:rsid w:val="00CB0394"/>
    <w:rsid w:val="00CB48EF"/>
    <w:rsid w:val="00CB535F"/>
    <w:rsid w:val="00CB634D"/>
    <w:rsid w:val="00CB7F9F"/>
    <w:rsid w:val="00CC08A5"/>
    <w:rsid w:val="00CC3017"/>
    <w:rsid w:val="00CC3FF4"/>
    <w:rsid w:val="00CC4EBF"/>
    <w:rsid w:val="00CC5FC1"/>
    <w:rsid w:val="00CC62FE"/>
    <w:rsid w:val="00CD38CC"/>
    <w:rsid w:val="00CD41B5"/>
    <w:rsid w:val="00CD423F"/>
    <w:rsid w:val="00CD703D"/>
    <w:rsid w:val="00CE016E"/>
    <w:rsid w:val="00CE1007"/>
    <w:rsid w:val="00CE174D"/>
    <w:rsid w:val="00CE21CE"/>
    <w:rsid w:val="00CE299E"/>
    <w:rsid w:val="00CE38A7"/>
    <w:rsid w:val="00CE3F26"/>
    <w:rsid w:val="00CE410D"/>
    <w:rsid w:val="00CE64DE"/>
    <w:rsid w:val="00CF2913"/>
    <w:rsid w:val="00CF33A0"/>
    <w:rsid w:val="00CF442A"/>
    <w:rsid w:val="00CF49E1"/>
    <w:rsid w:val="00CF517E"/>
    <w:rsid w:val="00CF5892"/>
    <w:rsid w:val="00CF6641"/>
    <w:rsid w:val="00D007BD"/>
    <w:rsid w:val="00D03E14"/>
    <w:rsid w:val="00D04936"/>
    <w:rsid w:val="00D11D6B"/>
    <w:rsid w:val="00D120D6"/>
    <w:rsid w:val="00D12773"/>
    <w:rsid w:val="00D12EE9"/>
    <w:rsid w:val="00D20181"/>
    <w:rsid w:val="00D213D1"/>
    <w:rsid w:val="00D22B9D"/>
    <w:rsid w:val="00D23F08"/>
    <w:rsid w:val="00D308B7"/>
    <w:rsid w:val="00D31357"/>
    <w:rsid w:val="00D314EB"/>
    <w:rsid w:val="00D35731"/>
    <w:rsid w:val="00D3655E"/>
    <w:rsid w:val="00D41809"/>
    <w:rsid w:val="00D424DE"/>
    <w:rsid w:val="00D46471"/>
    <w:rsid w:val="00D47B96"/>
    <w:rsid w:val="00D5003E"/>
    <w:rsid w:val="00D52210"/>
    <w:rsid w:val="00D5225C"/>
    <w:rsid w:val="00D52FD8"/>
    <w:rsid w:val="00D534F5"/>
    <w:rsid w:val="00D538D4"/>
    <w:rsid w:val="00D5438C"/>
    <w:rsid w:val="00D54A87"/>
    <w:rsid w:val="00D57190"/>
    <w:rsid w:val="00D57C56"/>
    <w:rsid w:val="00D6196D"/>
    <w:rsid w:val="00D63D90"/>
    <w:rsid w:val="00D704EB"/>
    <w:rsid w:val="00D73FEE"/>
    <w:rsid w:val="00D74855"/>
    <w:rsid w:val="00D74EF2"/>
    <w:rsid w:val="00D76EFA"/>
    <w:rsid w:val="00D772C1"/>
    <w:rsid w:val="00D8064C"/>
    <w:rsid w:val="00D80AD1"/>
    <w:rsid w:val="00D81B72"/>
    <w:rsid w:val="00D81E93"/>
    <w:rsid w:val="00D8312E"/>
    <w:rsid w:val="00D909C9"/>
    <w:rsid w:val="00D943BC"/>
    <w:rsid w:val="00D96013"/>
    <w:rsid w:val="00D9782B"/>
    <w:rsid w:val="00DA30FE"/>
    <w:rsid w:val="00DA357F"/>
    <w:rsid w:val="00DA4F8F"/>
    <w:rsid w:val="00DA686D"/>
    <w:rsid w:val="00DA7359"/>
    <w:rsid w:val="00DA77A6"/>
    <w:rsid w:val="00DB4695"/>
    <w:rsid w:val="00DC1CF1"/>
    <w:rsid w:val="00DC2F56"/>
    <w:rsid w:val="00DC60D8"/>
    <w:rsid w:val="00DC6A98"/>
    <w:rsid w:val="00DC7F7C"/>
    <w:rsid w:val="00DD3CF6"/>
    <w:rsid w:val="00DD4E35"/>
    <w:rsid w:val="00DD6289"/>
    <w:rsid w:val="00DD6C17"/>
    <w:rsid w:val="00DE029F"/>
    <w:rsid w:val="00DE0562"/>
    <w:rsid w:val="00DE08BD"/>
    <w:rsid w:val="00DE1771"/>
    <w:rsid w:val="00DE2DE0"/>
    <w:rsid w:val="00DE2E01"/>
    <w:rsid w:val="00DE3E91"/>
    <w:rsid w:val="00DE4354"/>
    <w:rsid w:val="00DE76F5"/>
    <w:rsid w:val="00DF13D2"/>
    <w:rsid w:val="00DF22AA"/>
    <w:rsid w:val="00DF4D36"/>
    <w:rsid w:val="00E01346"/>
    <w:rsid w:val="00E013DD"/>
    <w:rsid w:val="00E07470"/>
    <w:rsid w:val="00E10436"/>
    <w:rsid w:val="00E11BEB"/>
    <w:rsid w:val="00E17DC8"/>
    <w:rsid w:val="00E20EFF"/>
    <w:rsid w:val="00E22565"/>
    <w:rsid w:val="00E30114"/>
    <w:rsid w:val="00E30E29"/>
    <w:rsid w:val="00E3237C"/>
    <w:rsid w:val="00E33618"/>
    <w:rsid w:val="00E33743"/>
    <w:rsid w:val="00E35932"/>
    <w:rsid w:val="00E35C82"/>
    <w:rsid w:val="00E369BA"/>
    <w:rsid w:val="00E37D2E"/>
    <w:rsid w:val="00E430EB"/>
    <w:rsid w:val="00E44BDD"/>
    <w:rsid w:val="00E45CEA"/>
    <w:rsid w:val="00E46105"/>
    <w:rsid w:val="00E46399"/>
    <w:rsid w:val="00E46C58"/>
    <w:rsid w:val="00E4793D"/>
    <w:rsid w:val="00E548A9"/>
    <w:rsid w:val="00E55028"/>
    <w:rsid w:val="00E60F0F"/>
    <w:rsid w:val="00E623F7"/>
    <w:rsid w:val="00E63443"/>
    <w:rsid w:val="00E64B63"/>
    <w:rsid w:val="00E66A11"/>
    <w:rsid w:val="00E70026"/>
    <w:rsid w:val="00E7086A"/>
    <w:rsid w:val="00E70BA8"/>
    <w:rsid w:val="00E70BB2"/>
    <w:rsid w:val="00E7666B"/>
    <w:rsid w:val="00E7778E"/>
    <w:rsid w:val="00E77F36"/>
    <w:rsid w:val="00E8073A"/>
    <w:rsid w:val="00E9087E"/>
    <w:rsid w:val="00E94C2E"/>
    <w:rsid w:val="00E958BA"/>
    <w:rsid w:val="00E97A93"/>
    <w:rsid w:val="00E97C82"/>
    <w:rsid w:val="00EA07E1"/>
    <w:rsid w:val="00EA3522"/>
    <w:rsid w:val="00EA4140"/>
    <w:rsid w:val="00EA4797"/>
    <w:rsid w:val="00EA4AA2"/>
    <w:rsid w:val="00EA52EB"/>
    <w:rsid w:val="00EA750E"/>
    <w:rsid w:val="00EA786C"/>
    <w:rsid w:val="00EA7AD0"/>
    <w:rsid w:val="00EB03ED"/>
    <w:rsid w:val="00EB0CEE"/>
    <w:rsid w:val="00EB4A90"/>
    <w:rsid w:val="00EB5714"/>
    <w:rsid w:val="00EC4176"/>
    <w:rsid w:val="00EC6E53"/>
    <w:rsid w:val="00EC6F3D"/>
    <w:rsid w:val="00ED1395"/>
    <w:rsid w:val="00ED158A"/>
    <w:rsid w:val="00ED222F"/>
    <w:rsid w:val="00ED2455"/>
    <w:rsid w:val="00ED2B13"/>
    <w:rsid w:val="00ED4908"/>
    <w:rsid w:val="00ED4CD5"/>
    <w:rsid w:val="00ED7FB6"/>
    <w:rsid w:val="00EE28C2"/>
    <w:rsid w:val="00EE4E48"/>
    <w:rsid w:val="00EE58B5"/>
    <w:rsid w:val="00EE61B0"/>
    <w:rsid w:val="00EE6A42"/>
    <w:rsid w:val="00EF1F87"/>
    <w:rsid w:val="00EF3E57"/>
    <w:rsid w:val="00EF42E2"/>
    <w:rsid w:val="00EF5143"/>
    <w:rsid w:val="00F00BED"/>
    <w:rsid w:val="00F019CF"/>
    <w:rsid w:val="00F02379"/>
    <w:rsid w:val="00F0250A"/>
    <w:rsid w:val="00F03860"/>
    <w:rsid w:val="00F04E46"/>
    <w:rsid w:val="00F04EB5"/>
    <w:rsid w:val="00F070B5"/>
    <w:rsid w:val="00F10DFB"/>
    <w:rsid w:val="00F13938"/>
    <w:rsid w:val="00F13C59"/>
    <w:rsid w:val="00F1649D"/>
    <w:rsid w:val="00F16C3A"/>
    <w:rsid w:val="00F2180C"/>
    <w:rsid w:val="00F221A7"/>
    <w:rsid w:val="00F2306D"/>
    <w:rsid w:val="00F253FE"/>
    <w:rsid w:val="00F30803"/>
    <w:rsid w:val="00F31BA0"/>
    <w:rsid w:val="00F31E67"/>
    <w:rsid w:val="00F34BEC"/>
    <w:rsid w:val="00F35238"/>
    <w:rsid w:val="00F35655"/>
    <w:rsid w:val="00F40ECD"/>
    <w:rsid w:val="00F40F13"/>
    <w:rsid w:val="00F43FEA"/>
    <w:rsid w:val="00F44328"/>
    <w:rsid w:val="00F51C01"/>
    <w:rsid w:val="00F52F7F"/>
    <w:rsid w:val="00F53B04"/>
    <w:rsid w:val="00F53EAB"/>
    <w:rsid w:val="00F54426"/>
    <w:rsid w:val="00F5633C"/>
    <w:rsid w:val="00F60F9A"/>
    <w:rsid w:val="00F62559"/>
    <w:rsid w:val="00F65303"/>
    <w:rsid w:val="00F65970"/>
    <w:rsid w:val="00F67FC0"/>
    <w:rsid w:val="00F70B4A"/>
    <w:rsid w:val="00F72279"/>
    <w:rsid w:val="00F72C0F"/>
    <w:rsid w:val="00F74A48"/>
    <w:rsid w:val="00F74ABC"/>
    <w:rsid w:val="00F76BA2"/>
    <w:rsid w:val="00F76C58"/>
    <w:rsid w:val="00F7759F"/>
    <w:rsid w:val="00F818DA"/>
    <w:rsid w:val="00F93D75"/>
    <w:rsid w:val="00FA44EA"/>
    <w:rsid w:val="00FA4A7A"/>
    <w:rsid w:val="00FA6BA0"/>
    <w:rsid w:val="00FB1647"/>
    <w:rsid w:val="00FB2A57"/>
    <w:rsid w:val="00FB42E6"/>
    <w:rsid w:val="00FC049F"/>
    <w:rsid w:val="00FC05B6"/>
    <w:rsid w:val="00FC0EB4"/>
    <w:rsid w:val="00FC1E36"/>
    <w:rsid w:val="00FC5CE0"/>
    <w:rsid w:val="00FC5D1F"/>
    <w:rsid w:val="00FC62C4"/>
    <w:rsid w:val="00FC6530"/>
    <w:rsid w:val="00FC7904"/>
    <w:rsid w:val="00FD2A8E"/>
    <w:rsid w:val="00FD7127"/>
    <w:rsid w:val="00FE0DB2"/>
    <w:rsid w:val="00FF1584"/>
    <w:rsid w:val="00FF1748"/>
    <w:rsid w:val="00FF3114"/>
    <w:rsid w:val="00FF36AA"/>
    <w:rsid w:val="00FF3F9E"/>
    <w:rsid w:val="00FF48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4FBE"/>
  <w15:docId w15:val="{10523482-9A19-4349-ADC1-D94F9B80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1927"/>
    <w:pPr>
      <w:spacing w:after="200" w:line="276" w:lineRule="auto"/>
    </w:pPr>
    <w:rPr>
      <w:sz w:val="22"/>
      <w:szCs w:val="22"/>
      <w:lang w:eastAsia="en-US"/>
    </w:rPr>
  </w:style>
  <w:style w:type="paragraph" w:styleId="Titre1">
    <w:name w:val="heading 1"/>
    <w:basedOn w:val="Normal"/>
    <w:next w:val="Normal"/>
    <w:link w:val="Titre1Car"/>
    <w:uiPriority w:val="9"/>
    <w:qFormat/>
    <w:rsid w:val="00BA3DC6"/>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BA3DC6"/>
    <w:pPr>
      <w:keepNext/>
      <w:keepLines/>
      <w:spacing w:before="200" w:after="0" w:line="240" w:lineRule="auto"/>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BA3DC6"/>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
    <w:unhideWhenUsed/>
    <w:qFormat/>
    <w:rsid w:val="00BA3DC6"/>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6A214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A3DC6"/>
    <w:rPr>
      <w:rFonts w:ascii="Cambria" w:eastAsia="Times New Roman" w:hAnsi="Cambria" w:cs="Times New Roman"/>
      <w:b/>
      <w:bCs/>
      <w:color w:val="365F91"/>
      <w:sz w:val="28"/>
      <w:szCs w:val="28"/>
    </w:rPr>
  </w:style>
  <w:style w:type="character" w:customStyle="1" w:styleId="Titre2Car">
    <w:name w:val="Titre 2 Car"/>
    <w:link w:val="Titre2"/>
    <w:uiPriority w:val="9"/>
    <w:rsid w:val="00BA3DC6"/>
    <w:rPr>
      <w:rFonts w:ascii="Cambria" w:eastAsia="Times New Roman" w:hAnsi="Cambria" w:cs="Times New Roman"/>
      <w:b/>
      <w:bCs/>
      <w:color w:val="4F81BD"/>
      <w:sz w:val="26"/>
      <w:szCs w:val="26"/>
    </w:rPr>
  </w:style>
  <w:style w:type="character" w:customStyle="1" w:styleId="Titre3Car">
    <w:name w:val="Titre 3 Car"/>
    <w:link w:val="Titre3"/>
    <w:uiPriority w:val="9"/>
    <w:rsid w:val="00BA3DC6"/>
    <w:rPr>
      <w:rFonts w:ascii="Cambria" w:eastAsia="Times New Roman" w:hAnsi="Cambria" w:cs="Times New Roman"/>
      <w:b/>
      <w:bCs/>
      <w:color w:val="4F81BD"/>
    </w:rPr>
  </w:style>
  <w:style w:type="character" w:customStyle="1" w:styleId="Titre4Car">
    <w:name w:val="Titre 4 Car"/>
    <w:link w:val="Titre4"/>
    <w:uiPriority w:val="9"/>
    <w:rsid w:val="00BA3DC6"/>
    <w:rPr>
      <w:rFonts w:ascii="Cambria" w:eastAsia="Times New Roman" w:hAnsi="Cambria" w:cs="Times New Roman"/>
      <w:b/>
      <w:bCs/>
      <w:i/>
      <w:iCs/>
      <w:color w:val="4F81BD"/>
    </w:rPr>
  </w:style>
  <w:style w:type="paragraph" w:styleId="Corpsdetexte">
    <w:name w:val="Body Text"/>
    <w:basedOn w:val="Normal"/>
    <w:link w:val="CorpsdetexteCar"/>
    <w:rsid w:val="00BA3DC6"/>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link w:val="Corpsdetexte"/>
    <w:rsid w:val="00BA3DC6"/>
    <w:rPr>
      <w:rFonts w:ascii="Times New Roman" w:eastAsia="Times New Roman" w:hAnsi="Times New Roman" w:cs="Times New Roman"/>
      <w:sz w:val="24"/>
      <w:szCs w:val="24"/>
      <w:lang w:eastAsia="fr-FR"/>
    </w:rPr>
  </w:style>
  <w:style w:type="table" w:styleId="Trameclaire-Accent4">
    <w:name w:val="Light Shading Accent 4"/>
    <w:basedOn w:val="TableauNormal"/>
    <w:uiPriority w:val="60"/>
    <w:rsid w:val="00BA3D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tedebasdepage">
    <w:name w:val="footnote text"/>
    <w:aliases w:val="Footnote Text Char2,Footnote Text Char1 Char,Footnote Text Char,Footnote Text Char Char Char1,Footnote Text Char1 Char Char Char1,Footnote Text Char1 Char1 Char,Footnote Text Char Char Char Char,fn,single space,ALTS FOOTNOTE,Car Car"/>
    <w:basedOn w:val="Normal"/>
    <w:link w:val="NotedebasdepageCar"/>
    <w:uiPriority w:val="99"/>
    <w:unhideWhenUsed/>
    <w:rsid w:val="00BA3DC6"/>
    <w:pPr>
      <w:spacing w:after="0" w:line="240" w:lineRule="auto"/>
    </w:pPr>
    <w:rPr>
      <w:rFonts w:ascii="Times New Roman" w:hAnsi="Times New Roman"/>
      <w:sz w:val="20"/>
      <w:szCs w:val="20"/>
    </w:rPr>
  </w:style>
  <w:style w:type="character" w:customStyle="1" w:styleId="NotedebasdepageCar">
    <w:name w:val="Note de bas de page Car"/>
    <w:aliases w:val="Footnote Text Char2 Car,Footnote Text Char1 Char Car,Footnote Text Char Car,Footnote Text Char Char Char1 Car,Footnote Text Char1 Char Char Char1 Car,Footnote Text Char1 Char1 Char Car,Footnote Text Char Char Char Char Car,fn Car"/>
    <w:link w:val="Notedebasdepage"/>
    <w:uiPriority w:val="99"/>
    <w:rsid w:val="00BA3DC6"/>
    <w:rPr>
      <w:rFonts w:ascii="Times New Roman" w:eastAsia="Calibri" w:hAnsi="Times New Roman" w:cs="Times New Roman"/>
      <w:sz w:val="20"/>
      <w:szCs w:val="20"/>
    </w:rPr>
  </w:style>
  <w:style w:type="character" w:styleId="Appelnotedebasdep">
    <w:name w:val="footnote reference"/>
    <w:aliases w:val="ftref,note bp,Footnotes refss,Footnote Reference1,16 Point,Superscript 6 Point,BVI fnr,Char Char,Carattere Char1,Carattere Char Char Carattere Carattere Char Char,Error-Fußnotenzeichen5,Error-Fußnotenzeichen6"/>
    <w:uiPriority w:val="99"/>
    <w:unhideWhenUsed/>
    <w:rsid w:val="00BA3DC6"/>
    <w:rPr>
      <w:vertAlign w:val="superscript"/>
    </w:rPr>
  </w:style>
  <w:style w:type="paragraph" w:styleId="Paragraphedeliste">
    <w:name w:val="List Paragraph"/>
    <w:aliases w:val="References,Paragraphe de liste1,List Paragraph1,Bullets,Table/Figure Heading,Style 3,MCHIP_list paragraph,Recommendation,Bullet List,FooterText,Bioforce zListePuce,Liste 1,Titre1,List Paragraph (numbered (a))"/>
    <w:basedOn w:val="Normal"/>
    <w:link w:val="ParagraphedelisteCar"/>
    <w:uiPriority w:val="34"/>
    <w:qFormat/>
    <w:rsid w:val="00BA3DC6"/>
    <w:pPr>
      <w:ind w:left="720"/>
      <w:contextualSpacing/>
    </w:pPr>
  </w:style>
  <w:style w:type="character" w:customStyle="1" w:styleId="ParagraphedelisteCar">
    <w:name w:val="Paragraphe de liste Car"/>
    <w:aliases w:val="References Car,Paragraphe de liste1 Car,List Paragraph1 Car,Bullets Car,Table/Figure Heading Car,Style 3 Car,MCHIP_list paragraph Car,Recommendation Car,Bullet List Car,FooterText Car,Bioforce zListePuce Car,Liste 1 Car"/>
    <w:link w:val="Paragraphedeliste"/>
    <w:uiPriority w:val="34"/>
    <w:locked/>
    <w:rsid w:val="00BA3DC6"/>
    <w:rPr>
      <w:rFonts w:ascii="Calibri" w:eastAsia="Calibri" w:hAnsi="Calibri" w:cs="Times New Roman"/>
    </w:rPr>
  </w:style>
  <w:style w:type="paragraph" w:styleId="Textedebulles">
    <w:name w:val="Balloon Text"/>
    <w:basedOn w:val="Normal"/>
    <w:link w:val="TextedebullesCar"/>
    <w:uiPriority w:val="99"/>
    <w:semiHidden/>
    <w:unhideWhenUsed/>
    <w:rsid w:val="00BA3DC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A3DC6"/>
    <w:rPr>
      <w:rFonts w:ascii="Tahoma" w:eastAsia="Calibri" w:hAnsi="Tahoma" w:cs="Tahoma"/>
      <w:sz w:val="16"/>
      <w:szCs w:val="16"/>
    </w:rPr>
  </w:style>
  <w:style w:type="paragraph" w:styleId="Textebrut">
    <w:name w:val="Plain Text"/>
    <w:basedOn w:val="Normal"/>
    <w:link w:val="TextebrutCar"/>
    <w:rsid w:val="00BA3DC6"/>
    <w:pPr>
      <w:spacing w:after="0" w:line="240" w:lineRule="auto"/>
    </w:pPr>
    <w:rPr>
      <w:rFonts w:ascii="Courier New" w:eastAsia="Times New Roman" w:hAnsi="Courier New"/>
      <w:sz w:val="20"/>
      <w:szCs w:val="20"/>
    </w:rPr>
  </w:style>
  <w:style w:type="character" w:customStyle="1" w:styleId="TextebrutCar">
    <w:name w:val="Texte brut Car"/>
    <w:link w:val="Textebrut"/>
    <w:rsid w:val="00BA3DC6"/>
    <w:rPr>
      <w:rFonts w:ascii="Courier New" w:eastAsia="Times New Roman" w:hAnsi="Courier New" w:cs="Times New Roman"/>
      <w:sz w:val="20"/>
      <w:szCs w:val="20"/>
    </w:rPr>
  </w:style>
  <w:style w:type="paragraph" w:customStyle="1" w:styleId="Default">
    <w:name w:val="Default"/>
    <w:rsid w:val="00BA3DC6"/>
    <w:pPr>
      <w:autoSpaceDE w:val="0"/>
      <w:autoSpaceDN w:val="0"/>
      <w:adjustRightInd w:val="0"/>
    </w:pPr>
    <w:rPr>
      <w:rFonts w:ascii="Arial" w:hAnsi="Arial" w:cs="Arial"/>
      <w:b/>
      <w:color w:val="000000"/>
      <w:sz w:val="24"/>
      <w:szCs w:val="24"/>
      <w:lang w:eastAsia="en-US"/>
    </w:rPr>
  </w:style>
  <w:style w:type="table" w:styleId="Grilledutableau">
    <w:name w:val="Table Grid"/>
    <w:basedOn w:val="TableauNormal"/>
    <w:uiPriority w:val="39"/>
    <w:rsid w:val="00BA3DC6"/>
    <w:rPr>
      <w:rFonts w:ascii="Garamond" w:hAnsi="Garamond"/>
      <w:b/>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BA3DC6"/>
    <w:rPr>
      <w:color w:val="0000FF"/>
      <w:u w:val="single"/>
    </w:rPr>
  </w:style>
  <w:style w:type="paragraph" w:styleId="En-ttedetabledesmatires">
    <w:name w:val="TOC Heading"/>
    <w:basedOn w:val="Titre1"/>
    <w:next w:val="Normal"/>
    <w:uiPriority w:val="39"/>
    <w:unhideWhenUsed/>
    <w:qFormat/>
    <w:rsid w:val="00BA3DC6"/>
    <w:pPr>
      <w:outlineLvl w:val="9"/>
    </w:pPr>
  </w:style>
  <w:style w:type="paragraph" w:styleId="TM1">
    <w:name w:val="toc 1"/>
    <w:basedOn w:val="Normal"/>
    <w:next w:val="Normal"/>
    <w:autoRedefine/>
    <w:uiPriority w:val="39"/>
    <w:unhideWhenUsed/>
    <w:qFormat/>
    <w:rsid w:val="005560CF"/>
    <w:pPr>
      <w:tabs>
        <w:tab w:val="right" w:leader="dot" w:pos="9060"/>
      </w:tabs>
      <w:spacing w:after="0" w:line="240" w:lineRule="auto"/>
    </w:pPr>
    <w:rPr>
      <w:rFonts w:ascii="Times New Roman" w:hAnsi="Times New Roman"/>
      <w:noProof/>
    </w:rPr>
  </w:style>
  <w:style w:type="paragraph" w:styleId="TM2">
    <w:name w:val="toc 2"/>
    <w:basedOn w:val="Normal"/>
    <w:next w:val="Normal"/>
    <w:autoRedefine/>
    <w:uiPriority w:val="39"/>
    <w:unhideWhenUsed/>
    <w:qFormat/>
    <w:rsid w:val="00BA3DC6"/>
    <w:pPr>
      <w:spacing w:after="100"/>
      <w:ind w:left="220"/>
    </w:pPr>
  </w:style>
  <w:style w:type="paragraph" w:styleId="TM3">
    <w:name w:val="toc 3"/>
    <w:basedOn w:val="Normal"/>
    <w:next w:val="Normal"/>
    <w:autoRedefine/>
    <w:uiPriority w:val="39"/>
    <w:unhideWhenUsed/>
    <w:qFormat/>
    <w:rsid w:val="00BA3DC6"/>
    <w:pPr>
      <w:tabs>
        <w:tab w:val="left" w:pos="880"/>
        <w:tab w:val="right" w:leader="dot" w:pos="9060"/>
      </w:tabs>
      <w:spacing w:after="100"/>
      <w:ind w:left="220"/>
    </w:pPr>
  </w:style>
  <w:style w:type="paragraph" w:styleId="En-tte">
    <w:name w:val="header"/>
    <w:basedOn w:val="Normal"/>
    <w:link w:val="En-tteCar"/>
    <w:uiPriority w:val="99"/>
    <w:unhideWhenUsed/>
    <w:rsid w:val="00BA3DC6"/>
    <w:pPr>
      <w:tabs>
        <w:tab w:val="center" w:pos="4536"/>
        <w:tab w:val="right" w:pos="9072"/>
      </w:tabs>
      <w:spacing w:after="0" w:line="240" w:lineRule="auto"/>
    </w:pPr>
  </w:style>
  <w:style w:type="character" w:customStyle="1" w:styleId="En-tteCar">
    <w:name w:val="En-tête Car"/>
    <w:link w:val="En-tte"/>
    <w:uiPriority w:val="99"/>
    <w:rsid w:val="00BA3DC6"/>
    <w:rPr>
      <w:rFonts w:ascii="Calibri" w:eastAsia="Calibri" w:hAnsi="Calibri" w:cs="Times New Roman"/>
    </w:rPr>
  </w:style>
  <w:style w:type="paragraph" w:styleId="Pieddepage">
    <w:name w:val="footer"/>
    <w:basedOn w:val="Normal"/>
    <w:link w:val="PieddepageCar"/>
    <w:uiPriority w:val="99"/>
    <w:unhideWhenUsed/>
    <w:rsid w:val="00BA3DC6"/>
    <w:pPr>
      <w:tabs>
        <w:tab w:val="center" w:pos="4536"/>
        <w:tab w:val="right" w:pos="9072"/>
      </w:tabs>
      <w:spacing w:after="0" w:line="240" w:lineRule="auto"/>
    </w:pPr>
  </w:style>
  <w:style w:type="character" w:customStyle="1" w:styleId="PieddepageCar">
    <w:name w:val="Pied de page Car"/>
    <w:link w:val="Pieddepage"/>
    <w:uiPriority w:val="99"/>
    <w:rsid w:val="00BA3DC6"/>
    <w:rPr>
      <w:rFonts w:ascii="Calibri" w:eastAsia="Calibri" w:hAnsi="Calibri" w:cs="Times New Roman"/>
    </w:rPr>
  </w:style>
  <w:style w:type="paragraph" w:styleId="Commentaire">
    <w:name w:val="annotation text"/>
    <w:basedOn w:val="Normal"/>
    <w:link w:val="CommentaireCar"/>
    <w:uiPriority w:val="99"/>
    <w:unhideWhenUsed/>
    <w:rsid w:val="00BA3DC6"/>
    <w:pPr>
      <w:spacing w:after="0" w:line="240" w:lineRule="auto"/>
    </w:pPr>
    <w:rPr>
      <w:rFonts w:ascii="Times New Roman" w:hAnsi="Times New Roman"/>
      <w:sz w:val="20"/>
      <w:szCs w:val="20"/>
    </w:rPr>
  </w:style>
  <w:style w:type="character" w:customStyle="1" w:styleId="CommentaireCar">
    <w:name w:val="Commentaire Car"/>
    <w:link w:val="Commentaire"/>
    <w:uiPriority w:val="99"/>
    <w:rsid w:val="00BA3DC6"/>
    <w:rPr>
      <w:rFonts w:ascii="Times New Roman" w:eastAsia="Calibri" w:hAnsi="Times New Roman" w:cs="Times New Roman"/>
      <w:sz w:val="20"/>
      <w:szCs w:val="20"/>
    </w:rPr>
  </w:style>
  <w:style w:type="paragraph" w:styleId="Corpsdetexte2">
    <w:name w:val="Body Text 2"/>
    <w:basedOn w:val="Normal"/>
    <w:link w:val="Corpsdetexte2Car"/>
    <w:rsid w:val="00BA3DC6"/>
    <w:pPr>
      <w:spacing w:after="120" w:line="480" w:lineRule="auto"/>
    </w:pPr>
    <w:rPr>
      <w:rFonts w:ascii="Times New Roman" w:eastAsia="Times New Roman" w:hAnsi="Times New Roman"/>
      <w:sz w:val="24"/>
      <w:szCs w:val="24"/>
      <w:lang w:val="en-US"/>
    </w:rPr>
  </w:style>
  <w:style w:type="character" w:customStyle="1" w:styleId="Corpsdetexte2Car">
    <w:name w:val="Corps de texte 2 Car"/>
    <w:link w:val="Corpsdetexte2"/>
    <w:rsid w:val="00BA3DC6"/>
    <w:rPr>
      <w:rFonts w:ascii="Times New Roman" w:eastAsia="Times New Roman" w:hAnsi="Times New Roman" w:cs="Times New Roman"/>
      <w:sz w:val="24"/>
      <w:szCs w:val="24"/>
      <w:lang w:val="en-US"/>
    </w:rPr>
  </w:style>
  <w:style w:type="paragraph" w:styleId="Notedefin">
    <w:name w:val="endnote text"/>
    <w:basedOn w:val="Normal"/>
    <w:link w:val="NotedefinCar"/>
    <w:uiPriority w:val="99"/>
    <w:semiHidden/>
    <w:unhideWhenUsed/>
    <w:rsid w:val="00BA3DC6"/>
    <w:pPr>
      <w:spacing w:after="0" w:line="240" w:lineRule="auto"/>
    </w:pPr>
    <w:rPr>
      <w:sz w:val="20"/>
      <w:szCs w:val="20"/>
    </w:rPr>
  </w:style>
  <w:style w:type="character" w:customStyle="1" w:styleId="NotedefinCar">
    <w:name w:val="Note de fin Car"/>
    <w:link w:val="Notedefin"/>
    <w:uiPriority w:val="99"/>
    <w:semiHidden/>
    <w:rsid w:val="00BA3DC6"/>
    <w:rPr>
      <w:rFonts w:ascii="Calibri" w:eastAsia="Calibri" w:hAnsi="Calibri" w:cs="Times New Roman"/>
      <w:sz w:val="20"/>
      <w:szCs w:val="20"/>
    </w:rPr>
  </w:style>
  <w:style w:type="character" w:styleId="Appeldenotedefin">
    <w:name w:val="endnote reference"/>
    <w:rsid w:val="00BA3DC6"/>
    <w:rPr>
      <w:vertAlign w:val="superscript"/>
    </w:rPr>
  </w:style>
  <w:style w:type="paragraph" w:styleId="Corpsdetexte3">
    <w:name w:val="Body Text 3"/>
    <w:basedOn w:val="Normal"/>
    <w:link w:val="Corpsdetexte3Car"/>
    <w:uiPriority w:val="99"/>
    <w:unhideWhenUsed/>
    <w:rsid w:val="00BA3DC6"/>
    <w:pPr>
      <w:spacing w:after="120" w:line="240" w:lineRule="auto"/>
    </w:pPr>
    <w:rPr>
      <w:rFonts w:ascii="Times New Roman" w:hAnsi="Times New Roman"/>
      <w:sz w:val="16"/>
      <w:szCs w:val="16"/>
      <w:lang w:val="en-CA"/>
    </w:rPr>
  </w:style>
  <w:style w:type="character" w:customStyle="1" w:styleId="Corpsdetexte3Car">
    <w:name w:val="Corps de texte 3 Car"/>
    <w:link w:val="Corpsdetexte3"/>
    <w:uiPriority w:val="99"/>
    <w:rsid w:val="00BA3DC6"/>
    <w:rPr>
      <w:rFonts w:ascii="Times New Roman" w:eastAsia="Calibri" w:hAnsi="Times New Roman" w:cs="Times New Roman"/>
      <w:sz w:val="16"/>
      <w:szCs w:val="16"/>
      <w:lang w:val="en-CA"/>
    </w:rPr>
  </w:style>
  <w:style w:type="character" w:customStyle="1" w:styleId="Listecouleur-Accent1Car">
    <w:name w:val="Liste couleur - Accent 1 Car"/>
    <w:link w:val="Listecouleur-Accent11"/>
    <w:uiPriority w:val="34"/>
    <w:locked/>
    <w:rsid w:val="00BA3DC6"/>
    <w:rPr>
      <w:sz w:val="24"/>
      <w:szCs w:val="24"/>
      <w:lang w:val="en-US"/>
    </w:rPr>
  </w:style>
  <w:style w:type="paragraph" w:customStyle="1" w:styleId="Listecouleur-Accent11">
    <w:name w:val="Liste couleur - Accent 11"/>
    <w:basedOn w:val="Normal"/>
    <w:link w:val="Listecouleur-Accent1Car"/>
    <w:uiPriority w:val="34"/>
    <w:qFormat/>
    <w:rsid w:val="00BA3DC6"/>
    <w:pPr>
      <w:spacing w:after="0" w:line="240" w:lineRule="auto"/>
      <w:ind w:left="720"/>
      <w:contextualSpacing/>
    </w:pPr>
    <w:rPr>
      <w:sz w:val="24"/>
      <w:szCs w:val="24"/>
      <w:lang w:val="en-US"/>
    </w:rPr>
  </w:style>
  <w:style w:type="character" w:customStyle="1" w:styleId="hps">
    <w:name w:val="hps"/>
    <w:rsid w:val="00BA3DC6"/>
  </w:style>
  <w:style w:type="paragraph" w:styleId="NormalWeb">
    <w:name w:val="Normal (Web)"/>
    <w:basedOn w:val="Normal"/>
    <w:uiPriority w:val="99"/>
    <w:unhideWhenUsed/>
    <w:rsid w:val="00BA3DC6"/>
    <w:pPr>
      <w:spacing w:after="0" w:line="240" w:lineRule="auto"/>
    </w:pPr>
    <w:rPr>
      <w:rFonts w:ascii="Times New Roman" w:hAnsi="Times New Roman"/>
      <w:sz w:val="24"/>
      <w:szCs w:val="24"/>
      <w:lang w:eastAsia="fr-FR"/>
    </w:rPr>
  </w:style>
  <w:style w:type="paragraph" w:customStyle="1" w:styleId="Sansinterligne1">
    <w:name w:val="Sans interligne1"/>
    <w:qFormat/>
    <w:rsid w:val="00BA3DC6"/>
    <w:rPr>
      <w:rFonts w:ascii="Times New Roman" w:hAnsi="Times New Roman"/>
      <w:sz w:val="24"/>
      <w:szCs w:val="22"/>
      <w:lang w:val="en-GB" w:eastAsia="en-US"/>
    </w:rPr>
  </w:style>
  <w:style w:type="character" w:customStyle="1" w:styleId="A11">
    <w:name w:val="A11"/>
    <w:uiPriority w:val="99"/>
    <w:rsid w:val="00BA3DC6"/>
    <w:rPr>
      <w:rFonts w:cs="Myriad Pro"/>
      <w:color w:val="000000"/>
      <w:sz w:val="18"/>
      <w:szCs w:val="18"/>
    </w:rPr>
  </w:style>
  <w:style w:type="character" w:customStyle="1" w:styleId="A10">
    <w:name w:val="A10"/>
    <w:uiPriority w:val="99"/>
    <w:rsid w:val="00BA3DC6"/>
    <w:rPr>
      <w:rFonts w:cs="Myriad Pro"/>
      <w:color w:val="000000"/>
      <w:sz w:val="12"/>
      <w:szCs w:val="12"/>
    </w:rPr>
  </w:style>
  <w:style w:type="paragraph" w:customStyle="1" w:styleId="Normalcover">
    <w:name w:val="Normal cover"/>
    <w:basedOn w:val="Normal"/>
    <w:rsid w:val="00BA3DC6"/>
    <w:pPr>
      <w:widowControl w:val="0"/>
      <w:autoSpaceDE w:val="0"/>
      <w:autoSpaceDN w:val="0"/>
      <w:spacing w:after="0" w:line="240" w:lineRule="auto"/>
      <w:jc w:val="both"/>
    </w:pPr>
    <w:rPr>
      <w:rFonts w:ascii="Times New Roman" w:eastAsia="Times New Roman" w:hAnsi="Times New Roman"/>
      <w:sz w:val="24"/>
      <w:szCs w:val="20"/>
      <w:lang w:val="en-US"/>
    </w:rPr>
  </w:style>
  <w:style w:type="paragraph" w:styleId="Retraitcorpsdetexte">
    <w:name w:val="Body Text Indent"/>
    <w:basedOn w:val="Normal"/>
    <w:link w:val="RetraitcorpsdetexteCar"/>
    <w:uiPriority w:val="99"/>
    <w:unhideWhenUsed/>
    <w:rsid w:val="00BA3DC6"/>
    <w:pPr>
      <w:spacing w:after="120"/>
      <w:ind w:left="283"/>
    </w:pPr>
  </w:style>
  <w:style w:type="character" w:customStyle="1" w:styleId="RetraitcorpsdetexteCar">
    <w:name w:val="Retrait corps de texte Car"/>
    <w:link w:val="Retraitcorpsdetexte"/>
    <w:uiPriority w:val="99"/>
    <w:rsid w:val="00BA3DC6"/>
    <w:rPr>
      <w:rFonts w:ascii="Calibri" w:eastAsia="Calibri" w:hAnsi="Calibri" w:cs="Times New Roman"/>
    </w:rPr>
  </w:style>
  <w:style w:type="character" w:customStyle="1" w:styleId="apple-converted-space">
    <w:name w:val="apple-converted-space"/>
    <w:rsid w:val="00490FF6"/>
  </w:style>
  <w:style w:type="character" w:styleId="Accentuation">
    <w:name w:val="Emphasis"/>
    <w:uiPriority w:val="20"/>
    <w:qFormat/>
    <w:rsid w:val="00490FF6"/>
    <w:rPr>
      <w:i/>
      <w:iCs/>
    </w:rPr>
  </w:style>
  <w:style w:type="character" w:styleId="Marquedecommentaire">
    <w:name w:val="annotation reference"/>
    <w:uiPriority w:val="99"/>
    <w:semiHidden/>
    <w:unhideWhenUsed/>
    <w:rsid w:val="00152F26"/>
    <w:rPr>
      <w:sz w:val="16"/>
      <w:szCs w:val="16"/>
    </w:rPr>
  </w:style>
  <w:style w:type="paragraph" w:customStyle="1" w:styleId="P1">
    <w:name w:val="P 1"/>
    <w:basedOn w:val="Normal"/>
    <w:qFormat/>
    <w:rsid w:val="00236BD2"/>
    <w:pPr>
      <w:spacing w:before="120" w:after="120" w:line="240" w:lineRule="auto"/>
      <w:jc w:val="both"/>
    </w:pPr>
    <w:rPr>
      <w:rFonts w:ascii="Times New Roman" w:hAnsi="Times New Roman"/>
    </w:rPr>
  </w:style>
  <w:style w:type="character" w:customStyle="1" w:styleId="SansinterligneCar">
    <w:name w:val="Sans interligne Car"/>
    <w:link w:val="Sansinterligne"/>
    <w:uiPriority w:val="1"/>
    <w:locked/>
    <w:rsid w:val="00236BD2"/>
    <w:rPr>
      <w:rFonts w:asciiTheme="minorHAnsi" w:eastAsiaTheme="minorHAnsi" w:hAnsiTheme="minorHAnsi" w:cstheme="minorBidi"/>
      <w:sz w:val="22"/>
      <w:szCs w:val="22"/>
      <w:lang w:eastAsia="en-US"/>
    </w:rPr>
  </w:style>
  <w:style w:type="paragraph" w:styleId="Sansinterligne">
    <w:name w:val="No Spacing"/>
    <w:link w:val="SansinterligneCar"/>
    <w:uiPriority w:val="1"/>
    <w:qFormat/>
    <w:rsid w:val="00236BD2"/>
    <w:rPr>
      <w:rFonts w:asciiTheme="minorHAnsi" w:eastAsiaTheme="minorHAnsi" w:hAnsiTheme="minorHAnsi" w:cstheme="minorBidi"/>
      <w:sz w:val="22"/>
      <w:szCs w:val="22"/>
      <w:lang w:eastAsia="en-US"/>
    </w:rPr>
  </w:style>
  <w:style w:type="paragraph" w:styleId="Lgende">
    <w:name w:val="caption"/>
    <w:aliases w:val="Para"/>
    <w:basedOn w:val="Normal"/>
    <w:next w:val="Normal"/>
    <w:qFormat/>
    <w:rsid w:val="00C56FF6"/>
    <w:pPr>
      <w:numPr>
        <w:numId w:val="7"/>
      </w:numPr>
      <w:spacing w:before="120" w:after="0" w:line="240" w:lineRule="auto"/>
      <w:jc w:val="both"/>
    </w:pPr>
    <w:rPr>
      <w:rFonts w:ascii="Garamond" w:eastAsia="Times New Roman" w:hAnsi="Garamond"/>
      <w:bCs/>
      <w:szCs w:val="20"/>
      <w:lang w:val="fr-CA" w:eastAsia="fr-CA"/>
    </w:rPr>
  </w:style>
  <w:style w:type="character" w:styleId="lev">
    <w:name w:val="Strong"/>
    <w:uiPriority w:val="22"/>
    <w:qFormat/>
    <w:rsid w:val="004C5D4B"/>
    <w:rPr>
      <w:b/>
      <w:bCs/>
    </w:rPr>
  </w:style>
  <w:style w:type="character" w:customStyle="1" w:styleId="Titre5Car">
    <w:name w:val="Titre 5 Car"/>
    <w:basedOn w:val="Policepardfaut"/>
    <w:link w:val="Titre5"/>
    <w:uiPriority w:val="9"/>
    <w:rsid w:val="006A214E"/>
    <w:rPr>
      <w:rFonts w:asciiTheme="majorHAnsi" w:eastAsiaTheme="majorEastAsia" w:hAnsiTheme="majorHAnsi" w:cstheme="majorBidi"/>
      <w:color w:val="1F4D78" w:themeColor="accent1" w:themeShade="7F"/>
      <w:sz w:val="22"/>
      <w:szCs w:val="22"/>
      <w:lang w:eastAsia="en-US"/>
    </w:rPr>
  </w:style>
  <w:style w:type="table" w:customStyle="1" w:styleId="Grilledutableau1">
    <w:name w:val="Grille du tableau1"/>
    <w:basedOn w:val="TableauNormal"/>
    <w:next w:val="Grilledutableau"/>
    <w:uiPriority w:val="59"/>
    <w:rsid w:val="009B2268"/>
    <w:rPr>
      <w:rFonts w:ascii="Times New Roman" w:hAnsi="Times New Roman"/>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CE3F26"/>
  </w:style>
  <w:style w:type="paragraph" w:customStyle="1" w:styleId="Standard">
    <w:name w:val="Standard"/>
    <w:rsid w:val="00CE3F26"/>
    <w:pPr>
      <w:widowControl w:val="0"/>
      <w:suppressAutoHyphens/>
      <w:autoSpaceDN w:val="0"/>
    </w:pPr>
    <w:rPr>
      <w:rFonts w:ascii="Times New Roman" w:hAnsi="Times New Roman" w:cs="Tahoma"/>
      <w:kern w:val="3"/>
      <w:sz w:val="24"/>
      <w:szCs w:val="24"/>
      <w:lang w:val="de-DE" w:eastAsia="ja-JP" w:bidi="fa-IR"/>
    </w:rPr>
  </w:style>
  <w:style w:type="paragraph" w:styleId="Objetducommentaire">
    <w:name w:val="annotation subject"/>
    <w:basedOn w:val="Commentaire"/>
    <w:next w:val="Commentaire"/>
    <w:link w:val="ObjetducommentaireCar"/>
    <w:uiPriority w:val="99"/>
    <w:semiHidden/>
    <w:unhideWhenUsed/>
    <w:rsid w:val="00CE3F26"/>
    <w:rPr>
      <w:rFonts w:eastAsiaTheme="minorHAnsi" w:cstheme="minorBidi"/>
      <w:b/>
      <w:bCs/>
    </w:rPr>
  </w:style>
  <w:style w:type="character" w:customStyle="1" w:styleId="ObjetducommentaireCar">
    <w:name w:val="Objet du commentaire Car"/>
    <w:basedOn w:val="CommentaireCar"/>
    <w:link w:val="Objetducommentaire"/>
    <w:uiPriority w:val="99"/>
    <w:semiHidden/>
    <w:rsid w:val="00CE3F26"/>
    <w:rPr>
      <w:rFonts w:ascii="Times New Roman" w:eastAsiaTheme="minorHAnsi" w:hAnsi="Times New Roman" w:cstheme="minorBidi"/>
      <w:b/>
      <w:bCs/>
      <w:sz w:val="20"/>
      <w:szCs w:val="20"/>
      <w:lang w:eastAsia="en-US"/>
    </w:rPr>
  </w:style>
  <w:style w:type="paragraph" w:customStyle="1" w:styleId="ColorfulList-Accent11">
    <w:name w:val="Colorful List - Accent 11"/>
    <w:basedOn w:val="Normal"/>
    <w:uiPriority w:val="72"/>
    <w:qFormat/>
    <w:rsid w:val="00CE3F26"/>
    <w:pPr>
      <w:ind w:left="720"/>
      <w:contextualSpacing/>
    </w:pPr>
    <w:rPr>
      <w:rFonts w:eastAsia="Times New Roman"/>
    </w:rPr>
  </w:style>
  <w:style w:type="character" w:customStyle="1" w:styleId="longtext">
    <w:name w:val="long_text"/>
    <w:rsid w:val="00CE3F26"/>
  </w:style>
  <w:style w:type="table" w:customStyle="1" w:styleId="Grilledutableau2">
    <w:name w:val="Grille du tableau2"/>
    <w:basedOn w:val="TableauNormal"/>
    <w:next w:val="Grilledutableau"/>
    <w:uiPriority w:val="59"/>
    <w:rsid w:val="00790EE5"/>
    <w:rPr>
      <w:rFonts w:ascii="Times New Roman" w:hAnsi="Times New Roman"/>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475744"/>
  </w:style>
  <w:style w:type="table" w:customStyle="1" w:styleId="Grilledutableau3">
    <w:name w:val="Grille du tableau3"/>
    <w:basedOn w:val="TableauNormal"/>
    <w:next w:val="Grilledutableau"/>
    <w:uiPriority w:val="39"/>
    <w:rsid w:val="00475744"/>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59"/>
    <w:rsid w:val="002756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3601">
      <w:bodyDiv w:val="1"/>
      <w:marLeft w:val="0"/>
      <w:marRight w:val="0"/>
      <w:marTop w:val="0"/>
      <w:marBottom w:val="0"/>
      <w:divBdr>
        <w:top w:val="none" w:sz="0" w:space="0" w:color="auto"/>
        <w:left w:val="none" w:sz="0" w:space="0" w:color="auto"/>
        <w:bottom w:val="none" w:sz="0" w:space="0" w:color="auto"/>
        <w:right w:val="none" w:sz="0" w:space="0" w:color="auto"/>
      </w:divBdr>
    </w:div>
    <w:div w:id="251403442">
      <w:bodyDiv w:val="1"/>
      <w:marLeft w:val="0"/>
      <w:marRight w:val="0"/>
      <w:marTop w:val="0"/>
      <w:marBottom w:val="0"/>
      <w:divBdr>
        <w:top w:val="none" w:sz="0" w:space="0" w:color="auto"/>
        <w:left w:val="none" w:sz="0" w:space="0" w:color="auto"/>
        <w:bottom w:val="none" w:sz="0" w:space="0" w:color="auto"/>
        <w:right w:val="none" w:sz="0" w:space="0" w:color="auto"/>
      </w:divBdr>
      <w:divsChild>
        <w:div w:id="1748650206">
          <w:marLeft w:val="2074"/>
          <w:marRight w:val="0"/>
          <w:marTop w:val="0"/>
          <w:marBottom w:val="0"/>
          <w:divBdr>
            <w:top w:val="none" w:sz="0" w:space="0" w:color="auto"/>
            <w:left w:val="none" w:sz="0" w:space="0" w:color="auto"/>
            <w:bottom w:val="none" w:sz="0" w:space="0" w:color="auto"/>
            <w:right w:val="none" w:sz="0" w:space="0" w:color="auto"/>
          </w:divBdr>
        </w:div>
      </w:divsChild>
    </w:div>
    <w:div w:id="251664153">
      <w:bodyDiv w:val="1"/>
      <w:marLeft w:val="0"/>
      <w:marRight w:val="0"/>
      <w:marTop w:val="0"/>
      <w:marBottom w:val="0"/>
      <w:divBdr>
        <w:top w:val="none" w:sz="0" w:space="0" w:color="auto"/>
        <w:left w:val="none" w:sz="0" w:space="0" w:color="auto"/>
        <w:bottom w:val="none" w:sz="0" w:space="0" w:color="auto"/>
        <w:right w:val="none" w:sz="0" w:space="0" w:color="auto"/>
      </w:divBdr>
    </w:div>
    <w:div w:id="299773523">
      <w:bodyDiv w:val="1"/>
      <w:marLeft w:val="0"/>
      <w:marRight w:val="0"/>
      <w:marTop w:val="0"/>
      <w:marBottom w:val="0"/>
      <w:divBdr>
        <w:top w:val="none" w:sz="0" w:space="0" w:color="auto"/>
        <w:left w:val="none" w:sz="0" w:space="0" w:color="auto"/>
        <w:bottom w:val="none" w:sz="0" w:space="0" w:color="auto"/>
        <w:right w:val="none" w:sz="0" w:space="0" w:color="auto"/>
      </w:divBdr>
    </w:div>
    <w:div w:id="450130254">
      <w:bodyDiv w:val="1"/>
      <w:marLeft w:val="0"/>
      <w:marRight w:val="0"/>
      <w:marTop w:val="0"/>
      <w:marBottom w:val="0"/>
      <w:divBdr>
        <w:top w:val="none" w:sz="0" w:space="0" w:color="auto"/>
        <w:left w:val="none" w:sz="0" w:space="0" w:color="auto"/>
        <w:bottom w:val="none" w:sz="0" w:space="0" w:color="auto"/>
        <w:right w:val="none" w:sz="0" w:space="0" w:color="auto"/>
      </w:divBdr>
    </w:div>
    <w:div w:id="796991927">
      <w:bodyDiv w:val="1"/>
      <w:marLeft w:val="0"/>
      <w:marRight w:val="0"/>
      <w:marTop w:val="0"/>
      <w:marBottom w:val="0"/>
      <w:divBdr>
        <w:top w:val="none" w:sz="0" w:space="0" w:color="auto"/>
        <w:left w:val="none" w:sz="0" w:space="0" w:color="auto"/>
        <w:bottom w:val="none" w:sz="0" w:space="0" w:color="auto"/>
        <w:right w:val="none" w:sz="0" w:space="0" w:color="auto"/>
      </w:divBdr>
    </w:div>
    <w:div w:id="820733948">
      <w:bodyDiv w:val="1"/>
      <w:marLeft w:val="0"/>
      <w:marRight w:val="0"/>
      <w:marTop w:val="0"/>
      <w:marBottom w:val="0"/>
      <w:divBdr>
        <w:top w:val="none" w:sz="0" w:space="0" w:color="auto"/>
        <w:left w:val="none" w:sz="0" w:space="0" w:color="auto"/>
        <w:bottom w:val="none" w:sz="0" w:space="0" w:color="auto"/>
        <w:right w:val="none" w:sz="0" w:space="0" w:color="auto"/>
      </w:divBdr>
      <w:divsChild>
        <w:div w:id="490755194">
          <w:marLeft w:val="0"/>
          <w:marRight w:val="0"/>
          <w:marTop w:val="0"/>
          <w:marBottom w:val="0"/>
          <w:divBdr>
            <w:top w:val="none" w:sz="0" w:space="0" w:color="auto"/>
            <w:left w:val="none" w:sz="0" w:space="0" w:color="auto"/>
            <w:bottom w:val="none" w:sz="0" w:space="0" w:color="auto"/>
            <w:right w:val="none" w:sz="0" w:space="0" w:color="auto"/>
          </w:divBdr>
        </w:div>
        <w:div w:id="1567185547">
          <w:marLeft w:val="0"/>
          <w:marRight w:val="0"/>
          <w:marTop w:val="0"/>
          <w:marBottom w:val="0"/>
          <w:divBdr>
            <w:top w:val="none" w:sz="0" w:space="0" w:color="auto"/>
            <w:left w:val="none" w:sz="0" w:space="0" w:color="auto"/>
            <w:bottom w:val="none" w:sz="0" w:space="0" w:color="auto"/>
            <w:right w:val="none" w:sz="0" w:space="0" w:color="auto"/>
          </w:divBdr>
        </w:div>
      </w:divsChild>
    </w:div>
    <w:div w:id="926236048">
      <w:bodyDiv w:val="1"/>
      <w:marLeft w:val="0"/>
      <w:marRight w:val="0"/>
      <w:marTop w:val="0"/>
      <w:marBottom w:val="0"/>
      <w:divBdr>
        <w:top w:val="none" w:sz="0" w:space="0" w:color="auto"/>
        <w:left w:val="none" w:sz="0" w:space="0" w:color="auto"/>
        <w:bottom w:val="none" w:sz="0" w:space="0" w:color="auto"/>
        <w:right w:val="none" w:sz="0" w:space="0" w:color="auto"/>
      </w:divBdr>
      <w:divsChild>
        <w:div w:id="214047434">
          <w:marLeft w:val="1008"/>
          <w:marRight w:val="0"/>
          <w:marTop w:val="80"/>
          <w:marBottom w:val="0"/>
          <w:divBdr>
            <w:top w:val="none" w:sz="0" w:space="0" w:color="auto"/>
            <w:left w:val="none" w:sz="0" w:space="0" w:color="auto"/>
            <w:bottom w:val="none" w:sz="0" w:space="0" w:color="auto"/>
            <w:right w:val="none" w:sz="0" w:space="0" w:color="auto"/>
          </w:divBdr>
        </w:div>
        <w:div w:id="511186071">
          <w:marLeft w:val="1008"/>
          <w:marRight w:val="0"/>
          <w:marTop w:val="80"/>
          <w:marBottom w:val="0"/>
          <w:divBdr>
            <w:top w:val="none" w:sz="0" w:space="0" w:color="auto"/>
            <w:left w:val="none" w:sz="0" w:space="0" w:color="auto"/>
            <w:bottom w:val="none" w:sz="0" w:space="0" w:color="auto"/>
            <w:right w:val="none" w:sz="0" w:space="0" w:color="auto"/>
          </w:divBdr>
        </w:div>
        <w:div w:id="797331729">
          <w:marLeft w:val="1008"/>
          <w:marRight w:val="0"/>
          <w:marTop w:val="80"/>
          <w:marBottom w:val="0"/>
          <w:divBdr>
            <w:top w:val="none" w:sz="0" w:space="0" w:color="auto"/>
            <w:left w:val="none" w:sz="0" w:space="0" w:color="auto"/>
            <w:bottom w:val="none" w:sz="0" w:space="0" w:color="auto"/>
            <w:right w:val="none" w:sz="0" w:space="0" w:color="auto"/>
          </w:divBdr>
        </w:div>
        <w:div w:id="1076706885">
          <w:marLeft w:val="1008"/>
          <w:marRight w:val="0"/>
          <w:marTop w:val="80"/>
          <w:marBottom w:val="0"/>
          <w:divBdr>
            <w:top w:val="none" w:sz="0" w:space="0" w:color="auto"/>
            <w:left w:val="none" w:sz="0" w:space="0" w:color="auto"/>
            <w:bottom w:val="none" w:sz="0" w:space="0" w:color="auto"/>
            <w:right w:val="none" w:sz="0" w:space="0" w:color="auto"/>
          </w:divBdr>
        </w:div>
        <w:div w:id="1304234001">
          <w:marLeft w:val="1008"/>
          <w:marRight w:val="0"/>
          <w:marTop w:val="80"/>
          <w:marBottom w:val="0"/>
          <w:divBdr>
            <w:top w:val="none" w:sz="0" w:space="0" w:color="auto"/>
            <w:left w:val="none" w:sz="0" w:space="0" w:color="auto"/>
            <w:bottom w:val="none" w:sz="0" w:space="0" w:color="auto"/>
            <w:right w:val="none" w:sz="0" w:space="0" w:color="auto"/>
          </w:divBdr>
        </w:div>
        <w:div w:id="1957903399">
          <w:marLeft w:val="1008"/>
          <w:marRight w:val="0"/>
          <w:marTop w:val="80"/>
          <w:marBottom w:val="0"/>
          <w:divBdr>
            <w:top w:val="none" w:sz="0" w:space="0" w:color="auto"/>
            <w:left w:val="none" w:sz="0" w:space="0" w:color="auto"/>
            <w:bottom w:val="none" w:sz="0" w:space="0" w:color="auto"/>
            <w:right w:val="none" w:sz="0" w:space="0" w:color="auto"/>
          </w:divBdr>
        </w:div>
        <w:div w:id="2130279291">
          <w:marLeft w:val="1008"/>
          <w:marRight w:val="0"/>
          <w:marTop w:val="80"/>
          <w:marBottom w:val="0"/>
          <w:divBdr>
            <w:top w:val="none" w:sz="0" w:space="0" w:color="auto"/>
            <w:left w:val="none" w:sz="0" w:space="0" w:color="auto"/>
            <w:bottom w:val="none" w:sz="0" w:space="0" w:color="auto"/>
            <w:right w:val="none" w:sz="0" w:space="0" w:color="auto"/>
          </w:divBdr>
        </w:div>
      </w:divsChild>
    </w:div>
    <w:div w:id="1040781213">
      <w:bodyDiv w:val="1"/>
      <w:marLeft w:val="0"/>
      <w:marRight w:val="0"/>
      <w:marTop w:val="0"/>
      <w:marBottom w:val="0"/>
      <w:divBdr>
        <w:top w:val="none" w:sz="0" w:space="0" w:color="auto"/>
        <w:left w:val="none" w:sz="0" w:space="0" w:color="auto"/>
        <w:bottom w:val="none" w:sz="0" w:space="0" w:color="auto"/>
        <w:right w:val="none" w:sz="0" w:space="0" w:color="auto"/>
      </w:divBdr>
      <w:divsChild>
        <w:div w:id="1096056412">
          <w:marLeft w:val="0"/>
          <w:marRight w:val="0"/>
          <w:marTop w:val="0"/>
          <w:marBottom w:val="0"/>
          <w:divBdr>
            <w:top w:val="none" w:sz="0" w:space="0" w:color="auto"/>
            <w:left w:val="none" w:sz="0" w:space="0" w:color="auto"/>
            <w:bottom w:val="none" w:sz="0" w:space="0" w:color="auto"/>
            <w:right w:val="none" w:sz="0" w:space="0" w:color="auto"/>
          </w:divBdr>
        </w:div>
        <w:div w:id="1957060499">
          <w:marLeft w:val="0"/>
          <w:marRight w:val="0"/>
          <w:marTop w:val="0"/>
          <w:marBottom w:val="0"/>
          <w:divBdr>
            <w:top w:val="none" w:sz="0" w:space="0" w:color="auto"/>
            <w:left w:val="none" w:sz="0" w:space="0" w:color="auto"/>
            <w:bottom w:val="none" w:sz="0" w:space="0" w:color="auto"/>
            <w:right w:val="none" w:sz="0" w:space="0" w:color="auto"/>
          </w:divBdr>
        </w:div>
      </w:divsChild>
    </w:div>
    <w:div w:id="1041245636">
      <w:bodyDiv w:val="1"/>
      <w:marLeft w:val="0"/>
      <w:marRight w:val="0"/>
      <w:marTop w:val="0"/>
      <w:marBottom w:val="0"/>
      <w:divBdr>
        <w:top w:val="none" w:sz="0" w:space="0" w:color="auto"/>
        <w:left w:val="none" w:sz="0" w:space="0" w:color="auto"/>
        <w:bottom w:val="none" w:sz="0" w:space="0" w:color="auto"/>
        <w:right w:val="none" w:sz="0" w:space="0" w:color="auto"/>
      </w:divBdr>
      <w:divsChild>
        <w:div w:id="211814085">
          <w:marLeft w:val="1008"/>
          <w:marRight w:val="0"/>
          <w:marTop w:val="80"/>
          <w:marBottom w:val="0"/>
          <w:divBdr>
            <w:top w:val="none" w:sz="0" w:space="0" w:color="auto"/>
            <w:left w:val="none" w:sz="0" w:space="0" w:color="auto"/>
            <w:bottom w:val="none" w:sz="0" w:space="0" w:color="auto"/>
            <w:right w:val="none" w:sz="0" w:space="0" w:color="auto"/>
          </w:divBdr>
        </w:div>
        <w:div w:id="1024092049">
          <w:marLeft w:val="1008"/>
          <w:marRight w:val="0"/>
          <w:marTop w:val="80"/>
          <w:marBottom w:val="0"/>
          <w:divBdr>
            <w:top w:val="none" w:sz="0" w:space="0" w:color="auto"/>
            <w:left w:val="none" w:sz="0" w:space="0" w:color="auto"/>
            <w:bottom w:val="none" w:sz="0" w:space="0" w:color="auto"/>
            <w:right w:val="none" w:sz="0" w:space="0" w:color="auto"/>
          </w:divBdr>
        </w:div>
        <w:div w:id="1258757259">
          <w:marLeft w:val="1008"/>
          <w:marRight w:val="0"/>
          <w:marTop w:val="80"/>
          <w:marBottom w:val="0"/>
          <w:divBdr>
            <w:top w:val="none" w:sz="0" w:space="0" w:color="auto"/>
            <w:left w:val="none" w:sz="0" w:space="0" w:color="auto"/>
            <w:bottom w:val="none" w:sz="0" w:space="0" w:color="auto"/>
            <w:right w:val="none" w:sz="0" w:space="0" w:color="auto"/>
          </w:divBdr>
        </w:div>
      </w:divsChild>
    </w:div>
    <w:div w:id="1359967595">
      <w:bodyDiv w:val="1"/>
      <w:marLeft w:val="0"/>
      <w:marRight w:val="0"/>
      <w:marTop w:val="0"/>
      <w:marBottom w:val="0"/>
      <w:divBdr>
        <w:top w:val="none" w:sz="0" w:space="0" w:color="auto"/>
        <w:left w:val="none" w:sz="0" w:space="0" w:color="auto"/>
        <w:bottom w:val="none" w:sz="0" w:space="0" w:color="auto"/>
        <w:right w:val="none" w:sz="0" w:space="0" w:color="auto"/>
      </w:divBdr>
    </w:div>
    <w:div w:id="1415278541">
      <w:bodyDiv w:val="1"/>
      <w:marLeft w:val="0"/>
      <w:marRight w:val="0"/>
      <w:marTop w:val="0"/>
      <w:marBottom w:val="0"/>
      <w:divBdr>
        <w:top w:val="none" w:sz="0" w:space="0" w:color="auto"/>
        <w:left w:val="none" w:sz="0" w:space="0" w:color="auto"/>
        <w:bottom w:val="none" w:sz="0" w:space="0" w:color="auto"/>
        <w:right w:val="none" w:sz="0" w:space="0" w:color="auto"/>
      </w:divBdr>
    </w:div>
    <w:div w:id="1626540852">
      <w:bodyDiv w:val="1"/>
      <w:marLeft w:val="0"/>
      <w:marRight w:val="0"/>
      <w:marTop w:val="0"/>
      <w:marBottom w:val="0"/>
      <w:divBdr>
        <w:top w:val="none" w:sz="0" w:space="0" w:color="auto"/>
        <w:left w:val="none" w:sz="0" w:space="0" w:color="auto"/>
        <w:bottom w:val="none" w:sz="0" w:space="0" w:color="auto"/>
        <w:right w:val="none" w:sz="0" w:space="0" w:color="auto"/>
      </w:divBdr>
      <w:divsChild>
        <w:div w:id="33889969">
          <w:marLeft w:val="0"/>
          <w:marRight w:val="0"/>
          <w:marTop w:val="0"/>
          <w:marBottom w:val="0"/>
          <w:divBdr>
            <w:top w:val="none" w:sz="0" w:space="0" w:color="auto"/>
            <w:left w:val="none" w:sz="0" w:space="0" w:color="auto"/>
            <w:bottom w:val="none" w:sz="0" w:space="0" w:color="auto"/>
            <w:right w:val="none" w:sz="0" w:space="0" w:color="auto"/>
          </w:divBdr>
        </w:div>
        <w:div w:id="180821075">
          <w:marLeft w:val="0"/>
          <w:marRight w:val="0"/>
          <w:marTop w:val="0"/>
          <w:marBottom w:val="0"/>
          <w:divBdr>
            <w:top w:val="none" w:sz="0" w:space="0" w:color="auto"/>
            <w:left w:val="none" w:sz="0" w:space="0" w:color="auto"/>
            <w:bottom w:val="none" w:sz="0" w:space="0" w:color="auto"/>
            <w:right w:val="none" w:sz="0" w:space="0" w:color="auto"/>
          </w:divBdr>
        </w:div>
        <w:div w:id="296492347">
          <w:marLeft w:val="0"/>
          <w:marRight w:val="0"/>
          <w:marTop w:val="0"/>
          <w:marBottom w:val="0"/>
          <w:divBdr>
            <w:top w:val="none" w:sz="0" w:space="0" w:color="auto"/>
            <w:left w:val="none" w:sz="0" w:space="0" w:color="auto"/>
            <w:bottom w:val="none" w:sz="0" w:space="0" w:color="auto"/>
            <w:right w:val="none" w:sz="0" w:space="0" w:color="auto"/>
          </w:divBdr>
        </w:div>
        <w:div w:id="618802426">
          <w:marLeft w:val="0"/>
          <w:marRight w:val="0"/>
          <w:marTop w:val="0"/>
          <w:marBottom w:val="0"/>
          <w:divBdr>
            <w:top w:val="none" w:sz="0" w:space="0" w:color="auto"/>
            <w:left w:val="none" w:sz="0" w:space="0" w:color="auto"/>
            <w:bottom w:val="none" w:sz="0" w:space="0" w:color="auto"/>
            <w:right w:val="none" w:sz="0" w:space="0" w:color="auto"/>
          </w:divBdr>
        </w:div>
      </w:divsChild>
    </w:div>
    <w:div w:id="1679039610">
      <w:bodyDiv w:val="1"/>
      <w:marLeft w:val="0"/>
      <w:marRight w:val="0"/>
      <w:marTop w:val="0"/>
      <w:marBottom w:val="0"/>
      <w:divBdr>
        <w:top w:val="none" w:sz="0" w:space="0" w:color="auto"/>
        <w:left w:val="none" w:sz="0" w:space="0" w:color="auto"/>
        <w:bottom w:val="none" w:sz="0" w:space="0" w:color="auto"/>
        <w:right w:val="none" w:sz="0" w:space="0" w:color="auto"/>
      </w:divBdr>
    </w:div>
    <w:div w:id="1720008810">
      <w:bodyDiv w:val="1"/>
      <w:marLeft w:val="0"/>
      <w:marRight w:val="0"/>
      <w:marTop w:val="0"/>
      <w:marBottom w:val="0"/>
      <w:divBdr>
        <w:top w:val="none" w:sz="0" w:space="0" w:color="auto"/>
        <w:left w:val="none" w:sz="0" w:space="0" w:color="auto"/>
        <w:bottom w:val="none" w:sz="0" w:space="0" w:color="auto"/>
        <w:right w:val="none" w:sz="0" w:space="0" w:color="auto"/>
      </w:divBdr>
    </w:div>
    <w:div w:id="1795324429">
      <w:bodyDiv w:val="1"/>
      <w:marLeft w:val="0"/>
      <w:marRight w:val="0"/>
      <w:marTop w:val="0"/>
      <w:marBottom w:val="0"/>
      <w:divBdr>
        <w:top w:val="none" w:sz="0" w:space="0" w:color="auto"/>
        <w:left w:val="none" w:sz="0" w:space="0" w:color="auto"/>
        <w:bottom w:val="none" w:sz="0" w:space="0" w:color="auto"/>
        <w:right w:val="none" w:sz="0" w:space="0" w:color="auto"/>
      </w:divBdr>
    </w:div>
    <w:div w:id="1903055478">
      <w:bodyDiv w:val="1"/>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581181653">
          <w:marLeft w:val="0"/>
          <w:marRight w:val="0"/>
          <w:marTop w:val="0"/>
          <w:marBottom w:val="0"/>
          <w:divBdr>
            <w:top w:val="none" w:sz="0" w:space="0" w:color="auto"/>
            <w:left w:val="none" w:sz="0" w:space="0" w:color="auto"/>
            <w:bottom w:val="none" w:sz="0" w:space="0" w:color="auto"/>
            <w:right w:val="none" w:sz="0" w:space="0" w:color="auto"/>
          </w:divBdr>
        </w:div>
        <w:div w:id="1092166234">
          <w:marLeft w:val="0"/>
          <w:marRight w:val="0"/>
          <w:marTop w:val="0"/>
          <w:marBottom w:val="0"/>
          <w:divBdr>
            <w:top w:val="none" w:sz="0" w:space="0" w:color="auto"/>
            <w:left w:val="none" w:sz="0" w:space="0" w:color="auto"/>
            <w:bottom w:val="none" w:sz="0" w:space="0" w:color="auto"/>
            <w:right w:val="none" w:sz="0" w:space="0" w:color="auto"/>
          </w:divBdr>
        </w:div>
        <w:div w:id="1456827440">
          <w:marLeft w:val="0"/>
          <w:marRight w:val="0"/>
          <w:marTop w:val="0"/>
          <w:marBottom w:val="0"/>
          <w:divBdr>
            <w:top w:val="none" w:sz="0" w:space="0" w:color="auto"/>
            <w:left w:val="none" w:sz="0" w:space="0" w:color="auto"/>
            <w:bottom w:val="none" w:sz="0" w:space="0" w:color="auto"/>
            <w:right w:val="none" w:sz="0" w:space="0" w:color="auto"/>
          </w:divBdr>
        </w:div>
      </w:divsChild>
    </w:div>
    <w:div w:id="1958640690">
      <w:bodyDiv w:val="1"/>
      <w:marLeft w:val="0"/>
      <w:marRight w:val="0"/>
      <w:marTop w:val="0"/>
      <w:marBottom w:val="0"/>
      <w:divBdr>
        <w:top w:val="none" w:sz="0" w:space="0" w:color="auto"/>
        <w:left w:val="none" w:sz="0" w:space="0" w:color="auto"/>
        <w:bottom w:val="none" w:sz="0" w:space="0" w:color="auto"/>
        <w:right w:val="none" w:sz="0" w:space="0" w:color="auto"/>
      </w:divBdr>
    </w:div>
    <w:div w:id="2119174877">
      <w:bodyDiv w:val="1"/>
      <w:marLeft w:val="0"/>
      <w:marRight w:val="0"/>
      <w:marTop w:val="0"/>
      <w:marBottom w:val="0"/>
      <w:divBdr>
        <w:top w:val="none" w:sz="0" w:space="0" w:color="auto"/>
        <w:left w:val="none" w:sz="0" w:space="0" w:color="auto"/>
        <w:bottom w:val="none" w:sz="0" w:space="0" w:color="auto"/>
        <w:right w:val="none" w:sz="0" w:space="0" w:color="auto"/>
      </w:divBdr>
      <w:divsChild>
        <w:div w:id="46154011">
          <w:marLeft w:val="720"/>
          <w:marRight w:val="0"/>
          <w:marTop w:val="120"/>
          <w:marBottom w:val="120"/>
          <w:divBdr>
            <w:top w:val="none" w:sz="0" w:space="0" w:color="auto"/>
            <w:left w:val="none" w:sz="0" w:space="0" w:color="auto"/>
            <w:bottom w:val="none" w:sz="0" w:space="0" w:color="auto"/>
            <w:right w:val="none" w:sz="0" w:space="0" w:color="auto"/>
          </w:divBdr>
        </w:div>
        <w:div w:id="195973816">
          <w:marLeft w:val="720"/>
          <w:marRight w:val="0"/>
          <w:marTop w:val="120"/>
          <w:marBottom w:val="120"/>
          <w:divBdr>
            <w:top w:val="none" w:sz="0" w:space="0" w:color="auto"/>
            <w:left w:val="none" w:sz="0" w:space="0" w:color="auto"/>
            <w:bottom w:val="none" w:sz="0" w:space="0" w:color="auto"/>
            <w:right w:val="none" w:sz="0" w:space="0" w:color="auto"/>
          </w:divBdr>
        </w:div>
        <w:div w:id="216859481">
          <w:marLeft w:val="720"/>
          <w:marRight w:val="0"/>
          <w:marTop w:val="120"/>
          <w:marBottom w:val="120"/>
          <w:divBdr>
            <w:top w:val="none" w:sz="0" w:space="0" w:color="auto"/>
            <w:left w:val="none" w:sz="0" w:space="0" w:color="auto"/>
            <w:bottom w:val="none" w:sz="0" w:space="0" w:color="auto"/>
            <w:right w:val="none" w:sz="0" w:space="0" w:color="auto"/>
          </w:divBdr>
        </w:div>
        <w:div w:id="444927797">
          <w:marLeft w:val="720"/>
          <w:marRight w:val="0"/>
          <w:marTop w:val="120"/>
          <w:marBottom w:val="120"/>
          <w:divBdr>
            <w:top w:val="none" w:sz="0" w:space="0" w:color="auto"/>
            <w:left w:val="none" w:sz="0" w:space="0" w:color="auto"/>
            <w:bottom w:val="none" w:sz="0" w:space="0" w:color="auto"/>
            <w:right w:val="none" w:sz="0" w:space="0" w:color="auto"/>
          </w:divBdr>
        </w:div>
        <w:div w:id="455953470">
          <w:marLeft w:val="720"/>
          <w:marRight w:val="0"/>
          <w:marTop w:val="120"/>
          <w:marBottom w:val="120"/>
          <w:divBdr>
            <w:top w:val="none" w:sz="0" w:space="0" w:color="auto"/>
            <w:left w:val="none" w:sz="0" w:space="0" w:color="auto"/>
            <w:bottom w:val="none" w:sz="0" w:space="0" w:color="auto"/>
            <w:right w:val="none" w:sz="0" w:space="0" w:color="auto"/>
          </w:divBdr>
        </w:div>
        <w:div w:id="929432139">
          <w:marLeft w:val="720"/>
          <w:marRight w:val="0"/>
          <w:marTop w:val="120"/>
          <w:marBottom w:val="120"/>
          <w:divBdr>
            <w:top w:val="none" w:sz="0" w:space="0" w:color="auto"/>
            <w:left w:val="none" w:sz="0" w:space="0" w:color="auto"/>
            <w:bottom w:val="none" w:sz="0" w:space="0" w:color="auto"/>
            <w:right w:val="none" w:sz="0" w:space="0" w:color="auto"/>
          </w:divBdr>
        </w:div>
        <w:div w:id="1319067008">
          <w:marLeft w:val="720"/>
          <w:marRight w:val="0"/>
          <w:marTop w:val="120"/>
          <w:marBottom w:val="120"/>
          <w:divBdr>
            <w:top w:val="none" w:sz="0" w:space="0" w:color="auto"/>
            <w:left w:val="none" w:sz="0" w:space="0" w:color="auto"/>
            <w:bottom w:val="none" w:sz="0" w:space="0" w:color="auto"/>
            <w:right w:val="none" w:sz="0" w:space="0" w:color="auto"/>
          </w:divBdr>
        </w:div>
        <w:div w:id="1778910575">
          <w:marLeft w:val="720"/>
          <w:marRight w:val="0"/>
          <w:marTop w:val="120"/>
          <w:marBottom w:val="120"/>
          <w:divBdr>
            <w:top w:val="none" w:sz="0" w:space="0" w:color="auto"/>
            <w:left w:val="none" w:sz="0" w:space="0" w:color="auto"/>
            <w:bottom w:val="none" w:sz="0" w:space="0" w:color="auto"/>
            <w:right w:val="none" w:sz="0" w:space="0" w:color="auto"/>
          </w:divBdr>
        </w:div>
        <w:div w:id="1930117126">
          <w:marLeft w:val="720"/>
          <w:marRight w:val="0"/>
          <w:marTop w:val="120"/>
          <w:marBottom w:val="120"/>
          <w:divBdr>
            <w:top w:val="none" w:sz="0" w:space="0" w:color="auto"/>
            <w:left w:val="none" w:sz="0" w:space="0" w:color="auto"/>
            <w:bottom w:val="none" w:sz="0" w:space="0" w:color="auto"/>
            <w:right w:val="none" w:sz="0" w:space="0" w:color="auto"/>
          </w:divBdr>
        </w:div>
        <w:div w:id="1934164836">
          <w:marLeft w:val="720"/>
          <w:marRight w:val="0"/>
          <w:marTop w:val="120"/>
          <w:marBottom w:val="120"/>
          <w:divBdr>
            <w:top w:val="none" w:sz="0" w:space="0" w:color="auto"/>
            <w:left w:val="none" w:sz="0" w:space="0" w:color="auto"/>
            <w:bottom w:val="none" w:sz="0" w:space="0" w:color="auto"/>
            <w:right w:val="none" w:sz="0" w:space="0" w:color="auto"/>
          </w:divBdr>
        </w:div>
        <w:div w:id="1957173240">
          <w:marLeft w:val="720"/>
          <w:marRight w:val="0"/>
          <w:marTop w:val="120"/>
          <w:marBottom w:val="120"/>
          <w:divBdr>
            <w:top w:val="none" w:sz="0" w:space="0" w:color="auto"/>
            <w:left w:val="none" w:sz="0" w:space="0" w:color="auto"/>
            <w:bottom w:val="none" w:sz="0" w:space="0" w:color="auto"/>
            <w:right w:val="none" w:sz="0" w:space="0" w:color="auto"/>
          </w:divBdr>
        </w:div>
        <w:div w:id="1958098814">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10"/>
      <c:rAngAx val="0"/>
    </c:view3D>
    <c:floor>
      <c:thickness val="0"/>
    </c:floor>
    <c:sideWall>
      <c:thickness val="0"/>
    </c:sideWall>
    <c:backWall>
      <c:thickness val="0"/>
    </c:backWall>
    <c:plotArea>
      <c:layout>
        <c:manualLayout>
          <c:layoutTarget val="inner"/>
          <c:xMode val="edge"/>
          <c:yMode val="edge"/>
          <c:x val="8.7986477975532398E-2"/>
          <c:y val="1.3524685329771767E-4"/>
          <c:w val="0.78231337180306126"/>
          <c:h val="0.92954277094247051"/>
        </c:manualLayout>
      </c:layout>
      <c:bar3DChart>
        <c:barDir val="col"/>
        <c:grouping val="standard"/>
        <c:varyColors val="0"/>
        <c:ser>
          <c:idx val="0"/>
          <c:order val="0"/>
          <c:tx>
            <c:strRef>
              <c:f>Feuil1!$B$1</c:f>
              <c:strCache>
                <c:ptCount val="1"/>
                <c:pt idx="0">
                  <c:v>Prog. (15-19)</c:v>
                </c:pt>
              </c:strCache>
            </c:strRef>
          </c:tx>
          <c:spPr>
            <a:solidFill>
              <a:schemeClr val="accent3"/>
            </a:solidFill>
          </c:spPr>
          <c:invertIfNegative val="0"/>
          <c:cat>
            <c:strRef>
              <c:f>Feuil1!$A$2:$A$6</c:f>
              <c:strCache>
                <c:ptCount val="5"/>
                <c:pt idx="0">
                  <c:v>Axe 1</c:v>
                </c:pt>
                <c:pt idx="1">
                  <c:v>Axe 2</c:v>
                </c:pt>
                <c:pt idx="2">
                  <c:v>Axe 3</c:v>
                </c:pt>
                <c:pt idx="3">
                  <c:v>Axe 4</c:v>
                </c:pt>
                <c:pt idx="4">
                  <c:v>Undaf+</c:v>
                </c:pt>
              </c:strCache>
            </c:strRef>
          </c:cat>
          <c:val>
            <c:numRef>
              <c:f>Feuil1!$B$2:$B$6</c:f>
              <c:numCache>
                <c:formatCode>#,##0\ _€</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B7E7-4231-AB04-D469C0048728}"/>
            </c:ext>
          </c:extLst>
        </c:ser>
        <c:ser>
          <c:idx val="1"/>
          <c:order val="1"/>
          <c:tx>
            <c:strRef>
              <c:f>Feuil1!$C$1</c:f>
              <c:strCache>
                <c:ptCount val="1"/>
                <c:pt idx="0">
                  <c:v>Disponible (15-17)</c:v>
                </c:pt>
              </c:strCache>
            </c:strRef>
          </c:tx>
          <c:spPr>
            <a:solidFill>
              <a:srgbClr val="00B050"/>
            </a:solidFill>
          </c:spPr>
          <c:invertIfNegative val="0"/>
          <c:dLbls>
            <c:dLbl>
              <c:idx val="0"/>
              <c:layout>
                <c:manualLayout>
                  <c:x val="-1.1168104402953525E-2"/>
                  <c:y val="0.20842721577552822"/>
                </c:manualLayout>
              </c:layout>
              <c:tx>
                <c:rich>
                  <a:bodyPr/>
                  <a:lstStyle/>
                  <a:p>
                    <a:r>
                      <a:rPr lang="en-US" sz="900">
                        <a:solidFill>
                          <a:schemeClr val="tx1"/>
                        </a:solidFill>
                      </a:rPr>
                      <a:t>30%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E7-4231-AB04-D469C0048728}"/>
                </c:ext>
              </c:extLst>
            </c:dLbl>
            <c:dLbl>
              <c:idx val="1"/>
              <c:layout>
                <c:manualLayout>
                  <c:x val="-5.0993735132445475E-3"/>
                  <c:y val="0.21608450558977771"/>
                </c:manualLayout>
              </c:layout>
              <c:tx>
                <c:rich>
                  <a:bodyPr/>
                  <a:lstStyle/>
                  <a:p>
                    <a:r>
                      <a:rPr lang="en-US" sz="900">
                        <a:solidFill>
                          <a:schemeClr val="tx1"/>
                        </a:solidFill>
                      </a:rPr>
                      <a:t>38%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E7-4231-AB04-D469C0048728}"/>
                </c:ext>
              </c:extLst>
            </c:dLbl>
            <c:dLbl>
              <c:idx val="2"/>
              <c:layout>
                <c:manualLayout>
                  <c:x val="2.2895494933166113E-2"/>
                  <c:y val="0.38682044400849236"/>
                </c:manualLayout>
              </c:layout>
              <c:tx>
                <c:rich>
                  <a:bodyPr/>
                  <a:lstStyle/>
                  <a:p>
                    <a:r>
                      <a:rPr lang="en-US" sz="900">
                        <a:solidFill>
                          <a:schemeClr val="tx1"/>
                        </a:solidFill>
                      </a:rPr>
                      <a:t>101%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E7-4231-AB04-D469C0048728}"/>
                </c:ext>
              </c:extLst>
            </c:dLbl>
            <c:dLbl>
              <c:idx val="3"/>
              <c:layout>
                <c:manualLayout>
                  <c:x val="2.2046408343952158E-2"/>
                  <c:y val="0.1422808147257234"/>
                </c:manualLayout>
              </c:layout>
              <c:tx>
                <c:rich>
                  <a:bodyPr/>
                  <a:lstStyle/>
                  <a:p>
                    <a:r>
                      <a:rPr lang="en-US" sz="900" dirty="0">
                        <a:solidFill>
                          <a:schemeClr val="tx1"/>
                        </a:solidFill>
                      </a:rPr>
                      <a:t>25%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E7-4231-AB04-D469C0048728}"/>
                </c:ext>
              </c:extLst>
            </c:dLbl>
            <c:dLbl>
              <c:idx val="4"/>
              <c:layout>
                <c:manualLayout>
                  <c:x val="2.2046028968601167E-2"/>
                  <c:y val="0.13684078425804913"/>
                </c:manualLayout>
              </c:layout>
              <c:tx>
                <c:rich>
                  <a:bodyPr/>
                  <a:lstStyle/>
                  <a:p>
                    <a:r>
                      <a:rPr lang="en-US" sz="900">
                        <a:solidFill>
                          <a:schemeClr val="tx1"/>
                        </a:solidFill>
                      </a:rPr>
                      <a:t>40%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E7-4231-AB04-D469C0048728}"/>
                </c:ext>
              </c:extLst>
            </c:dLbl>
            <c:spPr>
              <a:solidFill>
                <a:sysClr val="window" lastClr="FFFFFF">
                  <a:lumMod val="95000"/>
                </a:sysClr>
              </a:solidFill>
            </c:spPr>
            <c:txPr>
              <a:bodyPr rot="-2040000"/>
              <a:lstStyle/>
              <a:p>
                <a:pPr>
                  <a:defRPr sz="900">
                    <a:solidFill>
                      <a:schemeClr val="tx1"/>
                    </a:solidFill>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5"/>
                <c:pt idx="0">
                  <c:v>Axe 1</c:v>
                </c:pt>
                <c:pt idx="1">
                  <c:v>Axe 2</c:v>
                </c:pt>
                <c:pt idx="2">
                  <c:v>Axe 3</c:v>
                </c:pt>
                <c:pt idx="3">
                  <c:v>Axe 4</c:v>
                </c:pt>
                <c:pt idx="4">
                  <c:v>Undaf+</c:v>
                </c:pt>
              </c:strCache>
            </c:strRef>
          </c:cat>
          <c:val>
            <c:numRef>
              <c:f>Feuil1!$C$2:$C$6</c:f>
              <c:numCache>
                <c:formatCode>#,##0\ _€</c:formatCode>
                <c:ptCount val="5"/>
                <c:pt idx="0">
                  <c:v>28</c:v>
                </c:pt>
                <c:pt idx="1">
                  <c:v>38</c:v>
                </c:pt>
                <c:pt idx="2">
                  <c:v>101</c:v>
                </c:pt>
                <c:pt idx="3">
                  <c:v>24</c:v>
                </c:pt>
                <c:pt idx="4">
                  <c:v>40</c:v>
                </c:pt>
              </c:numCache>
            </c:numRef>
          </c:val>
          <c:extLst>
            <c:ext xmlns:c16="http://schemas.microsoft.com/office/drawing/2014/chart" uri="{C3380CC4-5D6E-409C-BE32-E72D297353CC}">
              <c16:uniqueId val="{00000006-B7E7-4231-AB04-D469C0048728}"/>
            </c:ext>
          </c:extLst>
        </c:ser>
        <c:dLbls>
          <c:showLegendKey val="0"/>
          <c:showVal val="0"/>
          <c:showCatName val="0"/>
          <c:showSerName val="0"/>
          <c:showPercent val="0"/>
          <c:showBubbleSize val="0"/>
        </c:dLbls>
        <c:gapWidth val="150"/>
        <c:shape val="box"/>
        <c:axId val="218729856"/>
        <c:axId val="218735744"/>
        <c:axId val="276954176"/>
      </c:bar3DChart>
      <c:catAx>
        <c:axId val="218729856"/>
        <c:scaling>
          <c:orientation val="minMax"/>
        </c:scaling>
        <c:delete val="0"/>
        <c:axPos val="b"/>
        <c:numFmt formatCode="General" sourceLinked="0"/>
        <c:majorTickMark val="out"/>
        <c:minorTickMark val="none"/>
        <c:tickLblPos val="nextTo"/>
        <c:txPr>
          <a:bodyPr/>
          <a:lstStyle/>
          <a:p>
            <a:pPr>
              <a:defRPr sz="800"/>
            </a:pPr>
            <a:endParaRPr lang="fr-FR"/>
          </a:p>
        </c:txPr>
        <c:crossAx val="218735744"/>
        <c:crosses val="autoZero"/>
        <c:auto val="1"/>
        <c:lblAlgn val="ctr"/>
        <c:lblOffset val="100"/>
        <c:noMultiLvlLbl val="0"/>
      </c:catAx>
      <c:valAx>
        <c:axId val="218735744"/>
        <c:scaling>
          <c:orientation val="minMax"/>
        </c:scaling>
        <c:delete val="1"/>
        <c:axPos val="r"/>
        <c:numFmt formatCode="#,##0\ _€" sourceLinked="1"/>
        <c:majorTickMark val="out"/>
        <c:minorTickMark val="none"/>
        <c:tickLblPos val="nextTo"/>
        <c:crossAx val="218729856"/>
        <c:crosses val="autoZero"/>
        <c:crossBetween val="between"/>
      </c:valAx>
      <c:serAx>
        <c:axId val="276954176"/>
        <c:scaling>
          <c:orientation val="minMax"/>
        </c:scaling>
        <c:delete val="0"/>
        <c:axPos val="b"/>
        <c:majorTickMark val="out"/>
        <c:minorTickMark val="none"/>
        <c:tickLblPos val="nextTo"/>
        <c:txPr>
          <a:bodyPr/>
          <a:lstStyle/>
          <a:p>
            <a:pPr>
              <a:defRPr sz="1100"/>
            </a:pPr>
            <a:endParaRPr lang="fr-FR"/>
          </a:p>
        </c:txPr>
        <c:crossAx val="218735744"/>
        <c:crosses val="autoZero"/>
      </c:ser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10"/>
      <c:rAngAx val="0"/>
    </c:view3D>
    <c:floor>
      <c:thickness val="0"/>
    </c:floor>
    <c:sideWall>
      <c:thickness val="0"/>
    </c:sideWall>
    <c:backWall>
      <c:thickness val="0"/>
    </c:backWall>
    <c:plotArea>
      <c:layout>
        <c:manualLayout>
          <c:layoutTarget val="inner"/>
          <c:xMode val="edge"/>
          <c:yMode val="edge"/>
          <c:x val="8.7986477975532371E-2"/>
          <c:y val="1.3524685329771761E-4"/>
          <c:w val="0.78231337180306093"/>
          <c:h val="0.92954277094247051"/>
        </c:manualLayout>
      </c:layout>
      <c:bar3DChart>
        <c:barDir val="col"/>
        <c:grouping val="standard"/>
        <c:varyColors val="0"/>
        <c:ser>
          <c:idx val="0"/>
          <c:order val="0"/>
          <c:tx>
            <c:strRef>
              <c:f>Feuil1!$B$1</c:f>
              <c:strCache>
                <c:ptCount val="1"/>
                <c:pt idx="0">
                  <c:v>Disponible (15-17)</c:v>
                </c:pt>
              </c:strCache>
            </c:strRef>
          </c:tx>
          <c:spPr>
            <a:solidFill>
              <a:schemeClr val="accent3"/>
            </a:solidFill>
          </c:spPr>
          <c:invertIfNegative val="0"/>
          <c:cat>
            <c:strRef>
              <c:f>Feuil1!$A$2:$A$6</c:f>
              <c:strCache>
                <c:ptCount val="5"/>
                <c:pt idx="0">
                  <c:v>Axe 1</c:v>
                </c:pt>
                <c:pt idx="1">
                  <c:v>Axe 2</c:v>
                </c:pt>
                <c:pt idx="2">
                  <c:v>Axe 3</c:v>
                </c:pt>
                <c:pt idx="3">
                  <c:v>Axe 4</c:v>
                </c:pt>
                <c:pt idx="4">
                  <c:v>Undaf+</c:v>
                </c:pt>
              </c:strCache>
            </c:strRef>
          </c:cat>
          <c:val>
            <c:numRef>
              <c:f>Feuil1!$B$2:$B$6</c:f>
              <c:numCache>
                <c:formatCode>#,##0\ _€</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B16E-404A-839A-C4E7E810F20A}"/>
            </c:ext>
          </c:extLst>
        </c:ser>
        <c:ser>
          <c:idx val="1"/>
          <c:order val="1"/>
          <c:tx>
            <c:strRef>
              <c:f>Feuil1!$C$1</c:f>
              <c:strCache>
                <c:ptCount val="1"/>
                <c:pt idx="0">
                  <c:v>Exécuté (15-17)2</c:v>
                </c:pt>
              </c:strCache>
            </c:strRef>
          </c:tx>
          <c:spPr>
            <a:solidFill>
              <a:srgbClr val="00B050"/>
            </a:solidFill>
          </c:spPr>
          <c:invertIfNegative val="0"/>
          <c:dLbls>
            <c:dLbl>
              <c:idx val="0"/>
              <c:layout>
                <c:manualLayout>
                  <c:x val="-1.1168104402953521E-2"/>
                  <c:y val="0.20842721577552828"/>
                </c:manualLayout>
              </c:layout>
              <c:tx>
                <c:rich>
                  <a:bodyPr/>
                  <a:lstStyle/>
                  <a:p>
                    <a:r>
                      <a:rPr lang="en-US" sz="800">
                        <a:solidFill>
                          <a:schemeClr val="tx1"/>
                        </a:solidFill>
                      </a:rPr>
                      <a:t>65%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6E-404A-839A-C4E7E810F20A}"/>
                </c:ext>
              </c:extLst>
            </c:dLbl>
            <c:dLbl>
              <c:idx val="1"/>
              <c:layout>
                <c:manualLayout>
                  <c:x val="-5.0993735132445518E-3"/>
                  <c:y val="0.21608450558977771"/>
                </c:manualLayout>
              </c:layout>
              <c:tx>
                <c:rich>
                  <a:bodyPr/>
                  <a:lstStyle/>
                  <a:p>
                    <a:r>
                      <a:rPr lang="en-US" sz="800">
                        <a:solidFill>
                          <a:schemeClr val="tx1"/>
                        </a:solidFill>
                      </a:rPr>
                      <a:t>51%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6E-404A-839A-C4E7E810F20A}"/>
                </c:ext>
              </c:extLst>
            </c:dLbl>
            <c:dLbl>
              <c:idx val="2"/>
              <c:layout>
                <c:manualLayout>
                  <c:x val="2.2895494933166113E-2"/>
                  <c:y val="0.38682044400849247"/>
                </c:manualLayout>
              </c:layout>
              <c:tx>
                <c:rich>
                  <a:bodyPr/>
                  <a:lstStyle/>
                  <a:p>
                    <a:r>
                      <a:rPr lang="en-US" sz="800">
                        <a:solidFill>
                          <a:schemeClr val="tx1"/>
                        </a:solidFill>
                      </a:rPr>
                      <a:t>63%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6E-404A-839A-C4E7E810F20A}"/>
                </c:ext>
              </c:extLst>
            </c:dLbl>
            <c:dLbl>
              <c:idx val="3"/>
              <c:layout>
                <c:manualLayout>
                  <c:x val="2.2046408343952158E-2"/>
                  <c:y val="0.1422808147257234"/>
                </c:manualLayout>
              </c:layout>
              <c:tx>
                <c:rich>
                  <a:bodyPr/>
                  <a:lstStyle/>
                  <a:p>
                    <a:r>
                      <a:rPr lang="en-US" sz="800" dirty="0">
                        <a:solidFill>
                          <a:schemeClr val="tx1"/>
                        </a:solidFill>
                      </a:rPr>
                      <a:t>60%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6E-404A-839A-C4E7E810F20A}"/>
                </c:ext>
              </c:extLst>
            </c:dLbl>
            <c:dLbl>
              <c:idx val="4"/>
              <c:layout>
                <c:manualLayout>
                  <c:x val="2.2046028968601156E-2"/>
                  <c:y val="0.13684078425804913"/>
                </c:manualLayout>
              </c:layout>
              <c:tx>
                <c:rich>
                  <a:bodyPr/>
                  <a:lstStyle/>
                  <a:p>
                    <a:r>
                      <a:rPr lang="en-US" sz="800">
                        <a:solidFill>
                          <a:schemeClr val="tx1"/>
                        </a:solidFill>
                      </a:rPr>
                      <a:t>61%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6E-404A-839A-C4E7E810F20A}"/>
                </c:ext>
              </c:extLst>
            </c:dLbl>
            <c:spPr>
              <a:solidFill>
                <a:sysClr val="window" lastClr="FFFFFF">
                  <a:lumMod val="95000"/>
                </a:sysClr>
              </a:solidFill>
            </c:spPr>
            <c:txPr>
              <a:bodyPr rot="-2040000"/>
              <a:lstStyle/>
              <a:p>
                <a:pPr>
                  <a:defRPr sz="800">
                    <a:solidFill>
                      <a:schemeClr val="tx1"/>
                    </a:solidFill>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5"/>
                <c:pt idx="0">
                  <c:v>Axe 1</c:v>
                </c:pt>
                <c:pt idx="1">
                  <c:v>Axe 2</c:v>
                </c:pt>
                <c:pt idx="2">
                  <c:v>Axe 3</c:v>
                </c:pt>
                <c:pt idx="3">
                  <c:v>Axe 4</c:v>
                </c:pt>
                <c:pt idx="4">
                  <c:v>Undaf+</c:v>
                </c:pt>
              </c:strCache>
            </c:strRef>
          </c:cat>
          <c:val>
            <c:numRef>
              <c:f>Feuil1!$C$2:$C$6</c:f>
              <c:numCache>
                <c:formatCode>0</c:formatCode>
                <c:ptCount val="5"/>
                <c:pt idx="0">
                  <c:v>65</c:v>
                </c:pt>
                <c:pt idx="1">
                  <c:v>51</c:v>
                </c:pt>
                <c:pt idx="2">
                  <c:v>63</c:v>
                </c:pt>
                <c:pt idx="3">
                  <c:v>60</c:v>
                </c:pt>
                <c:pt idx="4">
                  <c:v>61</c:v>
                </c:pt>
              </c:numCache>
            </c:numRef>
          </c:val>
          <c:extLst>
            <c:ext xmlns:c16="http://schemas.microsoft.com/office/drawing/2014/chart" uri="{C3380CC4-5D6E-409C-BE32-E72D297353CC}">
              <c16:uniqueId val="{00000006-B16E-404A-839A-C4E7E810F20A}"/>
            </c:ext>
          </c:extLst>
        </c:ser>
        <c:dLbls>
          <c:showLegendKey val="0"/>
          <c:showVal val="0"/>
          <c:showCatName val="0"/>
          <c:showSerName val="0"/>
          <c:showPercent val="0"/>
          <c:showBubbleSize val="0"/>
        </c:dLbls>
        <c:gapWidth val="150"/>
        <c:shape val="box"/>
        <c:axId val="172944000"/>
        <c:axId val="217235840"/>
        <c:axId val="287496384"/>
      </c:bar3DChart>
      <c:catAx>
        <c:axId val="172944000"/>
        <c:scaling>
          <c:orientation val="minMax"/>
        </c:scaling>
        <c:delete val="0"/>
        <c:axPos val="b"/>
        <c:numFmt formatCode="General" sourceLinked="0"/>
        <c:majorTickMark val="out"/>
        <c:minorTickMark val="none"/>
        <c:tickLblPos val="nextTo"/>
        <c:txPr>
          <a:bodyPr/>
          <a:lstStyle/>
          <a:p>
            <a:pPr>
              <a:defRPr sz="800"/>
            </a:pPr>
            <a:endParaRPr lang="fr-FR"/>
          </a:p>
        </c:txPr>
        <c:crossAx val="217235840"/>
        <c:crosses val="autoZero"/>
        <c:auto val="1"/>
        <c:lblAlgn val="ctr"/>
        <c:lblOffset val="100"/>
        <c:noMultiLvlLbl val="0"/>
      </c:catAx>
      <c:valAx>
        <c:axId val="217235840"/>
        <c:scaling>
          <c:orientation val="minMax"/>
        </c:scaling>
        <c:delete val="1"/>
        <c:axPos val="r"/>
        <c:numFmt formatCode="#,##0\ _€" sourceLinked="1"/>
        <c:majorTickMark val="out"/>
        <c:minorTickMark val="none"/>
        <c:tickLblPos val="nextTo"/>
        <c:crossAx val="172944000"/>
        <c:crosses val="autoZero"/>
        <c:crossBetween val="between"/>
      </c:valAx>
      <c:serAx>
        <c:axId val="287496384"/>
        <c:scaling>
          <c:orientation val="minMax"/>
        </c:scaling>
        <c:delete val="0"/>
        <c:axPos val="b"/>
        <c:majorTickMark val="out"/>
        <c:minorTickMark val="none"/>
        <c:tickLblPos val="nextTo"/>
        <c:txPr>
          <a:bodyPr/>
          <a:lstStyle/>
          <a:p>
            <a:pPr>
              <a:defRPr sz="900"/>
            </a:pPr>
            <a:endParaRPr lang="fr-FR"/>
          </a:p>
        </c:txPr>
        <c:crossAx val="217235840"/>
        <c:crosses val="autoZero"/>
      </c:ser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10"/>
      <c:rAngAx val="0"/>
    </c:view3D>
    <c:floor>
      <c:thickness val="0"/>
    </c:floor>
    <c:sideWall>
      <c:thickness val="0"/>
    </c:sideWall>
    <c:backWall>
      <c:thickness val="0"/>
    </c:backWall>
    <c:plotArea>
      <c:layout>
        <c:manualLayout>
          <c:layoutTarget val="inner"/>
          <c:xMode val="edge"/>
          <c:yMode val="edge"/>
          <c:x val="8.7986477975532398E-2"/>
          <c:y val="1.3524685329771788E-4"/>
          <c:w val="0.78231337180306049"/>
          <c:h val="0.92954277094247051"/>
        </c:manualLayout>
      </c:layout>
      <c:bar3DChart>
        <c:barDir val="col"/>
        <c:grouping val="standard"/>
        <c:varyColors val="0"/>
        <c:ser>
          <c:idx val="0"/>
          <c:order val="0"/>
          <c:tx>
            <c:strRef>
              <c:f>Feuil1!$B$1</c:f>
              <c:strCache>
                <c:ptCount val="1"/>
                <c:pt idx="0">
                  <c:v>Prog initiale (15-19)</c:v>
                </c:pt>
              </c:strCache>
            </c:strRef>
          </c:tx>
          <c:spPr>
            <a:solidFill>
              <a:schemeClr val="accent3"/>
            </a:solidFill>
          </c:spPr>
          <c:invertIfNegative val="0"/>
          <c:cat>
            <c:strRef>
              <c:f>Feuil1!$A$2:$A$6</c:f>
              <c:strCache>
                <c:ptCount val="5"/>
                <c:pt idx="0">
                  <c:v>Axe 1</c:v>
                </c:pt>
                <c:pt idx="1">
                  <c:v>Axe 2</c:v>
                </c:pt>
                <c:pt idx="2">
                  <c:v>Axe 3</c:v>
                </c:pt>
                <c:pt idx="3">
                  <c:v>Axe 4</c:v>
                </c:pt>
                <c:pt idx="4">
                  <c:v>Undaf+</c:v>
                </c:pt>
              </c:strCache>
            </c:strRef>
          </c:cat>
          <c:val>
            <c:numRef>
              <c:f>Feuil1!$B$2:$B$6</c:f>
              <c:numCache>
                <c:formatCode>#,##0\ _€</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FB0B-4A92-85B5-929937AF52C8}"/>
            </c:ext>
          </c:extLst>
        </c:ser>
        <c:ser>
          <c:idx val="1"/>
          <c:order val="1"/>
          <c:tx>
            <c:strRef>
              <c:f>Feuil1!$C$1</c:f>
              <c:strCache>
                <c:ptCount val="1"/>
                <c:pt idx="0">
                  <c:v>Exécution (15-17)2</c:v>
                </c:pt>
              </c:strCache>
            </c:strRef>
          </c:tx>
          <c:spPr>
            <a:solidFill>
              <a:srgbClr val="00B050"/>
            </a:solidFill>
          </c:spPr>
          <c:invertIfNegative val="0"/>
          <c:dLbls>
            <c:dLbl>
              <c:idx val="0"/>
              <c:layout>
                <c:manualLayout>
                  <c:x val="2.60068708038735E-2"/>
                  <c:y val="0.23015145346748744"/>
                </c:manualLayout>
              </c:layout>
              <c:tx>
                <c:rich>
                  <a:bodyPr/>
                  <a:lstStyle/>
                  <a:p>
                    <a:r>
                      <a:rPr lang="en-US" sz="800">
                        <a:solidFill>
                          <a:schemeClr val="tx1"/>
                        </a:solidFill>
                      </a:rPr>
                      <a:t>20%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0B-4A92-85B5-929937AF52C8}"/>
                </c:ext>
              </c:extLst>
            </c:dLbl>
            <c:dLbl>
              <c:idx val="1"/>
              <c:layout>
                <c:manualLayout>
                  <c:x val="2.5316597169186227E-2"/>
                  <c:y val="0.21608433315885597"/>
                </c:manualLayout>
              </c:layout>
              <c:tx>
                <c:rich>
                  <a:bodyPr/>
                  <a:lstStyle/>
                  <a:p>
                    <a:r>
                      <a:rPr lang="en-US" sz="800">
                        <a:solidFill>
                          <a:schemeClr val="tx1"/>
                        </a:solidFill>
                      </a:rPr>
                      <a:t>1</a:t>
                    </a:r>
                    <a:r>
                      <a:rPr lang="en-US" sz="800" b="0" i="0" u="none" strike="noStrike" baseline="0">
                        <a:solidFill>
                          <a:schemeClr val="tx1"/>
                        </a:solidFill>
                      </a:rPr>
                      <a:t>9</a:t>
                    </a:r>
                    <a:r>
                      <a:rPr lang="en-US" sz="800">
                        <a:solidFill>
                          <a:schemeClr val="tx1"/>
                        </a:solidFill>
                      </a:rPr>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0B-4A92-85B5-929937AF52C8}"/>
                </c:ext>
              </c:extLst>
            </c:dLbl>
            <c:dLbl>
              <c:idx val="2"/>
              <c:layout>
                <c:manualLayout>
                  <c:x val="3.6413930009340317E-2"/>
                  <c:y val="0.32888871403108538"/>
                </c:manualLayout>
              </c:layout>
              <c:tx>
                <c:rich>
                  <a:bodyPr/>
                  <a:lstStyle/>
                  <a:p>
                    <a:r>
                      <a:rPr lang="en-US" sz="800">
                        <a:solidFill>
                          <a:schemeClr val="tx1"/>
                        </a:solidFill>
                      </a:rPr>
                      <a:t>63%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0B-4A92-85B5-929937AF52C8}"/>
                </c:ext>
              </c:extLst>
            </c:dLbl>
            <c:dLbl>
              <c:idx val="3"/>
              <c:layout>
                <c:manualLayout>
                  <c:x val="3.2185272211031096E-2"/>
                  <c:y val="0.17124642064173606"/>
                </c:manualLayout>
              </c:layout>
              <c:tx>
                <c:rich>
                  <a:bodyPr/>
                  <a:lstStyle/>
                  <a:p>
                    <a:r>
                      <a:rPr lang="en-US" sz="800" dirty="0">
                        <a:solidFill>
                          <a:schemeClr val="tx1"/>
                        </a:solidFill>
                      </a:rPr>
                      <a:t>15%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0B-4A92-85B5-929937AF52C8}"/>
                </c:ext>
              </c:extLst>
            </c:dLbl>
            <c:dLbl>
              <c:idx val="4"/>
              <c:layout>
                <c:manualLayout>
                  <c:x val="4.9082340543863338E-2"/>
                  <c:y val="0.21649600925073842"/>
                </c:manualLayout>
              </c:layout>
              <c:tx>
                <c:rich>
                  <a:bodyPr/>
                  <a:lstStyle/>
                  <a:p>
                    <a:r>
                      <a:rPr lang="en-US" sz="800">
                        <a:solidFill>
                          <a:schemeClr val="tx1"/>
                        </a:solidFill>
                      </a:rPr>
                      <a:t>25%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0B-4A92-85B5-929937AF52C8}"/>
                </c:ext>
              </c:extLst>
            </c:dLbl>
            <c:spPr>
              <a:solidFill>
                <a:sysClr val="window" lastClr="FFFFFF">
                  <a:lumMod val="95000"/>
                </a:sysClr>
              </a:solidFill>
            </c:spPr>
            <c:txPr>
              <a:bodyPr rot="-2040000"/>
              <a:lstStyle/>
              <a:p>
                <a:pPr>
                  <a:defRPr sz="800">
                    <a:solidFill>
                      <a:schemeClr val="tx1"/>
                    </a:solidFill>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5"/>
                <c:pt idx="0">
                  <c:v>Axe 1</c:v>
                </c:pt>
                <c:pt idx="1">
                  <c:v>Axe 2</c:v>
                </c:pt>
                <c:pt idx="2">
                  <c:v>Axe 3</c:v>
                </c:pt>
                <c:pt idx="3">
                  <c:v>Axe 4</c:v>
                </c:pt>
                <c:pt idx="4">
                  <c:v>Undaf+</c:v>
                </c:pt>
              </c:strCache>
            </c:strRef>
          </c:cat>
          <c:val>
            <c:numRef>
              <c:f>Feuil1!$C$2:$C$6</c:f>
              <c:numCache>
                <c:formatCode>0</c:formatCode>
                <c:ptCount val="5"/>
                <c:pt idx="0">
                  <c:v>20</c:v>
                </c:pt>
                <c:pt idx="1">
                  <c:v>19</c:v>
                </c:pt>
                <c:pt idx="2">
                  <c:v>63</c:v>
                </c:pt>
                <c:pt idx="3">
                  <c:v>15</c:v>
                </c:pt>
                <c:pt idx="4">
                  <c:v>25</c:v>
                </c:pt>
              </c:numCache>
            </c:numRef>
          </c:val>
          <c:extLst>
            <c:ext xmlns:c16="http://schemas.microsoft.com/office/drawing/2014/chart" uri="{C3380CC4-5D6E-409C-BE32-E72D297353CC}">
              <c16:uniqueId val="{00000006-FB0B-4A92-85B5-929937AF52C8}"/>
            </c:ext>
          </c:extLst>
        </c:ser>
        <c:dLbls>
          <c:showLegendKey val="0"/>
          <c:showVal val="0"/>
          <c:showCatName val="0"/>
          <c:showSerName val="0"/>
          <c:showPercent val="0"/>
          <c:showBubbleSize val="0"/>
        </c:dLbls>
        <c:gapWidth val="150"/>
        <c:shape val="box"/>
        <c:axId val="217921408"/>
        <c:axId val="217922944"/>
        <c:axId val="276951040"/>
      </c:bar3DChart>
      <c:catAx>
        <c:axId val="217921408"/>
        <c:scaling>
          <c:orientation val="minMax"/>
        </c:scaling>
        <c:delete val="0"/>
        <c:axPos val="b"/>
        <c:numFmt formatCode="General" sourceLinked="0"/>
        <c:majorTickMark val="out"/>
        <c:minorTickMark val="none"/>
        <c:tickLblPos val="nextTo"/>
        <c:txPr>
          <a:bodyPr rot="-900000"/>
          <a:lstStyle/>
          <a:p>
            <a:pPr>
              <a:defRPr sz="800"/>
            </a:pPr>
            <a:endParaRPr lang="fr-FR"/>
          </a:p>
        </c:txPr>
        <c:crossAx val="217922944"/>
        <c:crosses val="autoZero"/>
        <c:auto val="1"/>
        <c:lblAlgn val="ctr"/>
        <c:lblOffset val="100"/>
        <c:noMultiLvlLbl val="0"/>
      </c:catAx>
      <c:valAx>
        <c:axId val="217922944"/>
        <c:scaling>
          <c:orientation val="minMax"/>
        </c:scaling>
        <c:delete val="1"/>
        <c:axPos val="r"/>
        <c:numFmt formatCode="#,##0\ _€" sourceLinked="1"/>
        <c:majorTickMark val="out"/>
        <c:minorTickMark val="none"/>
        <c:tickLblPos val="nextTo"/>
        <c:crossAx val="217921408"/>
        <c:crosses val="autoZero"/>
        <c:crossBetween val="between"/>
      </c:valAx>
      <c:serAx>
        <c:axId val="276951040"/>
        <c:scaling>
          <c:orientation val="minMax"/>
        </c:scaling>
        <c:delete val="0"/>
        <c:axPos val="b"/>
        <c:majorTickMark val="out"/>
        <c:minorTickMark val="none"/>
        <c:tickLblPos val="nextTo"/>
        <c:txPr>
          <a:bodyPr/>
          <a:lstStyle/>
          <a:p>
            <a:pPr>
              <a:defRPr sz="900"/>
            </a:pPr>
            <a:endParaRPr lang="fr-FR"/>
          </a:p>
        </c:txPr>
        <c:crossAx val="217922944"/>
        <c:crosses val="autoZero"/>
      </c:ser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07532-0312-4707-B38A-6AB23AE1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31521</Words>
  <Characters>173371</Characters>
  <Application>Microsoft Office Word</Application>
  <DocSecurity>0</DocSecurity>
  <Lines>1444</Lines>
  <Paragraphs>408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204484</CharactersWithSpaces>
  <SharedDoc>false</SharedDoc>
  <HLinks>
    <vt:vector size="564" baseType="variant">
      <vt:variant>
        <vt:i4>7995477</vt:i4>
      </vt:variant>
      <vt:variant>
        <vt:i4>432</vt:i4>
      </vt:variant>
      <vt:variant>
        <vt:i4>0</vt:i4>
      </vt:variant>
      <vt:variant>
        <vt:i4>5</vt:i4>
      </vt:variant>
      <vt:variant>
        <vt:lpwstr>mailto:vincentkerema@yahoo.com</vt:lpwstr>
      </vt:variant>
      <vt:variant>
        <vt:lpwstr/>
      </vt:variant>
      <vt:variant>
        <vt:i4>6684743</vt:i4>
      </vt:variant>
      <vt:variant>
        <vt:i4>429</vt:i4>
      </vt:variant>
      <vt:variant>
        <vt:i4>0</vt:i4>
      </vt:variant>
      <vt:variant>
        <vt:i4>5</vt:i4>
      </vt:variant>
      <vt:variant>
        <vt:lpwstr>mailto:salyoul@yahoo.fr</vt:lpwstr>
      </vt:variant>
      <vt:variant>
        <vt:lpwstr/>
      </vt:variant>
      <vt:variant>
        <vt:i4>327723</vt:i4>
      </vt:variant>
      <vt:variant>
        <vt:i4>426</vt:i4>
      </vt:variant>
      <vt:variant>
        <vt:i4>0</vt:i4>
      </vt:variant>
      <vt:variant>
        <vt:i4>5</vt:i4>
      </vt:variant>
      <vt:variant>
        <vt:lpwstr>mailto:jcremiebre@gmail.com</vt:lpwstr>
      </vt:variant>
      <vt:variant>
        <vt:lpwstr/>
      </vt:variant>
      <vt:variant>
        <vt:i4>8323166</vt:i4>
      </vt:variant>
      <vt:variant>
        <vt:i4>423</vt:i4>
      </vt:variant>
      <vt:variant>
        <vt:i4>0</vt:i4>
      </vt:variant>
      <vt:variant>
        <vt:i4>5</vt:i4>
      </vt:variant>
      <vt:variant>
        <vt:lpwstr>mailto:saajeantolno@gmail.com</vt:lpwstr>
      </vt:variant>
      <vt:variant>
        <vt:lpwstr/>
      </vt:variant>
      <vt:variant>
        <vt:i4>1638436</vt:i4>
      </vt:variant>
      <vt:variant>
        <vt:i4>420</vt:i4>
      </vt:variant>
      <vt:variant>
        <vt:i4>0</vt:i4>
      </vt:variant>
      <vt:variant>
        <vt:i4>5</vt:i4>
      </vt:variant>
      <vt:variant>
        <vt:lpwstr>mailto:agnatomakamano@gmail.com</vt:lpwstr>
      </vt:variant>
      <vt:variant>
        <vt:lpwstr/>
      </vt:variant>
      <vt:variant>
        <vt:i4>917536</vt:i4>
      </vt:variant>
      <vt:variant>
        <vt:i4>417</vt:i4>
      </vt:variant>
      <vt:variant>
        <vt:i4>0</vt:i4>
      </vt:variant>
      <vt:variant>
        <vt:i4>5</vt:i4>
      </vt:variant>
      <vt:variant>
        <vt:lpwstr>mailto:millimounophilippe@gmail.com</vt:lpwstr>
      </vt:variant>
      <vt:variant>
        <vt:lpwstr/>
      </vt:variant>
      <vt:variant>
        <vt:i4>4063301</vt:i4>
      </vt:variant>
      <vt:variant>
        <vt:i4>414</vt:i4>
      </vt:variant>
      <vt:variant>
        <vt:i4>0</vt:i4>
      </vt:variant>
      <vt:variant>
        <vt:i4>5</vt:i4>
      </vt:variant>
      <vt:variant>
        <vt:lpwstr>mailto:fayakamano3@yahoo.fr</vt:lpwstr>
      </vt:variant>
      <vt:variant>
        <vt:lpwstr/>
      </vt:variant>
      <vt:variant>
        <vt:i4>786537</vt:i4>
      </vt:variant>
      <vt:variant>
        <vt:i4>411</vt:i4>
      </vt:variant>
      <vt:variant>
        <vt:i4>0</vt:i4>
      </vt:variant>
      <vt:variant>
        <vt:i4>5</vt:i4>
      </vt:variant>
      <vt:variant>
        <vt:lpwstr>mailto:627200033/fayakamano3@yahoo.fr</vt:lpwstr>
      </vt:variant>
      <vt:variant>
        <vt:lpwstr/>
      </vt:variant>
      <vt:variant>
        <vt:i4>7405661</vt:i4>
      </vt:variant>
      <vt:variant>
        <vt:i4>408</vt:i4>
      </vt:variant>
      <vt:variant>
        <vt:i4>0</vt:i4>
      </vt:variant>
      <vt:variant>
        <vt:i4>5</vt:i4>
      </vt:variant>
      <vt:variant>
        <vt:lpwstr>mailto:moustobay@gmail.com</vt:lpwstr>
      </vt:variant>
      <vt:variant>
        <vt:lpwstr/>
      </vt:variant>
      <vt:variant>
        <vt:i4>131111</vt:i4>
      </vt:variant>
      <vt:variant>
        <vt:i4>405</vt:i4>
      </vt:variant>
      <vt:variant>
        <vt:i4>0</vt:i4>
      </vt:variant>
      <vt:variant>
        <vt:i4>5</vt:i4>
      </vt:variant>
      <vt:variant>
        <vt:lpwstr>mailto:saajacquesleno@gmail.com</vt:lpwstr>
      </vt:variant>
      <vt:variant>
        <vt:lpwstr/>
      </vt:variant>
      <vt:variant>
        <vt:i4>655406</vt:i4>
      </vt:variant>
      <vt:variant>
        <vt:i4>402</vt:i4>
      </vt:variant>
      <vt:variant>
        <vt:i4>0</vt:i4>
      </vt:variant>
      <vt:variant>
        <vt:i4>5</vt:i4>
      </vt:variant>
      <vt:variant>
        <vt:lpwstr>mailto:alybadarabangus@gmail.com</vt:lpwstr>
      </vt:variant>
      <vt:variant>
        <vt:lpwstr/>
      </vt:variant>
      <vt:variant>
        <vt:i4>4784167</vt:i4>
      </vt:variant>
      <vt:variant>
        <vt:i4>399</vt:i4>
      </vt:variant>
      <vt:variant>
        <vt:i4>0</vt:i4>
      </vt:variant>
      <vt:variant>
        <vt:i4>5</vt:i4>
      </vt:variant>
      <vt:variant>
        <vt:lpwstr>mailto:mahmoud.conde@undp.org</vt:lpwstr>
      </vt:variant>
      <vt:variant>
        <vt:lpwstr/>
      </vt:variant>
      <vt:variant>
        <vt:i4>4915317</vt:i4>
      </vt:variant>
      <vt:variant>
        <vt:i4>396</vt:i4>
      </vt:variant>
      <vt:variant>
        <vt:i4>0</vt:i4>
      </vt:variant>
      <vt:variant>
        <vt:i4>5</vt:i4>
      </vt:variant>
      <vt:variant>
        <vt:lpwstr>mailto:628360305%20/mahmoud.conde@undp.org</vt:lpwstr>
      </vt:variant>
      <vt:variant>
        <vt:lpwstr/>
      </vt:variant>
      <vt:variant>
        <vt:i4>6029416</vt:i4>
      </vt:variant>
      <vt:variant>
        <vt:i4>393</vt:i4>
      </vt:variant>
      <vt:variant>
        <vt:i4>0</vt:i4>
      </vt:variant>
      <vt:variant>
        <vt:i4>5</vt:i4>
      </vt:variant>
      <vt:variant>
        <vt:lpwstr>mailto:analakourouma92@gmail.com</vt:lpwstr>
      </vt:variant>
      <vt:variant>
        <vt:lpwstr/>
      </vt:variant>
      <vt:variant>
        <vt:i4>4653102</vt:i4>
      </vt:variant>
      <vt:variant>
        <vt:i4>390</vt:i4>
      </vt:variant>
      <vt:variant>
        <vt:i4>0</vt:i4>
      </vt:variant>
      <vt:variant>
        <vt:i4>5</vt:i4>
      </vt:variant>
      <vt:variant>
        <vt:lpwstr>mailto:wassayah.kzupp@gmail.com</vt:lpwstr>
      </vt:variant>
      <vt:variant>
        <vt:lpwstr/>
      </vt:variant>
      <vt:variant>
        <vt:i4>7471170</vt:i4>
      </vt:variant>
      <vt:variant>
        <vt:i4>387</vt:i4>
      </vt:variant>
      <vt:variant>
        <vt:i4>0</vt:i4>
      </vt:variant>
      <vt:variant>
        <vt:i4>5</vt:i4>
      </vt:variant>
      <vt:variant>
        <vt:lpwstr>mailto:kondianodanieldounia@gmail.com</vt:lpwstr>
      </vt:variant>
      <vt:variant>
        <vt:lpwstr/>
      </vt:variant>
      <vt:variant>
        <vt:i4>327724</vt:i4>
      </vt:variant>
      <vt:variant>
        <vt:i4>384</vt:i4>
      </vt:variant>
      <vt:variant>
        <vt:i4>0</vt:i4>
      </vt:variant>
      <vt:variant>
        <vt:i4>5</vt:i4>
      </vt:variant>
      <vt:variant>
        <vt:lpwstr>mailto:fayabawakamano@gmail.com</vt:lpwstr>
      </vt:variant>
      <vt:variant>
        <vt:lpwstr/>
      </vt:variant>
      <vt:variant>
        <vt:i4>589856</vt:i4>
      </vt:variant>
      <vt:variant>
        <vt:i4>381</vt:i4>
      </vt:variant>
      <vt:variant>
        <vt:i4>0</vt:i4>
      </vt:variant>
      <vt:variant>
        <vt:i4>5</vt:i4>
      </vt:variant>
      <vt:variant>
        <vt:lpwstr>mailto:cecileleno@gmail.com</vt:lpwstr>
      </vt:variant>
      <vt:variant>
        <vt:lpwstr/>
      </vt:variant>
      <vt:variant>
        <vt:i4>2031661</vt:i4>
      </vt:variant>
      <vt:variant>
        <vt:i4>378</vt:i4>
      </vt:variant>
      <vt:variant>
        <vt:i4>0</vt:i4>
      </vt:variant>
      <vt:variant>
        <vt:i4>5</vt:i4>
      </vt:variant>
      <vt:variant>
        <vt:lpwstr>mailto:yandjisayon@gmail.com</vt:lpwstr>
      </vt:variant>
      <vt:variant>
        <vt:lpwstr/>
      </vt:variant>
      <vt:variant>
        <vt:i4>1245296</vt:i4>
      </vt:variant>
      <vt:variant>
        <vt:i4>375</vt:i4>
      </vt:variant>
      <vt:variant>
        <vt:i4>0</vt:i4>
      </vt:variant>
      <vt:variant>
        <vt:i4>5</vt:i4>
      </vt:variant>
      <vt:variant>
        <vt:lpwstr>mailto:joseph.kadouno@undp.org</vt:lpwstr>
      </vt:variant>
      <vt:variant>
        <vt:lpwstr/>
      </vt:variant>
      <vt:variant>
        <vt:i4>524347</vt:i4>
      </vt:variant>
      <vt:variant>
        <vt:i4>372</vt:i4>
      </vt:variant>
      <vt:variant>
        <vt:i4>0</vt:i4>
      </vt:variant>
      <vt:variant>
        <vt:i4>5</vt:i4>
      </vt:variant>
      <vt:variant>
        <vt:lpwstr>mailto:sowboye@gmail.com</vt:lpwstr>
      </vt:variant>
      <vt:variant>
        <vt:lpwstr/>
      </vt:variant>
      <vt:variant>
        <vt:i4>7667780</vt:i4>
      </vt:variant>
      <vt:variant>
        <vt:i4>369</vt:i4>
      </vt:variant>
      <vt:variant>
        <vt:i4>0</vt:i4>
      </vt:variant>
      <vt:variant>
        <vt:i4>5</vt:i4>
      </vt:variant>
      <vt:variant>
        <vt:lpwstr>mailto:fbintadiallo@gmail.com</vt:lpwstr>
      </vt:variant>
      <vt:variant>
        <vt:lpwstr/>
      </vt:variant>
      <vt:variant>
        <vt:i4>1638458</vt:i4>
      </vt:variant>
      <vt:variant>
        <vt:i4>366</vt:i4>
      </vt:variant>
      <vt:variant>
        <vt:i4>0</vt:i4>
      </vt:variant>
      <vt:variant>
        <vt:i4>5</vt:i4>
      </vt:variant>
      <vt:variant>
        <vt:lpwstr>mailto:evacrosdiakhaby@gmail.com</vt:lpwstr>
      </vt:variant>
      <vt:variant>
        <vt:lpwstr/>
      </vt:variant>
      <vt:variant>
        <vt:i4>2687067</vt:i4>
      </vt:variant>
      <vt:variant>
        <vt:i4>363</vt:i4>
      </vt:variant>
      <vt:variant>
        <vt:i4>0</vt:i4>
      </vt:variant>
      <vt:variant>
        <vt:i4>5</vt:i4>
      </vt:variant>
      <vt:variant>
        <vt:lpwstr>mailto:ambaldepride3@gmail.com</vt:lpwstr>
      </vt:variant>
      <vt:variant>
        <vt:lpwstr/>
      </vt:variant>
      <vt:variant>
        <vt:i4>65580</vt:i4>
      </vt:variant>
      <vt:variant>
        <vt:i4>360</vt:i4>
      </vt:variant>
      <vt:variant>
        <vt:i4>0</vt:i4>
      </vt:variant>
      <vt:variant>
        <vt:i4>5</vt:i4>
      </vt:variant>
      <vt:variant>
        <vt:lpwstr>mailto:djantoutraore@hotmail.com</vt:lpwstr>
      </vt:variant>
      <vt:variant>
        <vt:lpwstr/>
      </vt:variant>
      <vt:variant>
        <vt:i4>6422622</vt:i4>
      </vt:variant>
      <vt:variant>
        <vt:i4>357</vt:i4>
      </vt:variant>
      <vt:variant>
        <vt:i4>0</vt:i4>
      </vt:variant>
      <vt:variant>
        <vt:i4>5</vt:i4>
      </vt:variant>
      <vt:variant>
        <vt:lpwstr>mailto:hawabintadiallo@yahoo.fr</vt:lpwstr>
      </vt:variant>
      <vt:variant>
        <vt:lpwstr/>
      </vt:variant>
      <vt:variant>
        <vt:i4>262252</vt:i4>
      </vt:variant>
      <vt:variant>
        <vt:i4>354</vt:i4>
      </vt:variant>
      <vt:variant>
        <vt:i4>0</vt:i4>
      </vt:variant>
      <vt:variant>
        <vt:i4>5</vt:i4>
      </vt:variant>
      <vt:variant>
        <vt:lpwstr>mailto:dalokho2@hotmail.com</vt:lpwstr>
      </vt:variant>
      <vt:variant>
        <vt:lpwstr/>
      </vt:variant>
      <vt:variant>
        <vt:i4>3276806</vt:i4>
      </vt:variant>
      <vt:variant>
        <vt:i4>351</vt:i4>
      </vt:variant>
      <vt:variant>
        <vt:i4>0</vt:i4>
      </vt:variant>
      <vt:variant>
        <vt:i4>5</vt:i4>
      </vt:variant>
      <vt:variant>
        <vt:lpwstr>mailto:mabinta54@gmail.com</vt:lpwstr>
      </vt:variant>
      <vt:variant>
        <vt:lpwstr/>
      </vt:variant>
      <vt:variant>
        <vt:i4>1900647</vt:i4>
      </vt:variant>
      <vt:variant>
        <vt:i4>348</vt:i4>
      </vt:variant>
      <vt:variant>
        <vt:i4>0</vt:i4>
      </vt:variant>
      <vt:variant>
        <vt:i4>5</vt:i4>
      </vt:variant>
      <vt:variant>
        <vt:lpwstr>mailto:abdoul.haidara@undp.org</vt:lpwstr>
      </vt:variant>
      <vt:variant>
        <vt:lpwstr/>
      </vt:variant>
      <vt:variant>
        <vt:i4>6094883</vt:i4>
      </vt:variant>
      <vt:variant>
        <vt:i4>345</vt:i4>
      </vt:variant>
      <vt:variant>
        <vt:i4>0</vt:i4>
      </vt:variant>
      <vt:variant>
        <vt:i4>5</vt:i4>
      </vt:variant>
      <vt:variant>
        <vt:lpwstr>mailto:mariame.barry@undp.org</vt:lpwstr>
      </vt:variant>
      <vt:variant>
        <vt:lpwstr/>
      </vt:variant>
      <vt:variant>
        <vt:i4>5177382</vt:i4>
      </vt:variant>
      <vt:variant>
        <vt:i4>342</vt:i4>
      </vt:variant>
      <vt:variant>
        <vt:i4>0</vt:i4>
      </vt:variant>
      <vt:variant>
        <vt:i4>5</vt:i4>
      </vt:variant>
      <vt:variant>
        <vt:lpwstr>mailto:sylvain.ki@undp.org</vt:lpwstr>
      </vt:variant>
      <vt:variant>
        <vt:lpwstr/>
      </vt:variant>
      <vt:variant>
        <vt:i4>7667795</vt:i4>
      </vt:variant>
      <vt:variant>
        <vt:i4>339</vt:i4>
      </vt:variant>
      <vt:variant>
        <vt:i4>0</vt:i4>
      </vt:variant>
      <vt:variant>
        <vt:i4>5</vt:i4>
      </vt:variant>
      <vt:variant>
        <vt:lpwstr>mailto:kablito@yahoo.fr</vt:lpwstr>
      </vt:variant>
      <vt:variant>
        <vt:lpwstr/>
      </vt:variant>
      <vt:variant>
        <vt:i4>1572899</vt:i4>
      </vt:variant>
      <vt:variant>
        <vt:i4>336</vt:i4>
      </vt:variant>
      <vt:variant>
        <vt:i4>0</vt:i4>
      </vt:variant>
      <vt:variant>
        <vt:i4>5</vt:i4>
      </vt:variant>
      <vt:variant>
        <vt:lpwstr>mailto:cheick.santigui.camara@undp.org</vt:lpwstr>
      </vt:variant>
      <vt:variant>
        <vt:lpwstr/>
      </vt:variant>
      <vt:variant>
        <vt:i4>6291530</vt:i4>
      </vt:variant>
      <vt:variant>
        <vt:i4>333</vt:i4>
      </vt:variant>
      <vt:variant>
        <vt:i4>0</vt:i4>
      </vt:variant>
      <vt:variant>
        <vt:i4>5</vt:i4>
      </vt:variant>
      <vt:variant>
        <vt:lpwstr>mailto:bayoibro1963@gmail.com</vt:lpwstr>
      </vt:variant>
      <vt:variant>
        <vt:lpwstr/>
      </vt:variant>
      <vt:variant>
        <vt:i4>7667791</vt:i4>
      </vt:variant>
      <vt:variant>
        <vt:i4>330</vt:i4>
      </vt:variant>
      <vt:variant>
        <vt:i4>0</vt:i4>
      </vt:variant>
      <vt:variant>
        <vt:i4>5</vt:i4>
      </vt:variant>
      <vt:variant>
        <vt:lpwstr>mailto:bahmaadjou@hotmail.fr</vt:lpwstr>
      </vt:variant>
      <vt:variant>
        <vt:lpwstr/>
      </vt:variant>
      <vt:variant>
        <vt:i4>6750291</vt:i4>
      </vt:variant>
      <vt:variant>
        <vt:i4>327</vt:i4>
      </vt:variant>
      <vt:variant>
        <vt:i4>0</vt:i4>
      </vt:variant>
      <vt:variant>
        <vt:i4>5</vt:i4>
      </vt:variant>
      <vt:variant>
        <vt:lpwstr>mailto:mamadou.lamarana.diallo@undp.org</vt:lpwstr>
      </vt:variant>
      <vt:variant>
        <vt:lpwstr/>
      </vt:variant>
      <vt:variant>
        <vt:i4>983091</vt:i4>
      </vt:variant>
      <vt:variant>
        <vt:i4>324</vt:i4>
      </vt:variant>
      <vt:variant>
        <vt:i4>0</vt:i4>
      </vt:variant>
      <vt:variant>
        <vt:i4>5</vt:i4>
      </vt:variant>
      <vt:variant>
        <vt:lpwstr>mailto:mamadoukalidoudiallo@unp.org</vt:lpwstr>
      </vt:variant>
      <vt:variant>
        <vt:lpwstr/>
      </vt:variant>
      <vt:variant>
        <vt:i4>7602267</vt:i4>
      </vt:variant>
      <vt:variant>
        <vt:i4>321</vt:i4>
      </vt:variant>
      <vt:variant>
        <vt:i4>0</vt:i4>
      </vt:variant>
      <vt:variant>
        <vt:i4>5</vt:i4>
      </vt:variant>
      <vt:variant>
        <vt:lpwstr>mailto:kandebangoura@gmail.com</vt:lpwstr>
      </vt:variant>
      <vt:variant>
        <vt:lpwstr/>
      </vt:variant>
      <vt:variant>
        <vt:i4>5767218</vt:i4>
      </vt:variant>
      <vt:variant>
        <vt:i4>318</vt:i4>
      </vt:variant>
      <vt:variant>
        <vt:i4>0</vt:i4>
      </vt:variant>
      <vt:variant>
        <vt:i4>5</vt:i4>
      </vt:variant>
      <vt:variant>
        <vt:lpwstr>mailto:ousmane.bocoum@undp.org</vt:lpwstr>
      </vt:variant>
      <vt:variant>
        <vt:lpwstr/>
      </vt:variant>
      <vt:variant>
        <vt:i4>4128833</vt:i4>
      </vt:variant>
      <vt:variant>
        <vt:i4>315</vt:i4>
      </vt:variant>
      <vt:variant>
        <vt:i4>0</vt:i4>
      </vt:variant>
      <vt:variant>
        <vt:i4>5</vt:i4>
      </vt:variant>
      <vt:variant>
        <vt:lpwstr>mailto:aboubacar.youla@undp.org</vt:lpwstr>
      </vt:variant>
      <vt:variant>
        <vt:lpwstr/>
      </vt:variant>
      <vt:variant>
        <vt:i4>6291530</vt:i4>
      </vt:variant>
      <vt:variant>
        <vt:i4>312</vt:i4>
      </vt:variant>
      <vt:variant>
        <vt:i4>0</vt:i4>
      </vt:variant>
      <vt:variant>
        <vt:i4>5</vt:i4>
      </vt:variant>
      <vt:variant>
        <vt:lpwstr>mailto:mamadou.cire.camara@undp.org</vt:lpwstr>
      </vt:variant>
      <vt:variant>
        <vt:lpwstr/>
      </vt:variant>
      <vt:variant>
        <vt:i4>1835047</vt:i4>
      </vt:variant>
      <vt:variant>
        <vt:i4>309</vt:i4>
      </vt:variant>
      <vt:variant>
        <vt:i4>0</vt:i4>
      </vt:variant>
      <vt:variant>
        <vt:i4>5</vt:i4>
      </vt:variant>
      <vt:variant>
        <vt:lpwstr>mailto:camaraselly@gmail.com</vt:lpwstr>
      </vt:variant>
      <vt:variant>
        <vt:lpwstr/>
      </vt:variant>
      <vt:variant>
        <vt:i4>2883671</vt:i4>
      </vt:variant>
      <vt:variant>
        <vt:i4>306</vt:i4>
      </vt:variant>
      <vt:variant>
        <vt:i4>0</vt:i4>
      </vt:variant>
      <vt:variant>
        <vt:i4>5</vt:i4>
      </vt:variant>
      <vt:variant>
        <vt:lpwstr>mailto:aboubacar.sylla@undp.org</vt:lpwstr>
      </vt:variant>
      <vt:variant>
        <vt:lpwstr/>
      </vt:variant>
      <vt:variant>
        <vt:i4>3407874</vt:i4>
      </vt:variant>
      <vt:variant>
        <vt:i4>303</vt:i4>
      </vt:variant>
      <vt:variant>
        <vt:i4>0</vt:i4>
      </vt:variant>
      <vt:variant>
        <vt:i4>5</vt:i4>
      </vt:variant>
      <vt:variant>
        <vt:lpwstr>mailto:eloi.kouadio.iv@undp.org</vt:lpwstr>
      </vt:variant>
      <vt:variant>
        <vt:lpwstr/>
      </vt:variant>
      <vt:variant>
        <vt:i4>1638448</vt:i4>
      </vt:variant>
      <vt:variant>
        <vt:i4>296</vt:i4>
      </vt:variant>
      <vt:variant>
        <vt:i4>0</vt:i4>
      </vt:variant>
      <vt:variant>
        <vt:i4>5</vt:i4>
      </vt:variant>
      <vt:variant>
        <vt:lpwstr/>
      </vt:variant>
      <vt:variant>
        <vt:lpwstr>_Toc466626088</vt:lpwstr>
      </vt:variant>
      <vt:variant>
        <vt:i4>1638448</vt:i4>
      </vt:variant>
      <vt:variant>
        <vt:i4>290</vt:i4>
      </vt:variant>
      <vt:variant>
        <vt:i4>0</vt:i4>
      </vt:variant>
      <vt:variant>
        <vt:i4>5</vt:i4>
      </vt:variant>
      <vt:variant>
        <vt:lpwstr/>
      </vt:variant>
      <vt:variant>
        <vt:lpwstr>_Toc466626086</vt:lpwstr>
      </vt:variant>
      <vt:variant>
        <vt:i4>1638448</vt:i4>
      </vt:variant>
      <vt:variant>
        <vt:i4>284</vt:i4>
      </vt:variant>
      <vt:variant>
        <vt:i4>0</vt:i4>
      </vt:variant>
      <vt:variant>
        <vt:i4>5</vt:i4>
      </vt:variant>
      <vt:variant>
        <vt:lpwstr/>
      </vt:variant>
      <vt:variant>
        <vt:lpwstr>_Toc466626085</vt:lpwstr>
      </vt:variant>
      <vt:variant>
        <vt:i4>1638448</vt:i4>
      </vt:variant>
      <vt:variant>
        <vt:i4>278</vt:i4>
      </vt:variant>
      <vt:variant>
        <vt:i4>0</vt:i4>
      </vt:variant>
      <vt:variant>
        <vt:i4>5</vt:i4>
      </vt:variant>
      <vt:variant>
        <vt:lpwstr/>
      </vt:variant>
      <vt:variant>
        <vt:lpwstr>_Toc466626084</vt:lpwstr>
      </vt:variant>
      <vt:variant>
        <vt:i4>1638448</vt:i4>
      </vt:variant>
      <vt:variant>
        <vt:i4>272</vt:i4>
      </vt:variant>
      <vt:variant>
        <vt:i4>0</vt:i4>
      </vt:variant>
      <vt:variant>
        <vt:i4>5</vt:i4>
      </vt:variant>
      <vt:variant>
        <vt:lpwstr/>
      </vt:variant>
      <vt:variant>
        <vt:lpwstr>_Toc466626083</vt:lpwstr>
      </vt:variant>
      <vt:variant>
        <vt:i4>1638448</vt:i4>
      </vt:variant>
      <vt:variant>
        <vt:i4>266</vt:i4>
      </vt:variant>
      <vt:variant>
        <vt:i4>0</vt:i4>
      </vt:variant>
      <vt:variant>
        <vt:i4>5</vt:i4>
      </vt:variant>
      <vt:variant>
        <vt:lpwstr/>
      </vt:variant>
      <vt:variant>
        <vt:lpwstr>_Toc466626082</vt:lpwstr>
      </vt:variant>
      <vt:variant>
        <vt:i4>1638448</vt:i4>
      </vt:variant>
      <vt:variant>
        <vt:i4>260</vt:i4>
      </vt:variant>
      <vt:variant>
        <vt:i4>0</vt:i4>
      </vt:variant>
      <vt:variant>
        <vt:i4>5</vt:i4>
      </vt:variant>
      <vt:variant>
        <vt:lpwstr/>
      </vt:variant>
      <vt:variant>
        <vt:lpwstr>_Toc466626081</vt:lpwstr>
      </vt:variant>
      <vt:variant>
        <vt:i4>1638448</vt:i4>
      </vt:variant>
      <vt:variant>
        <vt:i4>254</vt:i4>
      </vt:variant>
      <vt:variant>
        <vt:i4>0</vt:i4>
      </vt:variant>
      <vt:variant>
        <vt:i4>5</vt:i4>
      </vt:variant>
      <vt:variant>
        <vt:lpwstr/>
      </vt:variant>
      <vt:variant>
        <vt:lpwstr>_Toc466626080</vt:lpwstr>
      </vt:variant>
      <vt:variant>
        <vt:i4>1441840</vt:i4>
      </vt:variant>
      <vt:variant>
        <vt:i4>248</vt:i4>
      </vt:variant>
      <vt:variant>
        <vt:i4>0</vt:i4>
      </vt:variant>
      <vt:variant>
        <vt:i4>5</vt:i4>
      </vt:variant>
      <vt:variant>
        <vt:lpwstr/>
      </vt:variant>
      <vt:variant>
        <vt:lpwstr>_Toc466626079</vt:lpwstr>
      </vt:variant>
      <vt:variant>
        <vt:i4>1441840</vt:i4>
      </vt:variant>
      <vt:variant>
        <vt:i4>242</vt:i4>
      </vt:variant>
      <vt:variant>
        <vt:i4>0</vt:i4>
      </vt:variant>
      <vt:variant>
        <vt:i4>5</vt:i4>
      </vt:variant>
      <vt:variant>
        <vt:lpwstr/>
      </vt:variant>
      <vt:variant>
        <vt:lpwstr>_Toc466626078</vt:lpwstr>
      </vt:variant>
      <vt:variant>
        <vt:i4>1441840</vt:i4>
      </vt:variant>
      <vt:variant>
        <vt:i4>236</vt:i4>
      </vt:variant>
      <vt:variant>
        <vt:i4>0</vt:i4>
      </vt:variant>
      <vt:variant>
        <vt:i4>5</vt:i4>
      </vt:variant>
      <vt:variant>
        <vt:lpwstr/>
      </vt:variant>
      <vt:variant>
        <vt:lpwstr>_Toc466626077</vt:lpwstr>
      </vt:variant>
      <vt:variant>
        <vt:i4>1441840</vt:i4>
      </vt:variant>
      <vt:variant>
        <vt:i4>230</vt:i4>
      </vt:variant>
      <vt:variant>
        <vt:i4>0</vt:i4>
      </vt:variant>
      <vt:variant>
        <vt:i4>5</vt:i4>
      </vt:variant>
      <vt:variant>
        <vt:lpwstr/>
      </vt:variant>
      <vt:variant>
        <vt:lpwstr>_Toc466626076</vt:lpwstr>
      </vt:variant>
      <vt:variant>
        <vt:i4>1441840</vt:i4>
      </vt:variant>
      <vt:variant>
        <vt:i4>224</vt:i4>
      </vt:variant>
      <vt:variant>
        <vt:i4>0</vt:i4>
      </vt:variant>
      <vt:variant>
        <vt:i4>5</vt:i4>
      </vt:variant>
      <vt:variant>
        <vt:lpwstr/>
      </vt:variant>
      <vt:variant>
        <vt:lpwstr>_Toc466626075</vt:lpwstr>
      </vt:variant>
      <vt:variant>
        <vt:i4>1441840</vt:i4>
      </vt:variant>
      <vt:variant>
        <vt:i4>218</vt:i4>
      </vt:variant>
      <vt:variant>
        <vt:i4>0</vt:i4>
      </vt:variant>
      <vt:variant>
        <vt:i4>5</vt:i4>
      </vt:variant>
      <vt:variant>
        <vt:lpwstr/>
      </vt:variant>
      <vt:variant>
        <vt:lpwstr>_Toc466626074</vt:lpwstr>
      </vt:variant>
      <vt:variant>
        <vt:i4>1441840</vt:i4>
      </vt:variant>
      <vt:variant>
        <vt:i4>212</vt:i4>
      </vt:variant>
      <vt:variant>
        <vt:i4>0</vt:i4>
      </vt:variant>
      <vt:variant>
        <vt:i4>5</vt:i4>
      </vt:variant>
      <vt:variant>
        <vt:lpwstr/>
      </vt:variant>
      <vt:variant>
        <vt:lpwstr>_Toc466626073</vt:lpwstr>
      </vt:variant>
      <vt:variant>
        <vt:i4>1441840</vt:i4>
      </vt:variant>
      <vt:variant>
        <vt:i4>206</vt:i4>
      </vt:variant>
      <vt:variant>
        <vt:i4>0</vt:i4>
      </vt:variant>
      <vt:variant>
        <vt:i4>5</vt:i4>
      </vt:variant>
      <vt:variant>
        <vt:lpwstr/>
      </vt:variant>
      <vt:variant>
        <vt:lpwstr>_Toc466626072</vt:lpwstr>
      </vt:variant>
      <vt:variant>
        <vt:i4>1441840</vt:i4>
      </vt:variant>
      <vt:variant>
        <vt:i4>200</vt:i4>
      </vt:variant>
      <vt:variant>
        <vt:i4>0</vt:i4>
      </vt:variant>
      <vt:variant>
        <vt:i4>5</vt:i4>
      </vt:variant>
      <vt:variant>
        <vt:lpwstr/>
      </vt:variant>
      <vt:variant>
        <vt:lpwstr>_Toc466626071</vt:lpwstr>
      </vt:variant>
      <vt:variant>
        <vt:i4>1441840</vt:i4>
      </vt:variant>
      <vt:variant>
        <vt:i4>194</vt:i4>
      </vt:variant>
      <vt:variant>
        <vt:i4>0</vt:i4>
      </vt:variant>
      <vt:variant>
        <vt:i4>5</vt:i4>
      </vt:variant>
      <vt:variant>
        <vt:lpwstr/>
      </vt:variant>
      <vt:variant>
        <vt:lpwstr>_Toc466626070</vt:lpwstr>
      </vt:variant>
      <vt:variant>
        <vt:i4>1507376</vt:i4>
      </vt:variant>
      <vt:variant>
        <vt:i4>188</vt:i4>
      </vt:variant>
      <vt:variant>
        <vt:i4>0</vt:i4>
      </vt:variant>
      <vt:variant>
        <vt:i4>5</vt:i4>
      </vt:variant>
      <vt:variant>
        <vt:lpwstr/>
      </vt:variant>
      <vt:variant>
        <vt:lpwstr>_Toc466626069</vt:lpwstr>
      </vt:variant>
      <vt:variant>
        <vt:i4>1507376</vt:i4>
      </vt:variant>
      <vt:variant>
        <vt:i4>182</vt:i4>
      </vt:variant>
      <vt:variant>
        <vt:i4>0</vt:i4>
      </vt:variant>
      <vt:variant>
        <vt:i4>5</vt:i4>
      </vt:variant>
      <vt:variant>
        <vt:lpwstr/>
      </vt:variant>
      <vt:variant>
        <vt:lpwstr>_Toc466626068</vt:lpwstr>
      </vt:variant>
      <vt:variant>
        <vt:i4>1507376</vt:i4>
      </vt:variant>
      <vt:variant>
        <vt:i4>176</vt:i4>
      </vt:variant>
      <vt:variant>
        <vt:i4>0</vt:i4>
      </vt:variant>
      <vt:variant>
        <vt:i4>5</vt:i4>
      </vt:variant>
      <vt:variant>
        <vt:lpwstr/>
      </vt:variant>
      <vt:variant>
        <vt:lpwstr>_Toc466626067</vt:lpwstr>
      </vt:variant>
      <vt:variant>
        <vt:i4>1507376</vt:i4>
      </vt:variant>
      <vt:variant>
        <vt:i4>170</vt:i4>
      </vt:variant>
      <vt:variant>
        <vt:i4>0</vt:i4>
      </vt:variant>
      <vt:variant>
        <vt:i4>5</vt:i4>
      </vt:variant>
      <vt:variant>
        <vt:lpwstr/>
      </vt:variant>
      <vt:variant>
        <vt:lpwstr>_Toc466626066</vt:lpwstr>
      </vt:variant>
      <vt:variant>
        <vt:i4>1507376</vt:i4>
      </vt:variant>
      <vt:variant>
        <vt:i4>164</vt:i4>
      </vt:variant>
      <vt:variant>
        <vt:i4>0</vt:i4>
      </vt:variant>
      <vt:variant>
        <vt:i4>5</vt:i4>
      </vt:variant>
      <vt:variant>
        <vt:lpwstr/>
      </vt:variant>
      <vt:variant>
        <vt:lpwstr>_Toc466626065</vt:lpwstr>
      </vt:variant>
      <vt:variant>
        <vt:i4>1507376</vt:i4>
      </vt:variant>
      <vt:variant>
        <vt:i4>158</vt:i4>
      </vt:variant>
      <vt:variant>
        <vt:i4>0</vt:i4>
      </vt:variant>
      <vt:variant>
        <vt:i4>5</vt:i4>
      </vt:variant>
      <vt:variant>
        <vt:lpwstr/>
      </vt:variant>
      <vt:variant>
        <vt:lpwstr>_Toc466626064</vt:lpwstr>
      </vt:variant>
      <vt:variant>
        <vt:i4>1507376</vt:i4>
      </vt:variant>
      <vt:variant>
        <vt:i4>152</vt:i4>
      </vt:variant>
      <vt:variant>
        <vt:i4>0</vt:i4>
      </vt:variant>
      <vt:variant>
        <vt:i4>5</vt:i4>
      </vt:variant>
      <vt:variant>
        <vt:lpwstr/>
      </vt:variant>
      <vt:variant>
        <vt:lpwstr>_Toc466626063</vt:lpwstr>
      </vt:variant>
      <vt:variant>
        <vt:i4>1507376</vt:i4>
      </vt:variant>
      <vt:variant>
        <vt:i4>146</vt:i4>
      </vt:variant>
      <vt:variant>
        <vt:i4>0</vt:i4>
      </vt:variant>
      <vt:variant>
        <vt:i4>5</vt:i4>
      </vt:variant>
      <vt:variant>
        <vt:lpwstr/>
      </vt:variant>
      <vt:variant>
        <vt:lpwstr>_Toc466626062</vt:lpwstr>
      </vt:variant>
      <vt:variant>
        <vt:i4>1507376</vt:i4>
      </vt:variant>
      <vt:variant>
        <vt:i4>140</vt:i4>
      </vt:variant>
      <vt:variant>
        <vt:i4>0</vt:i4>
      </vt:variant>
      <vt:variant>
        <vt:i4>5</vt:i4>
      </vt:variant>
      <vt:variant>
        <vt:lpwstr/>
      </vt:variant>
      <vt:variant>
        <vt:lpwstr>_Toc466626061</vt:lpwstr>
      </vt:variant>
      <vt:variant>
        <vt:i4>1507376</vt:i4>
      </vt:variant>
      <vt:variant>
        <vt:i4>134</vt:i4>
      </vt:variant>
      <vt:variant>
        <vt:i4>0</vt:i4>
      </vt:variant>
      <vt:variant>
        <vt:i4>5</vt:i4>
      </vt:variant>
      <vt:variant>
        <vt:lpwstr/>
      </vt:variant>
      <vt:variant>
        <vt:lpwstr>_Toc466626060</vt:lpwstr>
      </vt:variant>
      <vt:variant>
        <vt:i4>1310768</vt:i4>
      </vt:variant>
      <vt:variant>
        <vt:i4>128</vt:i4>
      </vt:variant>
      <vt:variant>
        <vt:i4>0</vt:i4>
      </vt:variant>
      <vt:variant>
        <vt:i4>5</vt:i4>
      </vt:variant>
      <vt:variant>
        <vt:lpwstr/>
      </vt:variant>
      <vt:variant>
        <vt:lpwstr>_Toc466626059</vt:lpwstr>
      </vt:variant>
      <vt:variant>
        <vt:i4>1310768</vt:i4>
      </vt:variant>
      <vt:variant>
        <vt:i4>122</vt:i4>
      </vt:variant>
      <vt:variant>
        <vt:i4>0</vt:i4>
      </vt:variant>
      <vt:variant>
        <vt:i4>5</vt:i4>
      </vt:variant>
      <vt:variant>
        <vt:lpwstr/>
      </vt:variant>
      <vt:variant>
        <vt:lpwstr>_Toc466626058</vt:lpwstr>
      </vt:variant>
      <vt:variant>
        <vt:i4>1310768</vt:i4>
      </vt:variant>
      <vt:variant>
        <vt:i4>116</vt:i4>
      </vt:variant>
      <vt:variant>
        <vt:i4>0</vt:i4>
      </vt:variant>
      <vt:variant>
        <vt:i4>5</vt:i4>
      </vt:variant>
      <vt:variant>
        <vt:lpwstr/>
      </vt:variant>
      <vt:variant>
        <vt:lpwstr>_Toc466626057</vt:lpwstr>
      </vt:variant>
      <vt:variant>
        <vt:i4>1310768</vt:i4>
      </vt:variant>
      <vt:variant>
        <vt:i4>110</vt:i4>
      </vt:variant>
      <vt:variant>
        <vt:i4>0</vt:i4>
      </vt:variant>
      <vt:variant>
        <vt:i4>5</vt:i4>
      </vt:variant>
      <vt:variant>
        <vt:lpwstr/>
      </vt:variant>
      <vt:variant>
        <vt:lpwstr>_Toc466626056</vt:lpwstr>
      </vt:variant>
      <vt:variant>
        <vt:i4>1310768</vt:i4>
      </vt:variant>
      <vt:variant>
        <vt:i4>104</vt:i4>
      </vt:variant>
      <vt:variant>
        <vt:i4>0</vt:i4>
      </vt:variant>
      <vt:variant>
        <vt:i4>5</vt:i4>
      </vt:variant>
      <vt:variant>
        <vt:lpwstr/>
      </vt:variant>
      <vt:variant>
        <vt:lpwstr>_Toc466626055</vt:lpwstr>
      </vt:variant>
      <vt:variant>
        <vt:i4>1310768</vt:i4>
      </vt:variant>
      <vt:variant>
        <vt:i4>98</vt:i4>
      </vt:variant>
      <vt:variant>
        <vt:i4>0</vt:i4>
      </vt:variant>
      <vt:variant>
        <vt:i4>5</vt:i4>
      </vt:variant>
      <vt:variant>
        <vt:lpwstr/>
      </vt:variant>
      <vt:variant>
        <vt:lpwstr>_Toc466626054</vt:lpwstr>
      </vt:variant>
      <vt:variant>
        <vt:i4>1310768</vt:i4>
      </vt:variant>
      <vt:variant>
        <vt:i4>92</vt:i4>
      </vt:variant>
      <vt:variant>
        <vt:i4>0</vt:i4>
      </vt:variant>
      <vt:variant>
        <vt:i4>5</vt:i4>
      </vt:variant>
      <vt:variant>
        <vt:lpwstr/>
      </vt:variant>
      <vt:variant>
        <vt:lpwstr>_Toc466626053</vt:lpwstr>
      </vt:variant>
      <vt:variant>
        <vt:i4>1310768</vt:i4>
      </vt:variant>
      <vt:variant>
        <vt:i4>86</vt:i4>
      </vt:variant>
      <vt:variant>
        <vt:i4>0</vt:i4>
      </vt:variant>
      <vt:variant>
        <vt:i4>5</vt:i4>
      </vt:variant>
      <vt:variant>
        <vt:lpwstr/>
      </vt:variant>
      <vt:variant>
        <vt:lpwstr>_Toc466626052</vt:lpwstr>
      </vt:variant>
      <vt:variant>
        <vt:i4>1310768</vt:i4>
      </vt:variant>
      <vt:variant>
        <vt:i4>80</vt:i4>
      </vt:variant>
      <vt:variant>
        <vt:i4>0</vt:i4>
      </vt:variant>
      <vt:variant>
        <vt:i4>5</vt:i4>
      </vt:variant>
      <vt:variant>
        <vt:lpwstr/>
      </vt:variant>
      <vt:variant>
        <vt:lpwstr>_Toc466626051</vt:lpwstr>
      </vt:variant>
      <vt:variant>
        <vt:i4>1310768</vt:i4>
      </vt:variant>
      <vt:variant>
        <vt:i4>74</vt:i4>
      </vt:variant>
      <vt:variant>
        <vt:i4>0</vt:i4>
      </vt:variant>
      <vt:variant>
        <vt:i4>5</vt:i4>
      </vt:variant>
      <vt:variant>
        <vt:lpwstr/>
      </vt:variant>
      <vt:variant>
        <vt:lpwstr>_Toc466626050</vt:lpwstr>
      </vt:variant>
      <vt:variant>
        <vt:i4>1376304</vt:i4>
      </vt:variant>
      <vt:variant>
        <vt:i4>68</vt:i4>
      </vt:variant>
      <vt:variant>
        <vt:i4>0</vt:i4>
      </vt:variant>
      <vt:variant>
        <vt:i4>5</vt:i4>
      </vt:variant>
      <vt:variant>
        <vt:lpwstr/>
      </vt:variant>
      <vt:variant>
        <vt:lpwstr>_Toc466626049</vt:lpwstr>
      </vt:variant>
      <vt:variant>
        <vt:i4>1376304</vt:i4>
      </vt:variant>
      <vt:variant>
        <vt:i4>62</vt:i4>
      </vt:variant>
      <vt:variant>
        <vt:i4>0</vt:i4>
      </vt:variant>
      <vt:variant>
        <vt:i4>5</vt:i4>
      </vt:variant>
      <vt:variant>
        <vt:lpwstr/>
      </vt:variant>
      <vt:variant>
        <vt:lpwstr>_Toc466626048</vt:lpwstr>
      </vt:variant>
      <vt:variant>
        <vt:i4>1376304</vt:i4>
      </vt:variant>
      <vt:variant>
        <vt:i4>56</vt:i4>
      </vt:variant>
      <vt:variant>
        <vt:i4>0</vt:i4>
      </vt:variant>
      <vt:variant>
        <vt:i4>5</vt:i4>
      </vt:variant>
      <vt:variant>
        <vt:lpwstr/>
      </vt:variant>
      <vt:variant>
        <vt:lpwstr>_Toc466626047</vt:lpwstr>
      </vt:variant>
      <vt:variant>
        <vt:i4>1376304</vt:i4>
      </vt:variant>
      <vt:variant>
        <vt:i4>50</vt:i4>
      </vt:variant>
      <vt:variant>
        <vt:i4>0</vt:i4>
      </vt:variant>
      <vt:variant>
        <vt:i4>5</vt:i4>
      </vt:variant>
      <vt:variant>
        <vt:lpwstr/>
      </vt:variant>
      <vt:variant>
        <vt:lpwstr>_Toc466626046</vt:lpwstr>
      </vt:variant>
      <vt:variant>
        <vt:i4>1376304</vt:i4>
      </vt:variant>
      <vt:variant>
        <vt:i4>44</vt:i4>
      </vt:variant>
      <vt:variant>
        <vt:i4>0</vt:i4>
      </vt:variant>
      <vt:variant>
        <vt:i4>5</vt:i4>
      </vt:variant>
      <vt:variant>
        <vt:lpwstr/>
      </vt:variant>
      <vt:variant>
        <vt:lpwstr>_Toc466626045</vt:lpwstr>
      </vt:variant>
      <vt:variant>
        <vt:i4>1376304</vt:i4>
      </vt:variant>
      <vt:variant>
        <vt:i4>38</vt:i4>
      </vt:variant>
      <vt:variant>
        <vt:i4>0</vt:i4>
      </vt:variant>
      <vt:variant>
        <vt:i4>5</vt:i4>
      </vt:variant>
      <vt:variant>
        <vt:lpwstr/>
      </vt:variant>
      <vt:variant>
        <vt:lpwstr>_Toc466626044</vt:lpwstr>
      </vt:variant>
      <vt:variant>
        <vt:i4>1376304</vt:i4>
      </vt:variant>
      <vt:variant>
        <vt:i4>32</vt:i4>
      </vt:variant>
      <vt:variant>
        <vt:i4>0</vt:i4>
      </vt:variant>
      <vt:variant>
        <vt:i4>5</vt:i4>
      </vt:variant>
      <vt:variant>
        <vt:lpwstr/>
      </vt:variant>
      <vt:variant>
        <vt:lpwstr>_Toc466626043</vt:lpwstr>
      </vt:variant>
      <vt:variant>
        <vt:i4>1376304</vt:i4>
      </vt:variant>
      <vt:variant>
        <vt:i4>26</vt:i4>
      </vt:variant>
      <vt:variant>
        <vt:i4>0</vt:i4>
      </vt:variant>
      <vt:variant>
        <vt:i4>5</vt:i4>
      </vt:variant>
      <vt:variant>
        <vt:lpwstr/>
      </vt:variant>
      <vt:variant>
        <vt:lpwstr>_Toc466626042</vt:lpwstr>
      </vt:variant>
      <vt:variant>
        <vt:i4>1376304</vt:i4>
      </vt:variant>
      <vt:variant>
        <vt:i4>20</vt:i4>
      </vt:variant>
      <vt:variant>
        <vt:i4>0</vt:i4>
      </vt:variant>
      <vt:variant>
        <vt:i4>5</vt:i4>
      </vt:variant>
      <vt:variant>
        <vt:lpwstr/>
      </vt:variant>
      <vt:variant>
        <vt:lpwstr>_Toc466626041</vt:lpwstr>
      </vt:variant>
      <vt:variant>
        <vt:i4>1376304</vt:i4>
      </vt:variant>
      <vt:variant>
        <vt:i4>14</vt:i4>
      </vt:variant>
      <vt:variant>
        <vt:i4>0</vt:i4>
      </vt:variant>
      <vt:variant>
        <vt:i4>5</vt:i4>
      </vt:variant>
      <vt:variant>
        <vt:lpwstr/>
      </vt:variant>
      <vt:variant>
        <vt:lpwstr>_Toc466626040</vt:lpwstr>
      </vt:variant>
      <vt:variant>
        <vt:i4>1179696</vt:i4>
      </vt:variant>
      <vt:variant>
        <vt:i4>8</vt:i4>
      </vt:variant>
      <vt:variant>
        <vt:i4>0</vt:i4>
      </vt:variant>
      <vt:variant>
        <vt:i4>5</vt:i4>
      </vt:variant>
      <vt:variant>
        <vt:lpwstr/>
      </vt:variant>
      <vt:variant>
        <vt:lpwstr>_Toc466626039</vt:lpwstr>
      </vt:variant>
      <vt:variant>
        <vt:i4>1179696</vt:i4>
      </vt:variant>
      <vt:variant>
        <vt:i4>2</vt:i4>
      </vt:variant>
      <vt:variant>
        <vt:i4>0</vt:i4>
      </vt:variant>
      <vt:variant>
        <vt:i4>5</vt:i4>
      </vt:variant>
      <vt:variant>
        <vt:lpwstr/>
      </vt:variant>
      <vt:variant>
        <vt:lpwstr>_Toc466626038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ordinateur</dc:creator>
  <cp:keywords/>
  <dc:description/>
  <cp:lastModifiedBy>Safia Guindo</cp:lastModifiedBy>
  <cp:revision>2</cp:revision>
  <cp:lastPrinted>2015-10-01T12:38:00Z</cp:lastPrinted>
  <dcterms:created xsi:type="dcterms:W3CDTF">2018-08-24T22:18:00Z</dcterms:created>
  <dcterms:modified xsi:type="dcterms:W3CDTF">2018-08-24T22:18:00Z</dcterms:modified>
</cp:coreProperties>
</file>