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7D3" w:rsidRPr="001867D3" w:rsidRDefault="000225DB" w:rsidP="005B22B2">
      <w:pPr>
        <w:spacing w:after="0" w:line="240" w:lineRule="auto"/>
        <w:rPr>
          <w:rFonts w:ascii="Times New Roman" w:hAnsi="Times New Roman"/>
          <w:b/>
          <w:bCs/>
          <w:sz w:val="28"/>
          <w:szCs w:val="28"/>
        </w:rPr>
      </w:pPr>
      <w:bookmarkStart w:id="0" w:name="_Toc355533880"/>
      <w:bookmarkStart w:id="1" w:name="_GoBack"/>
      <w:bookmarkEnd w:id="1"/>
      <w:r>
        <w:rPr>
          <w:rFonts w:ascii="Times New Roman" w:hAnsi="Times New Roman"/>
          <w:b/>
          <w:noProof/>
          <w:sz w:val="28"/>
          <w:szCs w:val="28"/>
        </w:rPr>
        <mc:AlternateContent>
          <mc:Choice Requires="wps">
            <w:drawing>
              <wp:anchor distT="0" distB="0" distL="114300" distR="114300" simplePos="0" relativeHeight="251667968" behindDoc="0" locked="0" layoutInCell="1" allowOverlap="1">
                <wp:simplePos x="0" y="0"/>
                <wp:positionH relativeFrom="column">
                  <wp:posOffset>337820</wp:posOffset>
                </wp:positionH>
                <wp:positionV relativeFrom="paragraph">
                  <wp:posOffset>3489960</wp:posOffset>
                </wp:positionV>
                <wp:extent cx="5267325" cy="2178685"/>
                <wp:effectExtent l="0" t="0" r="9525"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178685"/>
                        </a:xfrm>
                        <a:prstGeom prst="rect">
                          <a:avLst/>
                        </a:prstGeom>
                        <a:solidFill>
                          <a:srgbClr val="FFFFFF"/>
                        </a:solidFill>
                        <a:ln w="9525">
                          <a:solidFill>
                            <a:srgbClr val="000000"/>
                          </a:solidFill>
                          <a:miter lim="800000"/>
                          <a:headEnd/>
                          <a:tailEnd/>
                        </a:ln>
                      </wps:spPr>
                      <wps:txbx>
                        <w:txbxContent>
                          <w:p w:rsidR="00467258" w:rsidRDefault="00467258" w:rsidP="001867D3">
                            <w:pPr>
                              <w:spacing w:after="0" w:line="240" w:lineRule="auto"/>
                              <w:jc w:val="center"/>
                              <w:rPr>
                                <w:rFonts w:ascii="Arial Black" w:hAnsi="Arial Black" w:cs="Arial"/>
                                <w:b/>
                                <w:sz w:val="28"/>
                                <w:szCs w:val="28"/>
                              </w:rPr>
                            </w:pPr>
                            <w:r w:rsidRPr="00D877C0">
                              <w:rPr>
                                <w:rFonts w:ascii="Arial Black" w:hAnsi="Arial Black" w:cs="Arial"/>
                                <w:b/>
                                <w:sz w:val="28"/>
                                <w:szCs w:val="28"/>
                              </w:rPr>
                              <w:t xml:space="preserve">EVALUATION </w:t>
                            </w:r>
                            <w:r>
                              <w:rPr>
                                <w:rFonts w:ascii="Arial Black" w:hAnsi="Arial Black" w:cs="Arial"/>
                                <w:b/>
                                <w:sz w:val="28"/>
                                <w:szCs w:val="28"/>
                              </w:rPr>
                              <w:t>A MI-PARCOURS UNDAF</w:t>
                            </w:r>
                            <w:r w:rsidRPr="00DD0ADE">
                              <w:rPr>
                                <w:rFonts w:ascii="Arial Black" w:hAnsi="Arial Black" w:cs="Arial"/>
                                <w:b/>
                                <w:sz w:val="28"/>
                                <w:szCs w:val="28"/>
                                <w:vertAlign w:val="superscript"/>
                              </w:rPr>
                              <w:t>+</w:t>
                            </w:r>
                          </w:p>
                          <w:p w:rsidR="00467258" w:rsidRDefault="00467258" w:rsidP="001867D3">
                            <w:pPr>
                              <w:spacing w:after="0" w:line="240" w:lineRule="auto"/>
                              <w:jc w:val="center"/>
                              <w:rPr>
                                <w:rFonts w:ascii="Arial Black" w:hAnsi="Arial Black" w:cs="Arial"/>
                                <w:b/>
                                <w:sz w:val="28"/>
                                <w:szCs w:val="28"/>
                              </w:rPr>
                            </w:pPr>
                            <w:r>
                              <w:rPr>
                                <w:rFonts w:ascii="Arial Black" w:hAnsi="Arial Black" w:cs="Arial"/>
                                <w:b/>
                                <w:sz w:val="28"/>
                                <w:szCs w:val="28"/>
                              </w:rPr>
                              <w:t>CYCLE 2015-2019</w:t>
                            </w:r>
                          </w:p>
                          <w:p w:rsidR="00467258" w:rsidRPr="003917D0" w:rsidRDefault="00467258" w:rsidP="001867D3">
                            <w:pPr>
                              <w:spacing w:after="0" w:line="240" w:lineRule="auto"/>
                              <w:jc w:val="center"/>
                              <w:rPr>
                                <w:rFonts w:ascii="Arial Black" w:hAnsi="Arial Black" w:cs="Arial"/>
                                <w:b/>
                                <w:sz w:val="28"/>
                                <w:szCs w:val="28"/>
                              </w:rPr>
                            </w:pPr>
                            <w:r>
                              <w:rPr>
                                <w:rFonts w:ascii="Arial Black" w:hAnsi="Arial Black" w:cs="Arial"/>
                                <w:b/>
                                <w:sz w:val="28"/>
                                <w:szCs w:val="28"/>
                              </w:rPr>
                              <w:t>---------------</w:t>
                            </w:r>
                          </w:p>
                          <w:p w:rsidR="00467258" w:rsidRPr="00D80844" w:rsidRDefault="00467258" w:rsidP="001867D3">
                            <w:pPr>
                              <w:spacing w:after="0" w:line="240" w:lineRule="auto"/>
                              <w:jc w:val="center"/>
                              <w:rPr>
                                <w:rFonts w:ascii="Arial Narrow" w:hAnsi="Arial Narrow"/>
                                <w:b/>
                                <w:bCs/>
                              </w:rPr>
                            </w:pPr>
                          </w:p>
                          <w:p w:rsidR="00467258" w:rsidRPr="00D877C0" w:rsidRDefault="00467258" w:rsidP="001867D3">
                            <w:pPr>
                              <w:spacing w:after="0" w:line="240" w:lineRule="auto"/>
                              <w:jc w:val="center"/>
                              <w:rPr>
                                <w:rFonts w:ascii="Arial Narrow" w:hAnsi="Arial Narrow"/>
                                <w:b/>
                                <w:bCs/>
                                <w:sz w:val="36"/>
                                <w:szCs w:val="36"/>
                              </w:rPr>
                            </w:pPr>
                            <w:r>
                              <w:rPr>
                                <w:rFonts w:ascii="Arial Narrow" w:hAnsi="Arial Narrow"/>
                                <w:b/>
                                <w:bCs/>
                                <w:sz w:val="36"/>
                                <w:szCs w:val="36"/>
                              </w:rPr>
                              <w:t>CAHIER DES ANNEXES AU RAPPORT D’EVALUATION</w:t>
                            </w:r>
                          </w:p>
                          <w:p w:rsidR="00467258" w:rsidRPr="00D80844" w:rsidRDefault="00467258" w:rsidP="001867D3">
                            <w:pPr>
                              <w:spacing w:after="0" w:line="240" w:lineRule="auto"/>
                              <w:jc w:val="center"/>
                              <w:rPr>
                                <w:rFonts w:ascii="Arial Narrow" w:hAnsi="Arial Narrow"/>
                                <w:b/>
                                <w:bCs/>
                                <w:sz w:val="28"/>
                                <w:szCs w:val="28"/>
                              </w:rPr>
                            </w:pPr>
                            <w:r w:rsidRPr="00D80844">
                              <w:rPr>
                                <w:rFonts w:ascii="Arial Narrow" w:hAnsi="Arial Narrow"/>
                                <w:b/>
                                <w:bCs/>
                                <w:sz w:val="28"/>
                                <w:szCs w:val="28"/>
                              </w:rPr>
                              <w:t>-------------------------</w:t>
                            </w:r>
                          </w:p>
                          <w:p w:rsidR="00467258" w:rsidRDefault="00467258" w:rsidP="001867D3">
                            <w:pPr>
                              <w:spacing w:after="0" w:line="240" w:lineRule="auto"/>
                              <w:jc w:val="center"/>
                              <w:rPr>
                                <w:rFonts w:ascii="Arial Narrow" w:hAnsi="Arial Narrow"/>
                                <w:b/>
                                <w:bCs/>
                                <w:sz w:val="28"/>
                                <w:szCs w:val="28"/>
                              </w:rPr>
                            </w:pPr>
                            <w:r w:rsidRPr="00D80844">
                              <w:rPr>
                                <w:rFonts w:ascii="Arial Narrow" w:hAnsi="Arial Narrow"/>
                                <w:b/>
                                <w:bCs/>
                                <w:sz w:val="28"/>
                                <w:szCs w:val="28"/>
                              </w:rPr>
                              <w:t>Cheikh FAYE</w:t>
                            </w:r>
                            <w:r>
                              <w:rPr>
                                <w:rFonts w:ascii="Arial Narrow" w:hAnsi="Arial Narrow"/>
                                <w:b/>
                                <w:bCs/>
                                <w:sz w:val="28"/>
                                <w:szCs w:val="28"/>
                              </w:rPr>
                              <w:t xml:space="preserve">, </w:t>
                            </w:r>
                            <w:r w:rsidRPr="00D80844">
                              <w:rPr>
                                <w:rFonts w:ascii="Arial Narrow" w:hAnsi="Arial Narrow"/>
                                <w:b/>
                                <w:bCs/>
                                <w:sz w:val="28"/>
                                <w:szCs w:val="28"/>
                              </w:rPr>
                              <w:t>Consultant International</w:t>
                            </w:r>
                            <w:r>
                              <w:rPr>
                                <w:rFonts w:ascii="Arial Narrow" w:hAnsi="Arial Narrow"/>
                                <w:b/>
                                <w:bCs/>
                                <w:sz w:val="28"/>
                                <w:szCs w:val="28"/>
                              </w:rPr>
                              <w:t>, Chef de Mission</w:t>
                            </w:r>
                          </w:p>
                          <w:p w:rsidR="00467258" w:rsidRDefault="00467258" w:rsidP="001867D3">
                            <w:pPr>
                              <w:spacing w:after="0" w:line="240" w:lineRule="auto"/>
                              <w:jc w:val="center"/>
                              <w:rPr>
                                <w:rFonts w:ascii="Arial Narrow" w:hAnsi="Arial Narrow"/>
                                <w:b/>
                                <w:bCs/>
                                <w:sz w:val="28"/>
                                <w:szCs w:val="28"/>
                              </w:rPr>
                            </w:pPr>
                            <w:r>
                              <w:rPr>
                                <w:rFonts w:ascii="Arial Narrow" w:hAnsi="Arial Narrow"/>
                                <w:b/>
                                <w:bCs/>
                                <w:sz w:val="28"/>
                                <w:szCs w:val="28"/>
                              </w:rPr>
                              <w:t>Ousmane DIALLO, Consultant National, Membre</w:t>
                            </w:r>
                          </w:p>
                          <w:p w:rsidR="00467258" w:rsidRDefault="00467258" w:rsidP="001867D3">
                            <w:pPr>
                              <w:spacing w:after="0" w:line="240" w:lineRule="auto"/>
                              <w:jc w:val="center"/>
                              <w:rPr>
                                <w:rFonts w:ascii="Arial Narrow" w:hAnsi="Arial Narrow"/>
                                <w:b/>
                                <w:bCs/>
                                <w:sz w:val="28"/>
                                <w:szCs w:val="28"/>
                              </w:rPr>
                            </w:pPr>
                            <w:r>
                              <w:rPr>
                                <w:rFonts w:ascii="Arial Narrow" w:hAnsi="Arial Narrow"/>
                                <w:b/>
                                <w:bCs/>
                                <w:sz w:val="28"/>
                                <w:szCs w:val="28"/>
                              </w:rPr>
                              <w:t>Ibrahim NIENTA, Consultant National, Membre</w:t>
                            </w:r>
                          </w:p>
                          <w:p w:rsidR="00467258" w:rsidRDefault="00467258" w:rsidP="001867D3">
                            <w:pPr>
                              <w:spacing w:after="0" w:line="240" w:lineRule="auto"/>
                              <w:jc w:val="center"/>
                              <w:rPr>
                                <w:rFonts w:ascii="Arial Narrow" w:hAnsi="Arial Narrow"/>
                                <w:b/>
                                <w:bCs/>
                                <w:sz w:val="28"/>
                                <w:szCs w:val="28"/>
                              </w:rPr>
                            </w:pPr>
                          </w:p>
                          <w:p w:rsidR="00467258" w:rsidRDefault="00467258" w:rsidP="001867D3">
                            <w:pPr>
                              <w:spacing w:after="0" w:line="240" w:lineRule="auto"/>
                              <w:jc w:val="center"/>
                              <w:rPr>
                                <w:rFonts w:ascii="Arial Narrow" w:hAnsi="Arial Narrow"/>
                                <w:b/>
                                <w:bCs/>
                                <w:sz w:val="28"/>
                                <w:szCs w:val="28"/>
                              </w:rPr>
                            </w:pPr>
                          </w:p>
                          <w:p w:rsidR="00467258" w:rsidRDefault="00467258" w:rsidP="001867D3">
                            <w:pPr>
                              <w:spacing w:after="0" w:line="240" w:lineRule="auto"/>
                              <w:jc w:val="center"/>
                              <w:rPr>
                                <w:rFonts w:ascii="Arial Narrow" w:hAnsi="Arial Narrow"/>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6.6pt;margin-top:274.8pt;width:414.75pt;height:171.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">
                <v:textbox>
                  <w:txbxContent>
                    <w:p w:rsidR="00467258" w:rsidRDefault="00467258" w:rsidP="001867D3">
                      <w:pPr>
                        <w:spacing w:after="0" w:line="240" w:lineRule="auto"/>
                        <w:jc w:val="center"/>
                        <w:rPr>
                          <w:rFonts w:ascii="Arial Black" w:hAnsi="Arial Black" w:cs="Arial"/>
                          <w:b/>
                          <w:sz w:val="28"/>
                          <w:szCs w:val="28"/>
                        </w:rPr>
                      </w:pPr>
                      <w:r w:rsidRPr="00D877C0">
                        <w:rPr>
                          <w:rFonts w:ascii="Arial Black" w:hAnsi="Arial Black" w:cs="Arial"/>
                          <w:b/>
                          <w:sz w:val="28"/>
                          <w:szCs w:val="28"/>
                        </w:rPr>
                        <w:t xml:space="preserve">EVALUATION </w:t>
                      </w:r>
                      <w:r>
                        <w:rPr>
                          <w:rFonts w:ascii="Arial Black" w:hAnsi="Arial Black" w:cs="Arial"/>
                          <w:b/>
                          <w:sz w:val="28"/>
                          <w:szCs w:val="28"/>
                        </w:rPr>
                        <w:t>A MI-PARCOURS UNDAF</w:t>
                      </w:r>
                      <w:r w:rsidRPr="00DD0ADE">
                        <w:rPr>
                          <w:rFonts w:ascii="Arial Black" w:hAnsi="Arial Black" w:cs="Arial"/>
                          <w:b/>
                          <w:sz w:val="28"/>
                          <w:szCs w:val="28"/>
                          <w:vertAlign w:val="superscript"/>
                        </w:rPr>
                        <w:t>+</w:t>
                      </w:r>
                    </w:p>
                    <w:p w:rsidR="00467258" w:rsidRDefault="00467258" w:rsidP="001867D3">
                      <w:pPr>
                        <w:spacing w:after="0" w:line="240" w:lineRule="auto"/>
                        <w:jc w:val="center"/>
                        <w:rPr>
                          <w:rFonts w:ascii="Arial Black" w:hAnsi="Arial Black" w:cs="Arial"/>
                          <w:b/>
                          <w:sz w:val="28"/>
                          <w:szCs w:val="28"/>
                        </w:rPr>
                      </w:pPr>
                      <w:r>
                        <w:rPr>
                          <w:rFonts w:ascii="Arial Black" w:hAnsi="Arial Black" w:cs="Arial"/>
                          <w:b/>
                          <w:sz w:val="28"/>
                          <w:szCs w:val="28"/>
                        </w:rPr>
                        <w:t>CYCLE 2015-2019</w:t>
                      </w:r>
                    </w:p>
                    <w:p w:rsidR="00467258" w:rsidRPr="003917D0" w:rsidRDefault="00467258" w:rsidP="001867D3">
                      <w:pPr>
                        <w:spacing w:after="0" w:line="240" w:lineRule="auto"/>
                        <w:jc w:val="center"/>
                        <w:rPr>
                          <w:rFonts w:ascii="Arial Black" w:hAnsi="Arial Black" w:cs="Arial"/>
                          <w:b/>
                          <w:sz w:val="28"/>
                          <w:szCs w:val="28"/>
                        </w:rPr>
                      </w:pPr>
                      <w:r>
                        <w:rPr>
                          <w:rFonts w:ascii="Arial Black" w:hAnsi="Arial Black" w:cs="Arial"/>
                          <w:b/>
                          <w:sz w:val="28"/>
                          <w:szCs w:val="28"/>
                        </w:rPr>
                        <w:t>---------------</w:t>
                      </w:r>
                    </w:p>
                    <w:p w:rsidR="00467258" w:rsidRPr="00D80844" w:rsidRDefault="00467258" w:rsidP="001867D3">
                      <w:pPr>
                        <w:spacing w:after="0" w:line="240" w:lineRule="auto"/>
                        <w:jc w:val="center"/>
                        <w:rPr>
                          <w:rFonts w:ascii="Arial Narrow" w:hAnsi="Arial Narrow"/>
                          <w:b/>
                          <w:bCs/>
                        </w:rPr>
                      </w:pPr>
                    </w:p>
                    <w:p w:rsidR="00467258" w:rsidRPr="00D877C0" w:rsidRDefault="00467258" w:rsidP="001867D3">
                      <w:pPr>
                        <w:spacing w:after="0" w:line="240" w:lineRule="auto"/>
                        <w:jc w:val="center"/>
                        <w:rPr>
                          <w:rFonts w:ascii="Arial Narrow" w:hAnsi="Arial Narrow"/>
                          <w:b/>
                          <w:bCs/>
                          <w:sz w:val="36"/>
                          <w:szCs w:val="36"/>
                        </w:rPr>
                      </w:pPr>
                      <w:r>
                        <w:rPr>
                          <w:rFonts w:ascii="Arial Narrow" w:hAnsi="Arial Narrow"/>
                          <w:b/>
                          <w:bCs/>
                          <w:sz w:val="36"/>
                          <w:szCs w:val="36"/>
                        </w:rPr>
                        <w:t>CAHIER DES ANNEXES AU RAPPORT D’EVALUATION</w:t>
                      </w:r>
                    </w:p>
                    <w:p w:rsidR="00467258" w:rsidRPr="00D80844" w:rsidRDefault="00467258" w:rsidP="001867D3">
                      <w:pPr>
                        <w:spacing w:after="0" w:line="240" w:lineRule="auto"/>
                        <w:jc w:val="center"/>
                        <w:rPr>
                          <w:rFonts w:ascii="Arial Narrow" w:hAnsi="Arial Narrow"/>
                          <w:b/>
                          <w:bCs/>
                          <w:sz w:val="28"/>
                          <w:szCs w:val="28"/>
                        </w:rPr>
                      </w:pPr>
                      <w:r w:rsidRPr="00D80844">
                        <w:rPr>
                          <w:rFonts w:ascii="Arial Narrow" w:hAnsi="Arial Narrow"/>
                          <w:b/>
                          <w:bCs/>
                          <w:sz w:val="28"/>
                          <w:szCs w:val="28"/>
                        </w:rPr>
                        <w:t>-------------------------</w:t>
                      </w:r>
                    </w:p>
                    <w:p w:rsidR="00467258" w:rsidRDefault="00467258" w:rsidP="001867D3">
                      <w:pPr>
                        <w:spacing w:after="0" w:line="240" w:lineRule="auto"/>
                        <w:jc w:val="center"/>
                        <w:rPr>
                          <w:rFonts w:ascii="Arial Narrow" w:hAnsi="Arial Narrow"/>
                          <w:b/>
                          <w:bCs/>
                          <w:sz w:val="28"/>
                          <w:szCs w:val="28"/>
                        </w:rPr>
                      </w:pPr>
                      <w:r w:rsidRPr="00D80844">
                        <w:rPr>
                          <w:rFonts w:ascii="Arial Narrow" w:hAnsi="Arial Narrow"/>
                          <w:b/>
                          <w:bCs/>
                          <w:sz w:val="28"/>
                          <w:szCs w:val="28"/>
                        </w:rPr>
                        <w:t>Cheikh FAYE</w:t>
                      </w:r>
                      <w:r>
                        <w:rPr>
                          <w:rFonts w:ascii="Arial Narrow" w:hAnsi="Arial Narrow"/>
                          <w:b/>
                          <w:bCs/>
                          <w:sz w:val="28"/>
                          <w:szCs w:val="28"/>
                        </w:rPr>
                        <w:t xml:space="preserve">, </w:t>
                      </w:r>
                      <w:r w:rsidRPr="00D80844">
                        <w:rPr>
                          <w:rFonts w:ascii="Arial Narrow" w:hAnsi="Arial Narrow"/>
                          <w:b/>
                          <w:bCs/>
                          <w:sz w:val="28"/>
                          <w:szCs w:val="28"/>
                        </w:rPr>
                        <w:t>Consultant International</w:t>
                      </w:r>
                      <w:r>
                        <w:rPr>
                          <w:rFonts w:ascii="Arial Narrow" w:hAnsi="Arial Narrow"/>
                          <w:b/>
                          <w:bCs/>
                          <w:sz w:val="28"/>
                          <w:szCs w:val="28"/>
                        </w:rPr>
                        <w:t>, Chef de Mission</w:t>
                      </w:r>
                    </w:p>
                    <w:p w:rsidR="00467258" w:rsidRDefault="00467258" w:rsidP="001867D3">
                      <w:pPr>
                        <w:spacing w:after="0" w:line="240" w:lineRule="auto"/>
                        <w:jc w:val="center"/>
                        <w:rPr>
                          <w:rFonts w:ascii="Arial Narrow" w:hAnsi="Arial Narrow"/>
                          <w:b/>
                          <w:bCs/>
                          <w:sz w:val="28"/>
                          <w:szCs w:val="28"/>
                        </w:rPr>
                      </w:pPr>
                      <w:r>
                        <w:rPr>
                          <w:rFonts w:ascii="Arial Narrow" w:hAnsi="Arial Narrow"/>
                          <w:b/>
                          <w:bCs/>
                          <w:sz w:val="28"/>
                          <w:szCs w:val="28"/>
                        </w:rPr>
                        <w:t>Ousmane DIALLO, Consultant National, Membre</w:t>
                      </w:r>
                    </w:p>
                    <w:p w:rsidR="00467258" w:rsidRDefault="00467258" w:rsidP="001867D3">
                      <w:pPr>
                        <w:spacing w:after="0" w:line="240" w:lineRule="auto"/>
                        <w:jc w:val="center"/>
                        <w:rPr>
                          <w:rFonts w:ascii="Arial Narrow" w:hAnsi="Arial Narrow"/>
                          <w:b/>
                          <w:bCs/>
                          <w:sz w:val="28"/>
                          <w:szCs w:val="28"/>
                        </w:rPr>
                      </w:pPr>
                      <w:r>
                        <w:rPr>
                          <w:rFonts w:ascii="Arial Narrow" w:hAnsi="Arial Narrow"/>
                          <w:b/>
                          <w:bCs/>
                          <w:sz w:val="28"/>
                          <w:szCs w:val="28"/>
                        </w:rPr>
                        <w:t>Ibrahim NIENTA, Consultant National, Membre</w:t>
                      </w:r>
                    </w:p>
                    <w:p w:rsidR="00467258" w:rsidRDefault="00467258" w:rsidP="001867D3">
                      <w:pPr>
                        <w:spacing w:after="0" w:line="240" w:lineRule="auto"/>
                        <w:jc w:val="center"/>
                        <w:rPr>
                          <w:rFonts w:ascii="Arial Narrow" w:hAnsi="Arial Narrow"/>
                          <w:b/>
                          <w:bCs/>
                          <w:sz w:val="28"/>
                          <w:szCs w:val="28"/>
                        </w:rPr>
                      </w:pPr>
                    </w:p>
                    <w:p w:rsidR="00467258" w:rsidRDefault="00467258" w:rsidP="001867D3">
                      <w:pPr>
                        <w:spacing w:after="0" w:line="240" w:lineRule="auto"/>
                        <w:jc w:val="center"/>
                        <w:rPr>
                          <w:rFonts w:ascii="Arial Narrow" w:hAnsi="Arial Narrow"/>
                          <w:b/>
                          <w:bCs/>
                          <w:sz w:val="28"/>
                          <w:szCs w:val="28"/>
                        </w:rPr>
                      </w:pPr>
                    </w:p>
                    <w:p w:rsidR="00467258" w:rsidRDefault="00467258" w:rsidP="001867D3">
                      <w:pPr>
                        <w:spacing w:after="0" w:line="240" w:lineRule="auto"/>
                        <w:jc w:val="center"/>
                        <w:rPr>
                          <w:rFonts w:ascii="Arial Narrow" w:hAnsi="Arial Narrow"/>
                          <w:b/>
                          <w:bCs/>
                          <w:sz w:val="28"/>
                          <w:szCs w:val="28"/>
                        </w:rPr>
                      </w:pP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71040" behindDoc="0" locked="0" layoutInCell="1" allowOverlap="1">
                <wp:simplePos x="0" y="0"/>
                <wp:positionH relativeFrom="column">
                  <wp:posOffset>3615055</wp:posOffset>
                </wp:positionH>
                <wp:positionV relativeFrom="paragraph">
                  <wp:posOffset>62230</wp:posOffset>
                </wp:positionV>
                <wp:extent cx="1885950" cy="1895475"/>
                <wp:effectExtent l="0" t="0" r="0" b="0"/>
                <wp:wrapNone/>
                <wp:docPr id="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895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58" w:rsidRDefault="00467258" w:rsidP="001867D3">
                            <w:r w:rsidRPr="00D32C0A">
                              <w:rPr>
                                <w:noProof/>
                                <w:lang w:eastAsia="fr-FR"/>
                              </w:rPr>
                              <w:drawing>
                                <wp:inline distT="0" distB="0" distL="0" distR="0">
                                  <wp:extent cx="1657350" cy="1457325"/>
                                  <wp:effectExtent l="19050" t="0" r="0" b="0"/>
                                  <wp:docPr id="1" name="Image 3"/>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stretch>
                                            <a:fillRect/>
                                          </a:stretch>
                                        </pic:blipFill>
                                        <pic:spPr>
                                          <a:xfrm>
                                            <a:off x="0" y="0"/>
                                            <a:ext cx="1654626" cy="145493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284.65pt;margin-top:4.9pt;width:148.5pt;height:14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" stroked="f">
                <v:textbox>
                  <w:txbxContent>
                    <w:p w:rsidR="00467258" w:rsidRDefault="00467258" w:rsidP="001867D3">
                      <w:r w:rsidRPr="00D32C0A">
                        <w:rPr>
                          <w:noProof/>
                          <w:lang w:eastAsia="fr-FR"/>
                        </w:rPr>
                        <w:drawing>
                          <wp:inline distT="0" distB="0" distL="0" distR="0">
                            <wp:extent cx="1657350" cy="1457325"/>
                            <wp:effectExtent l="19050" t="0" r="0" b="0"/>
                            <wp:docPr id="1" name="Image 3"/>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8"/>
                                    <a:stretch>
                                      <a:fillRect/>
                                    </a:stretch>
                                  </pic:blipFill>
                                  <pic:spPr>
                                    <a:xfrm>
                                      <a:off x="0" y="0"/>
                                      <a:ext cx="1654626" cy="1454930"/>
                                    </a:xfrm>
                                    <a:prstGeom prst="rect">
                                      <a:avLst/>
                                    </a:prstGeom>
                                  </pic:spPr>
                                </pic:pic>
                              </a:graphicData>
                            </a:graphic>
                          </wp:inline>
                        </w:drawing>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70016" behindDoc="0" locked="0" layoutInCell="1" allowOverlap="1">
                <wp:simplePos x="0" y="0"/>
                <wp:positionH relativeFrom="column">
                  <wp:posOffset>262255</wp:posOffset>
                </wp:positionH>
                <wp:positionV relativeFrom="paragraph">
                  <wp:posOffset>5080</wp:posOffset>
                </wp:positionV>
                <wp:extent cx="1752600" cy="1590675"/>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58" w:rsidRDefault="00467258" w:rsidP="001867D3">
                            <w:r w:rsidRPr="00D32C0A">
                              <w:rPr>
                                <w:noProof/>
                                <w:lang w:eastAsia="fr-FR"/>
                              </w:rPr>
                              <w:drawing>
                                <wp:inline distT="0" distB="0" distL="0" distR="0">
                                  <wp:extent cx="1466850" cy="1419225"/>
                                  <wp:effectExtent l="19050" t="0" r="0" b="0"/>
                                  <wp:docPr id="4" name="Image 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a:stretch>
                                            <a:fillRect/>
                                          </a:stretch>
                                        </pic:blipFill>
                                        <pic:spPr>
                                          <a:xfrm>
                                            <a:off x="0" y="0"/>
                                            <a:ext cx="1466850" cy="14192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margin-left:20.65pt;margin-top:.4pt;width:138pt;height:12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" stroked="f">
                <v:textbox>
                  <w:txbxContent>
                    <w:p w:rsidR="00467258" w:rsidRDefault="00467258" w:rsidP="001867D3">
                      <w:r w:rsidRPr="00D32C0A">
                        <w:rPr>
                          <w:noProof/>
                          <w:lang w:eastAsia="fr-FR"/>
                        </w:rPr>
                        <w:drawing>
                          <wp:inline distT="0" distB="0" distL="0" distR="0">
                            <wp:extent cx="1466850" cy="1419225"/>
                            <wp:effectExtent l="19050" t="0" r="0" b="0"/>
                            <wp:docPr id="4" name="Image 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9"/>
                                    <a:stretch>
                                      <a:fillRect/>
                                    </a:stretch>
                                  </pic:blipFill>
                                  <pic:spPr>
                                    <a:xfrm>
                                      <a:off x="0" y="0"/>
                                      <a:ext cx="1466850" cy="1419225"/>
                                    </a:xfrm>
                                    <a:prstGeom prst="rect">
                                      <a:avLst/>
                                    </a:prstGeom>
                                  </pic:spPr>
                                </pic:pic>
                              </a:graphicData>
                            </a:graphic>
                          </wp:inline>
                        </w:drawing>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68992" behindDoc="0" locked="0" layoutInCell="1" allowOverlap="1">
                <wp:simplePos x="0" y="0"/>
                <wp:positionH relativeFrom="column">
                  <wp:posOffset>1087755</wp:posOffset>
                </wp:positionH>
                <wp:positionV relativeFrom="paragraph">
                  <wp:posOffset>8505825</wp:posOffset>
                </wp:positionV>
                <wp:extent cx="3764280" cy="32956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28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7258" w:rsidRPr="00D877C0" w:rsidRDefault="00467258" w:rsidP="001867D3">
                            <w:pPr>
                              <w:jc w:val="center"/>
                              <w:rPr>
                                <w:b/>
                                <w:sz w:val="24"/>
                                <w:szCs w:val="24"/>
                              </w:rPr>
                            </w:pPr>
                            <w:r>
                              <w:rPr>
                                <w:b/>
                                <w:sz w:val="24"/>
                                <w:szCs w:val="24"/>
                              </w:rPr>
                              <w:t>FEVRIER</w:t>
                            </w:r>
                            <w:r w:rsidRPr="00D877C0">
                              <w:rPr>
                                <w:b/>
                                <w:sz w:val="24"/>
                                <w:szCs w:val="24"/>
                              </w:rPr>
                              <w:t xml:space="preserve"> 201</w:t>
                            </w:r>
                            <w:r>
                              <w:rPr>
                                <w:b/>
                                <w:sz w:val="24"/>
                                <w:szCs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85.65pt;margin-top:669.75pt;width:296.4pt;height:25.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t4hg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" stroked="f">
                <v:textbox>
                  <w:txbxContent>
                    <w:p w:rsidR="00467258" w:rsidRPr="00D877C0" w:rsidRDefault="00467258" w:rsidP="001867D3">
                      <w:pPr>
                        <w:jc w:val="center"/>
                        <w:rPr>
                          <w:b/>
                          <w:sz w:val="24"/>
                          <w:szCs w:val="24"/>
                        </w:rPr>
                      </w:pPr>
                      <w:r>
                        <w:rPr>
                          <w:b/>
                          <w:sz w:val="24"/>
                          <w:szCs w:val="24"/>
                        </w:rPr>
                        <w:t>FEVRIER</w:t>
                      </w:r>
                      <w:r w:rsidRPr="00D877C0">
                        <w:rPr>
                          <w:b/>
                          <w:sz w:val="24"/>
                          <w:szCs w:val="24"/>
                        </w:rPr>
                        <w:t xml:space="preserve"> 201</w:t>
                      </w:r>
                      <w:r>
                        <w:rPr>
                          <w:b/>
                          <w:sz w:val="24"/>
                          <w:szCs w:val="24"/>
                        </w:rPr>
                        <w:t>8</w:t>
                      </w:r>
                    </w:p>
                  </w:txbxContent>
                </v:textbox>
              </v:shape>
            </w:pict>
          </mc:Fallback>
        </mc:AlternateContent>
      </w:r>
      <w:r>
        <w:rPr>
          <w:rFonts w:ascii="Times New Roman" w:hAnsi="Times New Roman"/>
          <w:b/>
          <w:noProof/>
          <w:sz w:val="28"/>
          <w:szCs w:val="28"/>
        </w:rPr>
        <mc:AlternateContent>
          <mc:Choice Requires="wps">
            <w:drawing>
              <wp:anchor distT="0" distB="0" distL="114300" distR="114300" simplePos="0" relativeHeight="251666944" behindDoc="0" locked="0" layoutInCell="1" allowOverlap="1">
                <wp:simplePos x="0" y="0"/>
                <wp:positionH relativeFrom="column">
                  <wp:posOffset>-45720</wp:posOffset>
                </wp:positionH>
                <wp:positionV relativeFrom="paragraph">
                  <wp:posOffset>-299720</wp:posOffset>
                </wp:positionV>
                <wp:extent cx="5878830" cy="9375140"/>
                <wp:effectExtent l="57150" t="57150" r="64770" b="54610"/>
                <wp:wrapNone/>
                <wp:docPr id="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9375140"/>
                        </a:xfrm>
                        <a:prstGeom prst="rect">
                          <a:avLst/>
                        </a:prstGeom>
                        <a:noFill/>
                        <a:ln w="127000" cmpd="dbl">
                          <a:solidFill>
                            <a:schemeClr val="tx2">
                              <a:lumMod val="100000"/>
                              <a:lumOff val="0"/>
                            </a:schemeClr>
                          </a:solidFill>
                          <a:miter lim="800000"/>
                          <a:headEnd/>
                          <a:tailEnd/>
                        </a:ln>
                        <a:effectLst/>
                        <a:extLst>
                          <a:ext uri="{909E8E84-426E-40DD-AFC4-6F175D3DCCD1}">
                            <a14:hiddenFill xmlns:a14="http://schemas.microsoft.com/office/drawing/2010/main">
                              <a:solidFill>
                                <a:schemeClr val="accen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A10E6" id="Rectangle 100" o:spid="_x0000_s1026" style="position:absolute;margin-left:-3.6pt;margin-top:-23.6pt;width:462.9pt;height:73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" filled="f" fillcolor="#5b9bd5 [3204]" strokecolor="#44546a [3215]" strokeweight="10pt">
                <v:stroke linestyle="thinThin"/>
                <v:shadow color="#868686"/>
              </v:rect>
            </w:pict>
          </mc:Fallback>
        </mc:AlternateContent>
      </w:r>
      <w:r w:rsidR="001867D3" w:rsidRPr="001867D3">
        <w:rPr>
          <w:rFonts w:ascii="Times New Roman" w:hAnsi="Times New Roman"/>
          <w:b/>
          <w:sz w:val="28"/>
          <w:szCs w:val="28"/>
        </w:rPr>
        <w:br w:type="page"/>
      </w:r>
    </w:p>
    <w:p w:rsidR="00BA3DC6" w:rsidRDefault="00BA3DC6" w:rsidP="005B22B2">
      <w:pPr>
        <w:spacing w:after="0" w:line="240" w:lineRule="auto"/>
        <w:rPr>
          <w:rFonts w:ascii="Times New Roman" w:hAnsi="Times New Roman"/>
          <w:b/>
          <w:sz w:val="28"/>
          <w:szCs w:val="28"/>
        </w:rPr>
      </w:pPr>
      <w:r w:rsidRPr="006B309F">
        <w:rPr>
          <w:rFonts w:ascii="Times New Roman" w:hAnsi="Times New Roman"/>
          <w:b/>
          <w:sz w:val="28"/>
          <w:szCs w:val="28"/>
        </w:rPr>
        <w:lastRenderedPageBreak/>
        <w:t>Sommaire</w:t>
      </w:r>
    </w:p>
    <w:p w:rsidR="005B0739" w:rsidRPr="00B04B1D" w:rsidRDefault="005B0739" w:rsidP="00AF261E">
      <w:pPr>
        <w:spacing w:after="0" w:line="240" w:lineRule="auto"/>
        <w:rPr>
          <w:rFonts w:ascii="Times New Roman" w:hAnsi="Times New Roman"/>
          <w:b/>
          <w:sz w:val="24"/>
          <w:szCs w:val="24"/>
        </w:rPr>
      </w:pPr>
    </w:p>
    <w:p w:rsidR="00467258" w:rsidRDefault="000129C2">
      <w:pPr>
        <w:pStyle w:val="TM2"/>
        <w:tabs>
          <w:tab w:val="left" w:pos="660"/>
          <w:tab w:val="right" w:leader="dot" w:pos="9062"/>
        </w:tabs>
        <w:rPr>
          <w:rFonts w:asciiTheme="minorHAnsi" w:eastAsiaTheme="minorEastAsia" w:hAnsiTheme="minorHAnsi" w:cstheme="minorBidi"/>
          <w:noProof/>
          <w:lang w:eastAsia="fr-FR"/>
        </w:rPr>
      </w:pPr>
      <w:r w:rsidRPr="00AF261E">
        <w:rPr>
          <w:b/>
          <w:sz w:val="20"/>
          <w:szCs w:val="20"/>
        </w:rPr>
        <w:fldChar w:fldCharType="begin"/>
      </w:r>
      <w:r w:rsidR="00BA3DC6" w:rsidRPr="00AF261E">
        <w:rPr>
          <w:b/>
          <w:sz w:val="20"/>
          <w:szCs w:val="20"/>
        </w:rPr>
        <w:instrText xml:space="preserve"> TOC \o "1-3" \h \z \u </w:instrText>
      </w:r>
      <w:r w:rsidRPr="00AF261E">
        <w:rPr>
          <w:b/>
          <w:sz w:val="20"/>
          <w:szCs w:val="20"/>
        </w:rPr>
        <w:fldChar w:fldCharType="separate"/>
      </w:r>
      <w:hyperlink w:anchor="_Toc506220146" w:history="1">
        <w:r w:rsidR="00467258" w:rsidRPr="00234C5B">
          <w:rPr>
            <w:rStyle w:val="Lienhypertexte"/>
            <w:rFonts w:ascii="Times New Roman" w:hAnsi="Times New Roman"/>
            <w:noProof/>
          </w:rPr>
          <w:t>1.</w:t>
        </w:r>
        <w:r w:rsidR="00467258">
          <w:rPr>
            <w:rFonts w:asciiTheme="minorHAnsi" w:eastAsiaTheme="minorEastAsia" w:hAnsiTheme="minorHAnsi" w:cstheme="minorBidi"/>
            <w:noProof/>
            <w:lang w:eastAsia="fr-FR"/>
          </w:rPr>
          <w:tab/>
        </w:r>
        <w:r w:rsidR="00467258" w:rsidRPr="00234C5B">
          <w:rPr>
            <w:rStyle w:val="Lienhypertexte"/>
            <w:rFonts w:ascii="Times New Roman" w:hAnsi="Times New Roman"/>
            <w:noProof/>
          </w:rPr>
          <w:t>Données et performances substantielles du programme à mi-parcours</w:t>
        </w:r>
        <w:r w:rsidR="00467258">
          <w:rPr>
            <w:noProof/>
            <w:webHidden/>
          </w:rPr>
          <w:tab/>
        </w:r>
        <w:r w:rsidR="00467258">
          <w:rPr>
            <w:noProof/>
            <w:webHidden/>
          </w:rPr>
          <w:fldChar w:fldCharType="begin"/>
        </w:r>
        <w:r w:rsidR="00467258">
          <w:rPr>
            <w:noProof/>
            <w:webHidden/>
          </w:rPr>
          <w:instrText xml:space="preserve"> PAGEREF _Toc506220146 \h </w:instrText>
        </w:r>
        <w:r w:rsidR="00467258">
          <w:rPr>
            <w:noProof/>
            <w:webHidden/>
          </w:rPr>
        </w:r>
        <w:r w:rsidR="00467258">
          <w:rPr>
            <w:noProof/>
            <w:webHidden/>
          </w:rPr>
          <w:fldChar w:fldCharType="separate"/>
        </w:r>
        <w:r w:rsidR="00467258">
          <w:rPr>
            <w:noProof/>
            <w:webHidden/>
          </w:rPr>
          <w:t>3</w:t>
        </w:r>
        <w:r w:rsidR="00467258">
          <w:rPr>
            <w:noProof/>
            <w:webHidden/>
          </w:rPr>
          <w:fldChar w:fldCharType="end"/>
        </w:r>
      </w:hyperlink>
    </w:p>
    <w:p w:rsidR="00467258" w:rsidRDefault="00F56E8C">
      <w:pPr>
        <w:pStyle w:val="TM2"/>
        <w:tabs>
          <w:tab w:val="left" w:pos="660"/>
          <w:tab w:val="right" w:leader="dot" w:pos="9062"/>
        </w:tabs>
        <w:rPr>
          <w:rFonts w:asciiTheme="minorHAnsi" w:eastAsiaTheme="minorEastAsia" w:hAnsiTheme="minorHAnsi" w:cstheme="minorBidi"/>
          <w:noProof/>
          <w:lang w:eastAsia="fr-FR"/>
        </w:rPr>
      </w:pPr>
      <w:hyperlink w:anchor="_Toc506220147" w:history="1">
        <w:r w:rsidR="00467258" w:rsidRPr="00234C5B">
          <w:rPr>
            <w:rStyle w:val="Lienhypertexte"/>
            <w:rFonts w:ascii="Times New Roman" w:hAnsi="Times New Roman"/>
            <w:noProof/>
          </w:rPr>
          <w:t>2.</w:t>
        </w:r>
        <w:r w:rsidR="00467258">
          <w:rPr>
            <w:rFonts w:asciiTheme="minorHAnsi" w:eastAsiaTheme="minorEastAsia" w:hAnsiTheme="minorHAnsi" w:cstheme="minorBidi"/>
            <w:noProof/>
            <w:lang w:eastAsia="fr-FR"/>
          </w:rPr>
          <w:tab/>
        </w:r>
        <w:r w:rsidR="00467258" w:rsidRPr="00234C5B">
          <w:rPr>
            <w:rStyle w:val="Lienhypertexte"/>
            <w:rFonts w:ascii="Times New Roman" w:hAnsi="Times New Roman"/>
            <w:noProof/>
          </w:rPr>
          <w:t>Matrices d’évaluation</w:t>
        </w:r>
        <w:r w:rsidR="00467258">
          <w:rPr>
            <w:noProof/>
            <w:webHidden/>
          </w:rPr>
          <w:tab/>
        </w:r>
        <w:r w:rsidR="00467258">
          <w:rPr>
            <w:noProof/>
            <w:webHidden/>
          </w:rPr>
          <w:fldChar w:fldCharType="begin"/>
        </w:r>
        <w:r w:rsidR="00467258">
          <w:rPr>
            <w:noProof/>
            <w:webHidden/>
          </w:rPr>
          <w:instrText xml:space="preserve"> PAGEREF _Toc506220147 \h </w:instrText>
        </w:r>
        <w:r w:rsidR="00467258">
          <w:rPr>
            <w:noProof/>
            <w:webHidden/>
          </w:rPr>
        </w:r>
        <w:r w:rsidR="00467258">
          <w:rPr>
            <w:noProof/>
            <w:webHidden/>
          </w:rPr>
          <w:fldChar w:fldCharType="separate"/>
        </w:r>
        <w:r w:rsidR="00467258">
          <w:rPr>
            <w:noProof/>
            <w:webHidden/>
          </w:rPr>
          <w:t>39</w:t>
        </w:r>
        <w:r w:rsidR="00467258">
          <w:rPr>
            <w:noProof/>
            <w:webHidden/>
          </w:rPr>
          <w:fldChar w:fldCharType="end"/>
        </w:r>
      </w:hyperlink>
    </w:p>
    <w:p w:rsidR="00467258" w:rsidRDefault="00F56E8C">
      <w:pPr>
        <w:pStyle w:val="TM2"/>
        <w:tabs>
          <w:tab w:val="left" w:pos="660"/>
          <w:tab w:val="right" w:leader="dot" w:pos="9062"/>
        </w:tabs>
        <w:rPr>
          <w:rFonts w:asciiTheme="minorHAnsi" w:eastAsiaTheme="minorEastAsia" w:hAnsiTheme="minorHAnsi" w:cstheme="minorBidi"/>
          <w:noProof/>
          <w:lang w:eastAsia="fr-FR"/>
        </w:rPr>
      </w:pPr>
      <w:hyperlink w:anchor="_Toc506220148" w:history="1">
        <w:r w:rsidR="00467258" w:rsidRPr="00234C5B">
          <w:rPr>
            <w:rStyle w:val="Lienhypertexte"/>
            <w:rFonts w:ascii="Times New Roman" w:hAnsi="Times New Roman"/>
            <w:noProof/>
          </w:rPr>
          <w:t>3.</w:t>
        </w:r>
        <w:r w:rsidR="00467258">
          <w:rPr>
            <w:rFonts w:asciiTheme="minorHAnsi" w:eastAsiaTheme="minorEastAsia" w:hAnsiTheme="minorHAnsi" w:cstheme="minorBidi"/>
            <w:noProof/>
            <w:lang w:eastAsia="fr-FR"/>
          </w:rPr>
          <w:tab/>
        </w:r>
        <w:r w:rsidR="00467258" w:rsidRPr="00234C5B">
          <w:rPr>
            <w:rStyle w:val="Lienhypertexte"/>
            <w:rFonts w:ascii="Times New Roman" w:hAnsi="Times New Roman"/>
            <w:noProof/>
          </w:rPr>
          <w:t>Bibliographie</w:t>
        </w:r>
        <w:r w:rsidR="00467258">
          <w:rPr>
            <w:noProof/>
            <w:webHidden/>
          </w:rPr>
          <w:tab/>
        </w:r>
        <w:r w:rsidR="00467258">
          <w:rPr>
            <w:noProof/>
            <w:webHidden/>
          </w:rPr>
          <w:fldChar w:fldCharType="begin"/>
        </w:r>
        <w:r w:rsidR="00467258">
          <w:rPr>
            <w:noProof/>
            <w:webHidden/>
          </w:rPr>
          <w:instrText xml:space="preserve"> PAGEREF _Toc506220148 \h </w:instrText>
        </w:r>
        <w:r w:rsidR="00467258">
          <w:rPr>
            <w:noProof/>
            <w:webHidden/>
          </w:rPr>
        </w:r>
        <w:r w:rsidR="00467258">
          <w:rPr>
            <w:noProof/>
            <w:webHidden/>
          </w:rPr>
          <w:fldChar w:fldCharType="separate"/>
        </w:r>
        <w:r w:rsidR="00467258">
          <w:rPr>
            <w:noProof/>
            <w:webHidden/>
          </w:rPr>
          <w:t>51</w:t>
        </w:r>
        <w:r w:rsidR="00467258">
          <w:rPr>
            <w:noProof/>
            <w:webHidden/>
          </w:rPr>
          <w:fldChar w:fldCharType="end"/>
        </w:r>
      </w:hyperlink>
    </w:p>
    <w:p w:rsidR="00467258" w:rsidRDefault="00F56E8C">
      <w:pPr>
        <w:pStyle w:val="TM2"/>
        <w:tabs>
          <w:tab w:val="left" w:pos="660"/>
          <w:tab w:val="right" w:leader="dot" w:pos="9062"/>
        </w:tabs>
        <w:rPr>
          <w:rFonts w:asciiTheme="minorHAnsi" w:eastAsiaTheme="minorEastAsia" w:hAnsiTheme="minorHAnsi" w:cstheme="minorBidi"/>
          <w:noProof/>
          <w:lang w:eastAsia="fr-FR"/>
        </w:rPr>
      </w:pPr>
      <w:hyperlink w:anchor="_Toc506220149" w:history="1">
        <w:r w:rsidR="00467258" w:rsidRPr="00234C5B">
          <w:rPr>
            <w:rStyle w:val="Lienhypertexte"/>
            <w:rFonts w:ascii="Times New Roman" w:hAnsi="Times New Roman"/>
            <w:noProof/>
          </w:rPr>
          <w:t>3.</w:t>
        </w:r>
        <w:r w:rsidR="00467258">
          <w:rPr>
            <w:rFonts w:asciiTheme="minorHAnsi" w:eastAsiaTheme="minorEastAsia" w:hAnsiTheme="minorHAnsi" w:cstheme="minorBidi"/>
            <w:noProof/>
            <w:lang w:eastAsia="fr-FR"/>
          </w:rPr>
          <w:tab/>
        </w:r>
        <w:r w:rsidR="00467258" w:rsidRPr="00234C5B">
          <w:rPr>
            <w:rStyle w:val="Lienhypertexte"/>
            <w:rFonts w:ascii="Times New Roman" w:hAnsi="Times New Roman"/>
            <w:noProof/>
          </w:rPr>
          <w:t>Liste des structures/personnes rencontrées</w:t>
        </w:r>
        <w:r w:rsidR="00467258">
          <w:rPr>
            <w:noProof/>
            <w:webHidden/>
          </w:rPr>
          <w:tab/>
        </w:r>
        <w:r w:rsidR="00467258">
          <w:rPr>
            <w:noProof/>
            <w:webHidden/>
          </w:rPr>
          <w:fldChar w:fldCharType="begin"/>
        </w:r>
        <w:r w:rsidR="00467258">
          <w:rPr>
            <w:noProof/>
            <w:webHidden/>
          </w:rPr>
          <w:instrText xml:space="preserve"> PAGEREF _Toc506220149 \h </w:instrText>
        </w:r>
        <w:r w:rsidR="00467258">
          <w:rPr>
            <w:noProof/>
            <w:webHidden/>
          </w:rPr>
        </w:r>
        <w:r w:rsidR="00467258">
          <w:rPr>
            <w:noProof/>
            <w:webHidden/>
          </w:rPr>
          <w:fldChar w:fldCharType="separate"/>
        </w:r>
        <w:r w:rsidR="00467258">
          <w:rPr>
            <w:noProof/>
            <w:webHidden/>
          </w:rPr>
          <w:t>53</w:t>
        </w:r>
        <w:r w:rsidR="00467258">
          <w:rPr>
            <w:noProof/>
            <w:webHidden/>
          </w:rPr>
          <w:fldChar w:fldCharType="end"/>
        </w:r>
      </w:hyperlink>
    </w:p>
    <w:p w:rsidR="00467258" w:rsidRDefault="00F56E8C">
      <w:pPr>
        <w:pStyle w:val="TM2"/>
        <w:tabs>
          <w:tab w:val="left" w:pos="660"/>
          <w:tab w:val="right" w:leader="dot" w:pos="9062"/>
        </w:tabs>
        <w:rPr>
          <w:rFonts w:asciiTheme="minorHAnsi" w:eastAsiaTheme="minorEastAsia" w:hAnsiTheme="minorHAnsi" w:cstheme="minorBidi"/>
          <w:noProof/>
          <w:lang w:eastAsia="fr-FR"/>
        </w:rPr>
      </w:pPr>
      <w:hyperlink w:anchor="_Toc506220150" w:history="1">
        <w:r w:rsidR="00467258" w:rsidRPr="00234C5B">
          <w:rPr>
            <w:rStyle w:val="Lienhypertexte"/>
            <w:rFonts w:ascii="Times New Roman" w:hAnsi="Times New Roman"/>
            <w:noProof/>
          </w:rPr>
          <w:t>4.</w:t>
        </w:r>
        <w:r w:rsidR="00467258">
          <w:rPr>
            <w:rFonts w:asciiTheme="minorHAnsi" w:eastAsiaTheme="minorEastAsia" w:hAnsiTheme="minorHAnsi" w:cstheme="minorBidi"/>
            <w:noProof/>
            <w:lang w:eastAsia="fr-FR"/>
          </w:rPr>
          <w:tab/>
        </w:r>
        <w:r w:rsidR="00467258" w:rsidRPr="00234C5B">
          <w:rPr>
            <w:rStyle w:val="Lienhypertexte"/>
            <w:rFonts w:ascii="Times New Roman" w:hAnsi="Times New Roman"/>
            <w:noProof/>
          </w:rPr>
          <w:t>Termes de référence de la mission</w:t>
        </w:r>
        <w:r w:rsidR="00467258">
          <w:rPr>
            <w:noProof/>
            <w:webHidden/>
          </w:rPr>
          <w:tab/>
        </w:r>
        <w:r w:rsidR="00467258">
          <w:rPr>
            <w:noProof/>
            <w:webHidden/>
          </w:rPr>
          <w:fldChar w:fldCharType="begin"/>
        </w:r>
        <w:r w:rsidR="00467258">
          <w:rPr>
            <w:noProof/>
            <w:webHidden/>
          </w:rPr>
          <w:instrText xml:space="preserve"> PAGEREF _Toc506220150 \h </w:instrText>
        </w:r>
        <w:r w:rsidR="00467258">
          <w:rPr>
            <w:noProof/>
            <w:webHidden/>
          </w:rPr>
        </w:r>
        <w:r w:rsidR="00467258">
          <w:rPr>
            <w:noProof/>
            <w:webHidden/>
          </w:rPr>
          <w:fldChar w:fldCharType="separate"/>
        </w:r>
        <w:r w:rsidR="00467258">
          <w:rPr>
            <w:noProof/>
            <w:webHidden/>
          </w:rPr>
          <w:t>58</w:t>
        </w:r>
        <w:r w:rsidR="00467258">
          <w:rPr>
            <w:noProof/>
            <w:webHidden/>
          </w:rPr>
          <w:fldChar w:fldCharType="end"/>
        </w:r>
      </w:hyperlink>
    </w:p>
    <w:p w:rsidR="00BA3DC6" w:rsidRPr="006B309F" w:rsidRDefault="000129C2" w:rsidP="00AF261E">
      <w:pPr>
        <w:spacing w:after="0" w:line="240" w:lineRule="auto"/>
        <w:rPr>
          <w:rFonts w:ascii="Times New Roman" w:hAnsi="Times New Roman"/>
          <w:sz w:val="20"/>
          <w:szCs w:val="20"/>
        </w:rPr>
      </w:pPr>
      <w:r w:rsidRPr="00AF261E">
        <w:rPr>
          <w:rFonts w:ascii="Times New Roman" w:hAnsi="Times New Roman"/>
          <w:sz w:val="20"/>
          <w:szCs w:val="20"/>
        </w:rPr>
        <w:fldChar w:fldCharType="end"/>
      </w:r>
    </w:p>
    <w:p w:rsidR="00E60F0F" w:rsidRDefault="00E60F0F" w:rsidP="005B22B2">
      <w:pPr>
        <w:spacing w:after="0" w:line="240" w:lineRule="auto"/>
        <w:rPr>
          <w:rFonts w:ascii="Times New Roman" w:hAnsi="Times New Roman"/>
          <w:sz w:val="20"/>
          <w:szCs w:val="20"/>
        </w:rPr>
      </w:pPr>
    </w:p>
    <w:p w:rsidR="00D11D6B" w:rsidRPr="00F43FEA" w:rsidRDefault="00D11D6B" w:rsidP="005B22B2">
      <w:pPr>
        <w:spacing w:after="0" w:line="240" w:lineRule="auto"/>
        <w:rPr>
          <w:rFonts w:ascii="Times New Roman" w:hAnsi="Times New Roman"/>
          <w:sz w:val="20"/>
          <w:szCs w:val="20"/>
        </w:rPr>
      </w:pPr>
    </w:p>
    <w:p w:rsidR="00F43FEA" w:rsidRDefault="00F43FEA">
      <w:pPr>
        <w:spacing w:after="0" w:line="240" w:lineRule="auto"/>
        <w:rPr>
          <w:rFonts w:ascii="Cambria" w:eastAsia="Times New Roman" w:hAnsi="Cambria"/>
          <w:b/>
          <w:bCs/>
          <w:sz w:val="28"/>
          <w:szCs w:val="28"/>
        </w:rPr>
      </w:pPr>
      <w:bookmarkStart w:id="2" w:name="_Toc499211569"/>
      <w:bookmarkStart w:id="3" w:name="_Toc500967823"/>
      <w:bookmarkStart w:id="4" w:name="_Toc500974503"/>
      <w:bookmarkStart w:id="5" w:name="_Toc502863839"/>
      <w:r>
        <w:br w:type="page"/>
      </w:r>
    </w:p>
    <w:p w:rsidR="00304E7E" w:rsidRPr="006B309F" w:rsidRDefault="007C76E1" w:rsidP="00304E7E">
      <w:pPr>
        <w:pStyle w:val="Titre2"/>
        <w:numPr>
          <w:ilvl w:val="0"/>
          <w:numId w:val="16"/>
        </w:numPr>
        <w:spacing w:before="0"/>
        <w:rPr>
          <w:rFonts w:ascii="Times New Roman" w:hAnsi="Times New Roman"/>
          <w:color w:val="auto"/>
          <w:sz w:val="24"/>
          <w:szCs w:val="24"/>
        </w:rPr>
      </w:pPr>
      <w:bookmarkStart w:id="6" w:name="_Toc505757919"/>
      <w:bookmarkStart w:id="7" w:name="_Toc506220146"/>
      <w:bookmarkEnd w:id="0"/>
      <w:bookmarkEnd w:id="2"/>
      <w:bookmarkEnd w:id="3"/>
      <w:bookmarkEnd w:id="4"/>
      <w:bookmarkEnd w:id="5"/>
      <w:r>
        <w:rPr>
          <w:rFonts w:ascii="Times New Roman" w:hAnsi="Times New Roman"/>
          <w:color w:val="auto"/>
          <w:sz w:val="24"/>
          <w:szCs w:val="24"/>
        </w:rPr>
        <w:lastRenderedPageBreak/>
        <w:t>Données et performances substantielles du programme à mi-parcours</w:t>
      </w:r>
      <w:bookmarkEnd w:id="6"/>
      <w:bookmarkEnd w:id="7"/>
    </w:p>
    <w:p w:rsidR="00304E7E" w:rsidRDefault="00304E7E" w:rsidP="005B22B2">
      <w:pPr>
        <w:spacing w:after="0" w:line="240" w:lineRule="auto"/>
        <w:rPr>
          <w:rFonts w:ascii="Times New Roman" w:hAnsi="Times New Roman"/>
          <w:sz w:val="20"/>
          <w:szCs w:val="20"/>
        </w:rPr>
      </w:pPr>
    </w:p>
    <w:p w:rsidR="00304E7E" w:rsidRDefault="00304E7E" w:rsidP="005B22B2">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bookmarkStart w:id="8" w:name="_Toc502863775"/>
      <w:bookmarkStart w:id="9" w:name="_Toc502863784"/>
      <w:r w:rsidRPr="007C76E1">
        <w:rPr>
          <w:rFonts w:ascii="Times New Roman" w:hAnsi="Times New Roman"/>
          <w:bCs/>
          <w:sz w:val="20"/>
          <w:szCs w:val="20"/>
        </w:rPr>
        <w:t>Tableau 1 : Programmation budgétaire initiale</w:t>
      </w:r>
      <w:bookmarkEnd w:id="8"/>
    </w:p>
    <w:p w:rsidR="007C76E1" w:rsidRPr="007C76E1" w:rsidRDefault="007C76E1" w:rsidP="007C76E1">
      <w:pPr>
        <w:spacing w:after="0" w:line="240" w:lineRule="auto"/>
        <w:rPr>
          <w:rFonts w:ascii="Times New Roman" w:hAnsi="Times New Roman"/>
          <w:sz w:val="20"/>
          <w:szCs w:val="20"/>
        </w:rPr>
      </w:pPr>
    </w:p>
    <w:tbl>
      <w:tblPr>
        <w:tblStyle w:val="Grilledutableau2"/>
        <w:tblW w:w="9606" w:type="dxa"/>
        <w:tblLayout w:type="fixed"/>
        <w:tblLook w:val="04A0" w:firstRow="1" w:lastRow="0" w:firstColumn="1" w:lastColumn="0" w:noHBand="0" w:noVBand="1"/>
      </w:tblPr>
      <w:tblGrid>
        <w:gridCol w:w="533"/>
        <w:gridCol w:w="4395"/>
        <w:gridCol w:w="1134"/>
        <w:gridCol w:w="1134"/>
        <w:gridCol w:w="1276"/>
        <w:gridCol w:w="1134"/>
      </w:tblGrid>
      <w:tr w:rsidR="007C76E1" w:rsidRPr="007C76E1" w:rsidTr="007C76E1">
        <w:tc>
          <w:tcPr>
            <w:tcW w:w="533" w:type="dxa"/>
            <w:vMerge w:val="restart"/>
            <w:shd w:val="clear" w:color="auto" w:fill="D9D9D9"/>
            <w:vAlign w:val="center"/>
          </w:tcPr>
          <w:p w:rsidR="007C76E1" w:rsidRPr="007C76E1" w:rsidRDefault="007C76E1" w:rsidP="007C76E1">
            <w:pPr>
              <w:spacing w:after="0" w:line="240" w:lineRule="auto"/>
              <w:rPr>
                <w:sz w:val="20"/>
                <w:szCs w:val="20"/>
              </w:rPr>
            </w:pPr>
            <w:r w:rsidRPr="007C76E1">
              <w:rPr>
                <w:sz w:val="20"/>
                <w:szCs w:val="20"/>
              </w:rPr>
              <w:t>N°</w:t>
            </w:r>
          </w:p>
        </w:tc>
        <w:tc>
          <w:tcPr>
            <w:tcW w:w="4395" w:type="dxa"/>
            <w:vMerge w:val="restart"/>
            <w:shd w:val="clear" w:color="auto" w:fill="D9D9D9"/>
            <w:vAlign w:val="center"/>
          </w:tcPr>
          <w:p w:rsidR="007C76E1" w:rsidRPr="007C76E1" w:rsidRDefault="007C76E1" w:rsidP="007C76E1">
            <w:pPr>
              <w:spacing w:after="0" w:line="240" w:lineRule="auto"/>
              <w:rPr>
                <w:sz w:val="20"/>
                <w:szCs w:val="20"/>
              </w:rPr>
            </w:pPr>
            <w:r w:rsidRPr="007C76E1">
              <w:rPr>
                <w:sz w:val="20"/>
                <w:szCs w:val="20"/>
              </w:rPr>
              <w:t>Axes Programmatiques</w:t>
            </w:r>
          </w:p>
        </w:tc>
        <w:tc>
          <w:tcPr>
            <w:tcW w:w="4678" w:type="dxa"/>
            <w:gridSpan w:val="4"/>
            <w:shd w:val="clear" w:color="auto" w:fill="D9D9D9"/>
            <w:vAlign w:val="center"/>
          </w:tcPr>
          <w:p w:rsidR="007C76E1" w:rsidRPr="007C76E1" w:rsidRDefault="007C76E1" w:rsidP="007C76E1">
            <w:pPr>
              <w:spacing w:after="0" w:line="240" w:lineRule="auto"/>
              <w:rPr>
                <w:sz w:val="20"/>
                <w:szCs w:val="20"/>
              </w:rPr>
            </w:pPr>
            <w:r w:rsidRPr="007C76E1">
              <w:rPr>
                <w:sz w:val="20"/>
                <w:szCs w:val="20"/>
              </w:rPr>
              <w:t>Ressources en millions de USD</w:t>
            </w:r>
          </w:p>
        </w:tc>
      </w:tr>
      <w:tr w:rsidR="007C76E1" w:rsidRPr="007C76E1" w:rsidTr="007C76E1">
        <w:tc>
          <w:tcPr>
            <w:tcW w:w="533" w:type="dxa"/>
            <w:vMerge/>
            <w:shd w:val="clear" w:color="auto" w:fill="D9D9D9"/>
            <w:vAlign w:val="center"/>
          </w:tcPr>
          <w:p w:rsidR="007C76E1" w:rsidRPr="007C76E1" w:rsidRDefault="007C76E1" w:rsidP="007C76E1">
            <w:pPr>
              <w:spacing w:after="0" w:line="240" w:lineRule="auto"/>
              <w:rPr>
                <w:sz w:val="20"/>
                <w:szCs w:val="20"/>
              </w:rPr>
            </w:pPr>
          </w:p>
        </w:tc>
        <w:tc>
          <w:tcPr>
            <w:tcW w:w="4395" w:type="dxa"/>
            <w:vMerge/>
            <w:shd w:val="clear" w:color="auto" w:fill="D9D9D9"/>
            <w:vAlign w:val="center"/>
          </w:tcPr>
          <w:p w:rsidR="007C76E1" w:rsidRPr="007C76E1" w:rsidRDefault="007C76E1" w:rsidP="007C76E1">
            <w:pPr>
              <w:spacing w:after="0" w:line="240" w:lineRule="auto"/>
              <w:rPr>
                <w:sz w:val="20"/>
                <w:szCs w:val="20"/>
              </w:rPr>
            </w:pPr>
          </w:p>
        </w:tc>
        <w:tc>
          <w:tcPr>
            <w:tcW w:w="1134"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Ordinaires</w:t>
            </w:r>
          </w:p>
        </w:tc>
        <w:tc>
          <w:tcPr>
            <w:tcW w:w="1134"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Autres</w:t>
            </w:r>
          </w:p>
        </w:tc>
        <w:tc>
          <w:tcPr>
            <w:tcW w:w="1276"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Total</w:t>
            </w:r>
          </w:p>
        </w:tc>
        <w:tc>
          <w:tcPr>
            <w:tcW w:w="1134"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En %</w:t>
            </w:r>
          </w:p>
        </w:tc>
      </w:tr>
      <w:tr w:rsidR="007C76E1" w:rsidRPr="007C76E1" w:rsidTr="007C76E1">
        <w:tc>
          <w:tcPr>
            <w:tcW w:w="533"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1.</w:t>
            </w:r>
          </w:p>
        </w:tc>
        <w:tc>
          <w:tcPr>
            <w:tcW w:w="4395" w:type="dxa"/>
            <w:vAlign w:val="center"/>
          </w:tcPr>
          <w:p w:rsidR="007C76E1" w:rsidRPr="007C76E1" w:rsidRDefault="007C76E1" w:rsidP="007C76E1">
            <w:pPr>
              <w:spacing w:after="0" w:line="240" w:lineRule="auto"/>
              <w:rPr>
                <w:sz w:val="20"/>
                <w:szCs w:val="20"/>
              </w:rPr>
            </w:pPr>
            <w:r w:rsidRPr="007C76E1">
              <w:rPr>
                <w:b/>
                <w:sz w:val="20"/>
                <w:szCs w:val="20"/>
              </w:rPr>
              <w:t>Effet 1</w:t>
            </w:r>
            <w:r w:rsidRPr="007C76E1">
              <w:rPr>
                <w:sz w:val="20"/>
                <w:szCs w:val="20"/>
              </w:rPr>
              <w:t> : " La paix et la stabilisation sont assurées à travers un dialogue politique inclusif, une réforme des institutions concernées et la promotion d’une coexistence pacifique et le respect des droits humains."</w:t>
            </w:r>
          </w:p>
        </w:tc>
        <w:tc>
          <w:tcPr>
            <w:tcW w:w="1134" w:type="dxa"/>
            <w:vAlign w:val="center"/>
          </w:tcPr>
          <w:p w:rsidR="007C76E1" w:rsidRPr="007C76E1" w:rsidRDefault="007C76E1" w:rsidP="007C76E1">
            <w:pPr>
              <w:spacing w:after="0" w:line="240" w:lineRule="auto"/>
              <w:rPr>
                <w:sz w:val="20"/>
                <w:szCs w:val="20"/>
              </w:rPr>
            </w:pPr>
          </w:p>
        </w:tc>
        <w:tc>
          <w:tcPr>
            <w:tcW w:w="1134" w:type="dxa"/>
            <w:vAlign w:val="center"/>
          </w:tcPr>
          <w:p w:rsidR="007C76E1" w:rsidRPr="007C76E1" w:rsidRDefault="007C76E1" w:rsidP="007C76E1">
            <w:pPr>
              <w:spacing w:after="0" w:line="240" w:lineRule="auto"/>
              <w:rPr>
                <w:sz w:val="20"/>
                <w:szCs w:val="20"/>
              </w:rPr>
            </w:pPr>
          </w:p>
        </w:tc>
        <w:tc>
          <w:tcPr>
            <w:tcW w:w="1276" w:type="dxa"/>
            <w:vMerge w:val="restart"/>
            <w:vAlign w:val="center"/>
          </w:tcPr>
          <w:p w:rsidR="007C76E1" w:rsidRPr="007C76E1" w:rsidRDefault="007C76E1" w:rsidP="007C76E1">
            <w:pPr>
              <w:spacing w:after="0" w:line="240" w:lineRule="auto"/>
              <w:rPr>
                <w:sz w:val="20"/>
                <w:szCs w:val="20"/>
              </w:rPr>
            </w:pPr>
            <w:r w:rsidRPr="007C76E1">
              <w:rPr>
                <w:sz w:val="20"/>
                <w:szCs w:val="20"/>
              </w:rPr>
              <w:t>253 700 703</w:t>
            </w:r>
          </w:p>
        </w:tc>
        <w:tc>
          <w:tcPr>
            <w:tcW w:w="1134" w:type="dxa"/>
            <w:vMerge w:val="restart"/>
            <w:vAlign w:val="center"/>
          </w:tcPr>
          <w:p w:rsidR="007C76E1" w:rsidRPr="007C76E1" w:rsidRDefault="007C76E1" w:rsidP="007C76E1">
            <w:pPr>
              <w:spacing w:after="0" w:line="240" w:lineRule="auto"/>
              <w:rPr>
                <w:sz w:val="20"/>
                <w:szCs w:val="20"/>
              </w:rPr>
            </w:pPr>
            <w:r w:rsidRPr="007C76E1">
              <w:rPr>
                <w:sz w:val="20"/>
                <w:szCs w:val="20"/>
              </w:rPr>
              <w:t>23,3%</w:t>
            </w:r>
          </w:p>
        </w:tc>
      </w:tr>
      <w:tr w:rsidR="007C76E1" w:rsidRPr="007C76E1" w:rsidTr="007C76E1">
        <w:tc>
          <w:tcPr>
            <w:tcW w:w="533"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2.</w:t>
            </w:r>
          </w:p>
        </w:tc>
        <w:tc>
          <w:tcPr>
            <w:tcW w:w="4395" w:type="dxa"/>
            <w:vAlign w:val="center"/>
          </w:tcPr>
          <w:p w:rsidR="007C76E1" w:rsidRPr="007C76E1" w:rsidRDefault="007C76E1" w:rsidP="007C76E1">
            <w:pPr>
              <w:spacing w:after="0" w:line="240" w:lineRule="auto"/>
              <w:rPr>
                <w:sz w:val="20"/>
                <w:szCs w:val="20"/>
              </w:rPr>
            </w:pPr>
            <w:r w:rsidRPr="007C76E1">
              <w:rPr>
                <w:b/>
                <w:sz w:val="20"/>
                <w:szCs w:val="20"/>
              </w:rPr>
              <w:t>Effet 2</w:t>
            </w:r>
            <w:r w:rsidRPr="007C76E1">
              <w:rPr>
                <w:sz w:val="20"/>
                <w:szCs w:val="20"/>
              </w:rPr>
              <w:t xml:space="preserve"> : " D’ici 2019, la cohésion sociale est facilitée par la justice transitionnelle, le dialogue communautaire inclusif, la culture et l’éducation pour la paix."</w:t>
            </w:r>
          </w:p>
        </w:tc>
        <w:tc>
          <w:tcPr>
            <w:tcW w:w="1134" w:type="dxa"/>
            <w:vAlign w:val="center"/>
          </w:tcPr>
          <w:p w:rsidR="007C76E1" w:rsidRPr="007C76E1" w:rsidRDefault="007C76E1" w:rsidP="007C76E1">
            <w:pPr>
              <w:spacing w:after="0" w:line="240" w:lineRule="auto"/>
              <w:rPr>
                <w:sz w:val="20"/>
                <w:szCs w:val="20"/>
              </w:rPr>
            </w:pPr>
          </w:p>
        </w:tc>
        <w:tc>
          <w:tcPr>
            <w:tcW w:w="1134" w:type="dxa"/>
            <w:vAlign w:val="center"/>
          </w:tcPr>
          <w:p w:rsidR="007C76E1" w:rsidRPr="007C76E1" w:rsidRDefault="007C76E1" w:rsidP="007C76E1">
            <w:pPr>
              <w:spacing w:after="0" w:line="240" w:lineRule="auto"/>
              <w:rPr>
                <w:sz w:val="20"/>
                <w:szCs w:val="20"/>
              </w:rPr>
            </w:pPr>
          </w:p>
        </w:tc>
        <w:tc>
          <w:tcPr>
            <w:tcW w:w="1276" w:type="dxa"/>
            <w:vMerge/>
            <w:vAlign w:val="center"/>
          </w:tcPr>
          <w:p w:rsidR="007C76E1" w:rsidRPr="007C76E1" w:rsidRDefault="007C76E1" w:rsidP="007C76E1">
            <w:pPr>
              <w:spacing w:after="0" w:line="240" w:lineRule="auto"/>
              <w:rPr>
                <w:sz w:val="20"/>
                <w:szCs w:val="20"/>
              </w:rPr>
            </w:pPr>
          </w:p>
        </w:tc>
        <w:tc>
          <w:tcPr>
            <w:tcW w:w="1134" w:type="dxa"/>
            <w:vMerge/>
            <w:vAlign w:val="center"/>
          </w:tcPr>
          <w:p w:rsidR="007C76E1" w:rsidRPr="007C76E1" w:rsidRDefault="007C76E1" w:rsidP="007C76E1">
            <w:pPr>
              <w:spacing w:after="0" w:line="240" w:lineRule="auto"/>
              <w:rPr>
                <w:sz w:val="20"/>
                <w:szCs w:val="20"/>
              </w:rPr>
            </w:pPr>
          </w:p>
        </w:tc>
      </w:tr>
      <w:tr w:rsidR="007C76E1" w:rsidRPr="007C76E1" w:rsidTr="007C76E1">
        <w:tc>
          <w:tcPr>
            <w:tcW w:w="533"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3.</w:t>
            </w:r>
          </w:p>
        </w:tc>
        <w:tc>
          <w:tcPr>
            <w:tcW w:w="4395" w:type="dxa"/>
            <w:vAlign w:val="center"/>
          </w:tcPr>
          <w:p w:rsidR="007C76E1" w:rsidRPr="007C76E1" w:rsidRDefault="007C76E1" w:rsidP="007C76E1">
            <w:pPr>
              <w:spacing w:after="0" w:line="240" w:lineRule="auto"/>
              <w:rPr>
                <w:sz w:val="20"/>
                <w:szCs w:val="20"/>
              </w:rPr>
            </w:pPr>
            <w:r w:rsidRPr="007C76E1">
              <w:rPr>
                <w:b/>
                <w:sz w:val="20"/>
                <w:szCs w:val="20"/>
              </w:rPr>
              <w:t>Effet 3</w:t>
            </w:r>
            <w:r w:rsidRPr="007C76E1">
              <w:rPr>
                <w:sz w:val="20"/>
                <w:szCs w:val="20"/>
              </w:rPr>
              <w:t xml:space="preserve"> : "Les institutions étatiques, nationales et locales, exercent de manière plus efficace leurs missions de service public et les acteurs non étatiques participent et assurent le contrôle citoyen en conformité avec les principes de bonne gouvernanc."</w:t>
            </w:r>
          </w:p>
        </w:tc>
        <w:tc>
          <w:tcPr>
            <w:tcW w:w="1134" w:type="dxa"/>
            <w:vAlign w:val="center"/>
          </w:tcPr>
          <w:p w:rsidR="007C76E1" w:rsidRPr="007C76E1" w:rsidRDefault="007C76E1" w:rsidP="007C76E1">
            <w:pPr>
              <w:spacing w:after="0" w:line="240" w:lineRule="auto"/>
              <w:rPr>
                <w:sz w:val="20"/>
                <w:szCs w:val="20"/>
              </w:rPr>
            </w:pPr>
          </w:p>
        </w:tc>
        <w:tc>
          <w:tcPr>
            <w:tcW w:w="1134" w:type="dxa"/>
            <w:vAlign w:val="center"/>
          </w:tcPr>
          <w:p w:rsidR="007C76E1" w:rsidRPr="007C76E1" w:rsidRDefault="007C76E1" w:rsidP="007C76E1">
            <w:pPr>
              <w:spacing w:after="0" w:line="240" w:lineRule="auto"/>
              <w:rPr>
                <w:sz w:val="20"/>
                <w:szCs w:val="20"/>
              </w:rPr>
            </w:pPr>
          </w:p>
        </w:tc>
        <w:tc>
          <w:tcPr>
            <w:tcW w:w="1276" w:type="dxa"/>
            <w:vAlign w:val="center"/>
          </w:tcPr>
          <w:p w:rsidR="007C76E1" w:rsidRPr="007C76E1" w:rsidRDefault="007C76E1" w:rsidP="007C76E1">
            <w:pPr>
              <w:spacing w:after="0" w:line="240" w:lineRule="auto"/>
              <w:rPr>
                <w:sz w:val="20"/>
                <w:szCs w:val="20"/>
              </w:rPr>
            </w:pPr>
            <w:r w:rsidRPr="007C76E1">
              <w:rPr>
                <w:sz w:val="20"/>
                <w:szCs w:val="20"/>
              </w:rPr>
              <w:t>96 719 719</w:t>
            </w:r>
          </w:p>
        </w:tc>
        <w:tc>
          <w:tcPr>
            <w:tcW w:w="1134" w:type="dxa"/>
            <w:vAlign w:val="center"/>
          </w:tcPr>
          <w:p w:rsidR="007C76E1" w:rsidRPr="007C76E1" w:rsidRDefault="007C76E1" w:rsidP="007C76E1">
            <w:pPr>
              <w:spacing w:after="0" w:line="240" w:lineRule="auto"/>
              <w:rPr>
                <w:sz w:val="20"/>
                <w:szCs w:val="20"/>
              </w:rPr>
            </w:pPr>
            <w:r w:rsidRPr="007C76E1">
              <w:rPr>
                <w:sz w:val="20"/>
                <w:szCs w:val="20"/>
              </w:rPr>
              <w:t>8,5%</w:t>
            </w:r>
          </w:p>
        </w:tc>
      </w:tr>
      <w:tr w:rsidR="007C76E1" w:rsidRPr="007C76E1" w:rsidTr="007C76E1">
        <w:tc>
          <w:tcPr>
            <w:tcW w:w="533"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4.</w:t>
            </w:r>
          </w:p>
        </w:tc>
        <w:tc>
          <w:tcPr>
            <w:tcW w:w="4395" w:type="dxa"/>
            <w:vAlign w:val="center"/>
          </w:tcPr>
          <w:p w:rsidR="007C76E1" w:rsidRPr="007C76E1" w:rsidRDefault="007C76E1" w:rsidP="007C76E1">
            <w:pPr>
              <w:spacing w:after="0" w:line="240" w:lineRule="auto"/>
              <w:rPr>
                <w:sz w:val="20"/>
                <w:szCs w:val="20"/>
              </w:rPr>
            </w:pPr>
            <w:r w:rsidRPr="007C76E1">
              <w:rPr>
                <w:b/>
                <w:sz w:val="20"/>
                <w:szCs w:val="20"/>
              </w:rPr>
              <w:t xml:space="preserve">Effet </w:t>
            </w:r>
            <w:r w:rsidRPr="007C76E1">
              <w:rPr>
                <w:sz w:val="20"/>
                <w:szCs w:val="20"/>
              </w:rPr>
              <w:t>4 : "Les institutions étatiques, nationales et locales, exercent de manière plus efficace leurs missions de service public et les acteurs non étatiques participent et assurent le contrôle citoyen en conformité avec les principes de bonne gouvernance."</w:t>
            </w:r>
          </w:p>
        </w:tc>
        <w:tc>
          <w:tcPr>
            <w:tcW w:w="1134" w:type="dxa"/>
            <w:vAlign w:val="center"/>
          </w:tcPr>
          <w:p w:rsidR="007C76E1" w:rsidRPr="007C76E1" w:rsidRDefault="007C76E1" w:rsidP="007C76E1">
            <w:pPr>
              <w:spacing w:after="0" w:line="240" w:lineRule="auto"/>
              <w:rPr>
                <w:sz w:val="20"/>
                <w:szCs w:val="20"/>
              </w:rPr>
            </w:pPr>
          </w:p>
        </w:tc>
        <w:tc>
          <w:tcPr>
            <w:tcW w:w="1134" w:type="dxa"/>
            <w:vAlign w:val="center"/>
          </w:tcPr>
          <w:p w:rsidR="007C76E1" w:rsidRPr="007C76E1" w:rsidRDefault="007C76E1" w:rsidP="007C76E1">
            <w:pPr>
              <w:spacing w:after="0" w:line="240" w:lineRule="auto"/>
              <w:rPr>
                <w:sz w:val="20"/>
                <w:szCs w:val="20"/>
              </w:rPr>
            </w:pPr>
          </w:p>
        </w:tc>
        <w:tc>
          <w:tcPr>
            <w:tcW w:w="1276" w:type="dxa"/>
            <w:vAlign w:val="center"/>
          </w:tcPr>
          <w:p w:rsidR="007C76E1" w:rsidRPr="007C76E1" w:rsidRDefault="007C76E1" w:rsidP="007C76E1">
            <w:pPr>
              <w:spacing w:after="0" w:line="240" w:lineRule="auto"/>
              <w:rPr>
                <w:sz w:val="20"/>
                <w:szCs w:val="20"/>
              </w:rPr>
            </w:pPr>
            <w:r w:rsidRPr="007C76E1">
              <w:rPr>
                <w:sz w:val="20"/>
                <w:szCs w:val="20"/>
              </w:rPr>
              <w:t>197 954 046</w:t>
            </w:r>
          </w:p>
        </w:tc>
        <w:tc>
          <w:tcPr>
            <w:tcW w:w="1134" w:type="dxa"/>
            <w:vAlign w:val="center"/>
          </w:tcPr>
          <w:p w:rsidR="007C76E1" w:rsidRPr="007C76E1" w:rsidRDefault="007C76E1" w:rsidP="007C76E1">
            <w:pPr>
              <w:spacing w:after="0" w:line="240" w:lineRule="auto"/>
              <w:rPr>
                <w:sz w:val="20"/>
                <w:szCs w:val="20"/>
              </w:rPr>
            </w:pPr>
            <w:r w:rsidRPr="007C76E1">
              <w:rPr>
                <w:sz w:val="20"/>
                <w:szCs w:val="20"/>
              </w:rPr>
              <w:t>17,4%</w:t>
            </w:r>
          </w:p>
        </w:tc>
      </w:tr>
      <w:tr w:rsidR="007C76E1" w:rsidRPr="007C76E1" w:rsidTr="007C76E1">
        <w:tc>
          <w:tcPr>
            <w:tcW w:w="533"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5.</w:t>
            </w:r>
          </w:p>
        </w:tc>
        <w:tc>
          <w:tcPr>
            <w:tcW w:w="4395" w:type="dxa"/>
            <w:vAlign w:val="center"/>
          </w:tcPr>
          <w:p w:rsidR="007C76E1" w:rsidRPr="007C76E1" w:rsidRDefault="007C76E1" w:rsidP="007C76E1">
            <w:pPr>
              <w:spacing w:after="0" w:line="240" w:lineRule="auto"/>
              <w:rPr>
                <w:b/>
                <w:sz w:val="20"/>
                <w:szCs w:val="20"/>
              </w:rPr>
            </w:pPr>
            <w:r w:rsidRPr="007C76E1">
              <w:rPr>
                <w:b/>
                <w:sz w:val="20"/>
                <w:szCs w:val="20"/>
              </w:rPr>
              <w:t xml:space="preserve">Effet 5 </w:t>
            </w:r>
            <w:r w:rsidRPr="007C76E1">
              <w:rPr>
                <w:sz w:val="20"/>
                <w:szCs w:val="20"/>
              </w:rPr>
              <w:t>"</w:t>
            </w:r>
            <w:r w:rsidRPr="007C76E1">
              <w:rPr>
                <w:bCs/>
                <w:sz w:val="20"/>
                <w:szCs w:val="20"/>
              </w:rPr>
              <w:t>Les populations défavorisées particulièrement les femmes et les jeunes, bénéficient de capacités et d’opportunités productives accrues, dans un environnement sain et durable, favorable à la réduction de la pauvreté</w:t>
            </w:r>
            <w:r w:rsidRPr="007C76E1">
              <w:rPr>
                <w:sz w:val="20"/>
                <w:szCs w:val="20"/>
              </w:rPr>
              <w:t>."</w:t>
            </w:r>
          </w:p>
        </w:tc>
        <w:tc>
          <w:tcPr>
            <w:tcW w:w="1134" w:type="dxa"/>
            <w:vAlign w:val="center"/>
          </w:tcPr>
          <w:p w:rsidR="007C76E1" w:rsidRPr="007C76E1" w:rsidRDefault="007C76E1" w:rsidP="007C76E1">
            <w:pPr>
              <w:spacing w:after="0" w:line="240" w:lineRule="auto"/>
              <w:rPr>
                <w:sz w:val="20"/>
                <w:szCs w:val="20"/>
              </w:rPr>
            </w:pPr>
          </w:p>
        </w:tc>
        <w:tc>
          <w:tcPr>
            <w:tcW w:w="1134" w:type="dxa"/>
            <w:vAlign w:val="center"/>
          </w:tcPr>
          <w:p w:rsidR="007C76E1" w:rsidRPr="007C76E1" w:rsidRDefault="007C76E1" w:rsidP="007C76E1">
            <w:pPr>
              <w:spacing w:after="0" w:line="240" w:lineRule="auto"/>
              <w:rPr>
                <w:sz w:val="20"/>
                <w:szCs w:val="20"/>
              </w:rPr>
            </w:pPr>
          </w:p>
        </w:tc>
        <w:tc>
          <w:tcPr>
            <w:tcW w:w="1276" w:type="dxa"/>
            <w:vAlign w:val="center"/>
          </w:tcPr>
          <w:p w:rsidR="007C76E1" w:rsidRPr="007C76E1" w:rsidRDefault="007C76E1" w:rsidP="007C76E1">
            <w:pPr>
              <w:spacing w:after="0" w:line="240" w:lineRule="auto"/>
              <w:rPr>
                <w:sz w:val="20"/>
                <w:szCs w:val="20"/>
              </w:rPr>
            </w:pPr>
            <w:r w:rsidRPr="007C76E1">
              <w:rPr>
                <w:sz w:val="20"/>
                <w:szCs w:val="20"/>
              </w:rPr>
              <w:t>589 258 410</w:t>
            </w:r>
          </w:p>
        </w:tc>
        <w:tc>
          <w:tcPr>
            <w:tcW w:w="1134" w:type="dxa"/>
            <w:vAlign w:val="center"/>
          </w:tcPr>
          <w:p w:rsidR="007C76E1" w:rsidRPr="007C76E1" w:rsidRDefault="007C76E1" w:rsidP="007C76E1">
            <w:pPr>
              <w:spacing w:after="0" w:line="240" w:lineRule="auto"/>
              <w:rPr>
                <w:sz w:val="20"/>
                <w:szCs w:val="20"/>
              </w:rPr>
            </w:pPr>
            <w:r w:rsidRPr="007C76E1">
              <w:rPr>
                <w:sz w:val="20"/>
                <w:szCs w:val="20"/>
              </w:rPr>
              <w:t>51,8%</w:t>
            </w:r>
          </w:p>
        </w:tc>
      </w:tr>
      <w:tr w:rsidR="007C76E1" w:rsidRPr="007C76E1" w:rsidTr="007C76E1">
        <w:tc>
          <w:tcPr>
            <w:tcW w:w="533" w:type="dxa"/>
            <w:shd w:val="clear" w:color="auto" w:fill="D9D9D9"/>
            <w:vAlign w:val="center"/>
          </w:tcPr>
          <w:p w:rsidR="007C76E1" w:rsidRPr="007C76E1" w:rsidRDefault="007C76E1" w:rsidP="007C76E1">
            <w:pPr>
              <w:spacing w:after="0" w:line="240" w:lineRule="auto"/>
              <w:rPr>
                <w:sz w:val="20"/>
                <w:szCs w:val="20"/>
              </w:rPr>
            </w:pPr>
            <w:r w:rsidRPr="007C76E1">
              <w:rPr>
                <w:sz w:val="20"/>
                <w:szCs w:val="20"/>
              </w:rPr>
              <w:t>6.</w:t>
            </w:r>
          </w:p>
        </w:tc>
        <w:tc>
          <w:tcPr>
            <w:tcW w:w="4395" w:type="dxa"/>
            <w:vAlign w:val="center"/>
          </w:tcPr>
          <w:p w:rsidR="007C76E1" w:rsidRPr="007C76E1" w:rsidRDefault="007C76E1" w:rsidP="007C76E1">
            <w:pPr>
              <w:spacing w:after="0" w:line="240" w:lineRule="auto"/>
              <w:rPr>
                <w:sz w:val="20"/>
                <w:szCs w:val="20"/>
              </w:rPr>
            </w:pPr>
            <w:r w:rsidRPr="007C76E1">
              <w:rPr>
                <w:sz w:val="20"/>
                <w:szCs w:val="20"/>
              </w:rPr>
              <w:t>UNDAF</w:t>
            </w:r>
          </w:p>
        </w:tc>
        <w:tc>
          <w:tcPr>
            <w:tcW w:w="1134" w:type="dxa"/>
            <w:vAlign w:val="center"/>
          </w:tcPr>
          <w:p w:rsidR="007C76E1" w:rsidRPr="007C76E1" w:rsidRDefault="007C76E1" w:rsidP="007C76E1">
            <w:pPr>
              <w:spacing w:after="0" w:line="240" w:lineRule="auto"/>
              <w:rPr>
                <w:sz w:val="20"/>
                <w:szCs w:val="20"/>
              </w:rPr>
            </w:pPr>
          </w:p>
        </w:tc>
        <w:tc>
          <w:tcPr>
            <w:tcW w:w="1134" w:type="dxa"/>
            <w:vAlign w:val="center"/>
          </w:tcPr>
          <w:p w:rsidR="007C76E1" w:rsidRPr="007C76E1" w:rsidRDefault="007C76E1" w:rsidP="007C76E1">
            <w:pPr>
              <w:spacing w:after="0" w:line="240" w:lineRule="auto"/>
              <w:rPr>
                <w:sz w:val="20"/>
                <w:szCs w:val="20"/>
              </w:rPr>
            </w:pPr>
          </w:p>
        </w:tc>
        <w:tc>
          <w:tcPr>
            <w:tcW w:w="1276" w:type="dxa"/>
            <w:vAlign w:val="center"/>
          </w:tcPr>
          <w:p w:rsidR="007C76E1" w:rsidRPr="007C76E1" w:rsidRDefault="007C76E1" w:rsidP="007C76E1">
            <w:pPr>
              <w:spacing w:after="0" w:line="240" w:lineRule="auto"/>
              <w:rPr>
                <w:sz w:val="20"/>
                <w:szCs w:val="20"/>
              </w:rPr>
            </w:pPr>
            <w:r w:rsidRPr="007C76E1">
              <w:rPr>
                <w:sz w:val="20"/>
                <w:szCs w:val="20"/>
              </w:rPr>
              <w:t>1 137 632 878</w:t>
            </w:r>
          </w:p>
        </w:tc>
        <w:tc>
          <w:tcPr>
            <w:tcW w:w="1134" w:type="dxa"/>
            <w:vAlign w:val="center"/>
          </w:tcPr>
          <w:p w:rsidR="007C76E1" w:rsidRPr="007C76E1" w:rsidRDefault="007C76E1" w:rsidP="007C76E1">
            <w:pPr>
              <w:spacing w:after="0" w:line="240" w:lineRule="auto"/>
              <w:rPr>
                <w:sz w:val="20"/>
                <w:szCs w:val="20"/>
              </w:rPr>
            </w:pPr>
            <w:r w:rsidRPr="007C76E1">
              <w:rPr>
                <w:sz w:val="20"/>
                <w:szCs w:val="20"/>
              </w:rPr>
              <w:t>100%</w:t>
            </w:r>
          </w:p>
        </w:tc>
      </w:tr>
    </w:tbl>
    <w:p w:rsidR="007C76E1" w:rsidRPr="007C76E1" w:rsidRDefault="007C76E1" w:rsidP="007C76E1">
      <w:pPr>
        <w:spacing w:after="0" w:line="240" w:lineRule="auto"/>
        <w:rPr>
          <w:rFonts w:ascii="Times New Roman" w:hAnsi="Times New Roman"/>
          <w:i/>
          <w:sz w:val="20"/>
          <w:szCs w:val="20"/>
          <w:lang w:val="en-US"/>
        </w:rPr>
      </w:pPr>
      <w:r w:rsidRPr="007C76E1">
        <w:rPr>
          <w:rFonts w:ascii="Times New Roman" w:hAnsi="Times New Roman"/>
          <w:i/>
          <w:sz w:val="20"/>
          <w:szCs w:val="20"/>
          <w:u w:val="single"/>
          <w:lang w:val="en-US"/>
        </w:rPr>
        <w:t>Source</w:t>
      </w:r>
      <w:r w:rsidRPr="007C76E1">
        <w:rPr>
          <w:rFonts w:ascii="Times New Roman" w:hAnsi="Times New Roman"/>
          <w:i/>
          <w:sz w:val="20"/>
          <w:szCs w:val="20"/>
          <w:lang w:val="en-US"/>
        </w:rPr>
        <w:t>: SNU/UNDAF</w:t>
      </w:r>
      <w:r w:rsidRPr="007C76E1">
        <w:rPr>
          <w:rFonts w:ascii="Times New Roman" w:hAnsi="Times New Roman"/>
          <w:i/>
          <w:sz w:val="20"/>
          <w:szCs w:val="20"/>
          <w:vertAlign w:val="superscript"/>
          <w:lang w:val="en-US"/>
        </w:rPr>
        <w:t>+</w:t>
      </w:r>
      <w:r w:rsidRPr="007C76E1">
        <w:rPr>
          <w:rFonts w:ascii="Times New Roman" w:hAnsi="Times New Roman"/>
          <w:i/>
          <w:sz w:val="20"/>
          <w:szCs w:val="20"/>
          <w:lang w:val="en-US"/>
        </w:rPr>
        <w:t>, cycle 2015-2019, Mali, Bamako</w:t>
      </w:r>
    </w:p>
    <w:p w:rsidR="007C76E1" w:rsidRPr="007C76E1" w:rsidRDefault="007C76E1" w:rsidP="007C76E1">
      <w:pPr>
        <w:spacing w:after="0" w:line="240" w:lineRule="auto"/>
        <w:rPr>
          <w:rFonts w:ascii="Times New Roman" w:hAnsi="Times New Roman"/>
          <w:bCs/>
          <w:sz w:val="20"/>
          <w:szCs w:val="20"/>
        </w:rPr>
      </w:pPr>
      <w:bookmarkStart w:id="10" w:name="_Toc502863780"/>
    </w:p>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Tableau 2 : Alignement UNDAFF/CREDD</w:t>
      </w:r>
      <w:bookmarkEnd w:id="10"/>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bl>
      <w:tblPr>
        <w:tblStyle w:val="Grilledutableau3"/>
        <w:tblW w:w="9072" w:type="dxa"/>
        <w:tblInd w:w="108" w:type="dxa"/>
        <w:tblLayout w:type="fixed"/>
        <w:tblLook w:val="04A0" w:firstRow="1" w:lastRow="0" w:firstColumn="1" w:lastColumn="0" w:noHBand="0" w:noVBand="1"/>
      </w:tblPr>
      <w:tblGrid>
        <w:gridCol w:w="567"/>
        <w:gridCol w:w="3544"/>
        <w:gridCol w:w="1701"/>
        <w:gridCol w:w="1559"/>
        <w:gridCol w:w="1701"/>
      </w:tblGrid>
      <w:tr w:rsidR="007C76E1" w:rsidRPr="007C76E1" w:rsidTr="007C76E1">
        <w:tc>
          <w:tcPr>
            <w:tcW w:w="4111" w:type="dxa"/>
            <w:gridSpan w:val="2"/>
            <w:vMerge w:val="restart"/>
            <w:tcBorders>
              <w:top w:val="single" w:sz="4" w:space="0" w:color="auto"/>
              <w:left w:val="single" w:sz="4" w:space="0" w:color="auto"/>
              <w:bottom w:val="single" w:sz="4" w:space="0" w:color="auto"/>
              <w:right w:val="single" w:sz="4" w:space="0" w:color="auto"/>
            </w:tcBorders>
            <w:vAlign w:val="center"/>
          </w:tcPr>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noProof/>
                <w:sz w:val="20"/>
                <w:szCs w:val="20"/>
                <w:lang w:eastAsia="fr-FR"/>
              </w:rPr>
              <w:drawing>
                <wp:inline distT="0" distB="0" distL="0" distR="0">
                  <wp:extent cx="1711757" cy="756970"/>
                  <wp:effectExtent l="0" t="0" r="0" b="5080"/>
                  <wp:docPr id="5"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c>
          <w:tcPr>
            <w:tcW w:w="4961" w:type="dxa"/>
            <w:gridSpan w:val="3"/>
            <w:tcBorders>
              <w:left w:val="single" w:sz="4" w:space="0" w:color="auto"/>
            </w:tcBorders>
            <w:vAlign w:val="center"/>
          </w:tcPr>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CREDD 2016-2018</w:t>
            </w:r>
          </w:p>
        </w:tc>
      </w:tr>
      <w:tr w:rsidR="007C76E1" w:rsidRPr="007C76E1" w:rsidTr="007C76E1">
        <w:tc>
          <w:tcPr>
            <w:tcW w:w="4111" w:type="dxa"/>
            <w:gridSpan w:val="2"/>
            <w:vMerge/>
            <w:tcBorders>
              <w:top w:val="single" w:sz="4" w:space="0" w:color="auto"/>
              <w:left w:val="single" w:sz="4" w:space="0" w:color="auto"/>
              <w:bottom w:val="single" w:sz="4" w:space="0" w:color="auto"/>
              <w:right w:val="single" w:sz="4" w:space="0" w:color="auto"/>
            </w:tcBorders>
            <w:vAlign w:val="center"/>
          </w:tcPr>
          <w:p w:rsidR="007C76E1" w:rsidRPr="007C76E1" w:rsidRDefault="007C76E1" w:rsidP="007C76E1">
            <w:pPr>
              <w:spacing w:after="0" w:line="240" w:lineRule="auto"/>
              <w:jc w:val="left"/>
              <w:rPr>
                <w:rFonts w:ascii="Times New Roman" w:hAnsi="Times New Roman"/>
                <w:sz w:val="20"/>
                <w:szCs w:val="20"/>
              </w:rPr>
            </w:pPr>
          </w:p>
        </w:tc>
        <w:tc>
          <w:tcPr>
            <w:tcW w:w="1701" w:type="dxa"/>
            <w:tcBorders>
              <w:left w:val="single" w:sz="4" w:space="0" w:color="auto"/>
            </w:tcBorders>
            <w:vAlign w:val="center"/>
          </w:tcPr>
          <w:p w:rsidR="007C76E1" w:rsidRPr="007C76E1" w:rsidRDefault="007C76E1" w:rsidP="007C76E1">
            <w:pPr>
              <w:spacing w:after="0" w:line="240" w:lineRule="auto"/>
              <w:jc w:val="left"/>
              <w:rPr>
                <w:rFonts w:ascii="Times New Roman" w:hAnsi="Times New Roman"/>
                <w:b/>
                <w:sz w:val="20"/>
                <w:szCs w:val="20"/>
              </w:rPr>
            </w:pPr>
            <w:r w:rsidRPr="007C76E1">
              <w:rPr>
                <w:rFonts w:ascii="Times New Roman" w:hAnsi="Times New Roman"/>
                <w:b/>
                <w:sz w:val="20"/>
                <w:szCs w:val="20"/>
              </w:rPr>
              <w:t>Axe 1 :</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"Croissance économique inclusive et durable"</w:t>
            </w:r>
          </w:p>
        </w:tc>
        <w:tc>
          <w:tcPr>
            <w:tcW w:w="1559" w:type="dxa"/>
            <w:vAlign w:val="center"/>
          </w:tcPr>
          <w:p w:rsidR="007C76E1" w:rsidRPr="007C76E1" w:rsidRDefault="007C76E1" w:rsidP="007C76E1">
            <w:pPr>
              <w:spacing w:after="0" w:line="240" w:lineRule="auto"/>
              <w:jc w:val="left"/>
              <w:rPr>
                <w:rFonts w:ascii="Times New Roman" w:hAnsi="Times New Roman"/>
                <w:b/>
                <w:sz w:val="20"/>
                <w:szCs w:val="20"/>
              </w:rPr>
            </w:pPr>
            <w:r w:rsidRPr="007C76E1">
              <w:rPr>
                <w:rFonts w:ascii="Times New Roman" w:hAnsi="Times New Roman"/>
                <w:b/>
                <w:sz w:val="20"/>
                <w:szCs w:val="20"/>
              </w:rPr>
              <w:t>Axe 2 :</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"Développement social et Accès aux services sociaux de base"</w:t>
            </w:r>
          </w:p>
        </w:tc>
        <w:tc>
          <w:tcPr>
            <w:tcW w:w="1701" w:type="dxa"/>
            <w:vAlign w:val="center"/>
          </w:tcPr>
          <w:p w:rsidR="007C76E1" w:rsidRPr="007C76E1" w:rsidRDefault="007C76E1" w:rsidP="007C76E1">
            <w:pPr>
              <w:spacing w:after="0" w:line="240" w:lineRule="auto"/>
              <w:jc w:val="left"/>
              <w:rPr>
                <w:rFonts w:ascii="Times New Roman" w:hAnsi="Times New Roman"/>
                <w:b/>
                <w:sz w:val="20"/>
                <w:szCs w:val="20"/>
              </w:rPr>
            </w:pPr>
            <w:r w:rsidRPr="007C76E1">
              <w:rPr>
                <w:rFonts w:ascii="Times New Roman" w:hAnsi="Times New Roman"/>
                <w:b/>
                <w:sz w:val="20"/>
                <w:szCs w:val="20"/>
              </w:rPr>
              <w:t>Axe 3 :</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"Développement institutionnel et Gouvernance"</w:t>
            </w:r>
          </w:p>
        </w:tc>
      </w:tr>
      <w:tr w:rsidR="007C76E1" w:rsidRPr="007C76E1" w:rsidTr="007C76E1">
        <w:tc>
          <w:tcPr>
            <w:tcW w:w="567" w:type="dxa"/>
            <w:vMerge w:val="restart"/>
            <w:tcBorders>
              <w:top w:val="single" w:sz="4" w:space="0" w:color="auto"/>
            </w:tcBorders>
            <w:vAlign w:val="center"/>
          </w:tcPr>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U</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N</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D</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A</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F</w:t>
            </w:r>
          </w:p>
          <w:p w:rsidR="007C76E1" w:rsidRPr="007C76E1" w:rsidRDefault="007C76E1" w:rsidP="007C76E1">
            <w:pPr>
              <w:spacing w:after="0" w:line="240" w:lineRule="auto"/>
              <w:jc w:val="left"/>
              <w:rPr>
                <w:rFonts w:ascii="Times New Roman" w:hAnsi="Times New Roman"/>
                <w:sz w:val="20"/>
                <w:szCs w:val="20"/>
              </w:rPr>
            </w:pP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2</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0</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1</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5</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2</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0</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t>1</w:t>
            </w:r>
          </w:p>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sz w:val="20"/>
                <w:szCs w:val="20"/>
              </w:rPr>
              <w:lastRenderedPageBreak/>
              <w:t>9</w:t>
            </w:r>
          </w:p>
        </w:tc>
        <w:tc>
          <w:tcPr>
            <w:tcW w:w="3544" w:type="dxa"/>
            <w:tcBorders>
              <w:top w:val="single" w:sz="4" w:space="0" w:color="auto"/>
            </w:tcBorders>
            <w:vAlign w:val="center"/>
          </w:tcPr>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b/>
                <w:sz w:val="20"/>
                <w:szCs w:val="20"/>
              </w:rPr>
              <w:lastRenderedPageBreak/>
              <w:t>Effet 1</w:t>
            </w:r>
            <w:r w:rsidRPr="007C76E1">
              <w:rPr>
                <w:rFonts w:ascii="Times New Roman" w:hAnsi="Times New Roman"/>
                <w:sz w:val="20"/>
                <w:szCs w:val="20"/>
              </w:rPr>
              <w:t> : " La paix et la stabilisation sont assurées à travers un dialogue politique inclusif, une réforme des institutions concernées et la promotion d’une coexistence pacifique et le respect des droits humains."</w:t>
            </w:r>
          </w:p>
        </w:tc>
        <w:tc>
          <w:tcPr>
            <w:tcW w:w="1701" w:type="dxa"/>
            <w:vAlign w:val="center"/>
          </w:tcPr>
          <w:p w:rsidR="007C76E1" w:rsidRPr="007C76E1" w:rsidRDefault="007C76E1" w:rsidP="007C76E1">
            <w:pPr>
              <w:spacing w:after="0" w:line="240" w:lineRule="auto"/>
              <w:jc w:val="left"/>
              <w:rPr>
                <w:rFonts w:ascii="Times New Roman" w:hAnsi="Times New Roman"/>
                <w:sz w:val="20"/>
                <w:szCs w:val="20"/>
              </w:rPr>
            </w:pPr>
          </w:p>
        </w:tc>
        <w:tc>
          <w:tcPr>
            <w:tcW w:w="1559" w:type="dxa"/>
            <w:vAlign w:val="center"/>
          </w:tcPr>
          <w:p w:rsidR="007C76E1" w:rsidRPr="007C76E1" w:rsidRDefault="007C76E1" w:rsidP="007C76E1">
            <w:pPr>
              <w:spacing w:after="0" w:line="240" w:lineRule="auto"/>
              <w:jc w:val="left"/>
              <w:rPr>
                <w:rFonts w:ascii="Times New Roman" w:hAnsi="Times New Roman"/>
                <w:sz w:val="20"/>
                <w:szCs w:val="20"/>
              </w:rPr>
            </w:pPr>
          </w:p>
        </w:tc>
        <w:tc>
          <w:tcPr>
            <w:tcW w:w="1701" w:type="dxa"/>
            <w:shd w:val="clear" w:color="auto" w:fill="BFBFBF"/>
            <w:vAlign w:val="center"/>
          </w:tcPr>
          <w:p w:rsidR="007C76E1" w:rsidRPr="007C76E1" w:rsidRDefault="007C76E1" w:rsidP="007C76E1">
            <w:pPr>
              <w:spacing w:after="0" w:line="240" w:lineRule="auto"/>
              <w:jc w:val="left"/>
              <w:rPr>
                <w:rFonts w:ascii="Times New Roman" w:hAnsi="Times New Roman"/>
                <w:sz w:val="20"/>
                <w:szCs w:val="20"/>
              </w:rPr>
            </w:pPr>
          </w:p>
        </w:tc>
      </w:tr>
      <w:tr w:rsidR="007C76E1" w:rsidRPr="007C76E1" w:rsidTr="007C76E1">
        <w:tc>
          <w:tcPr>
            <w:tcW w:w="567" w:type="dxa"/>
            <w:vMerge/>
            <w:vAlign w:val="center"/>
          </w:tcPr>
          <w:p w:rsidR="007C76E1" w:rsidRPr="007C76E1" w:rsidRDefault="007C76E1" w:rsidP="007C76E1">
            <w:pPr>
              <w:spacing w:after="0" w:line="240" w:lineRule="auto"/>
              <w:jc w:val="left"/>
              <w:rPr>
                <w:rFonts w:ascii="Times New Roman" w:hAnsi="Times New Roman"/>
                <w:sz w:val="20"/>
                <w:szCs w:val="20"/>
              </w:rPr>
            </w:pPr>
          </w:p>
        </w:tc>
        <w:tc>
          <w:tcPr>
            <w:tcW w:w="3544" w:type="dxa"/>
            <w:vAlign w:val="center"/>
          </w:tcPr>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b/>
                <w:sz w:val="20"/>
                <w:szCs w:val="20"/>
              </w:rPr>
              <w:t>Effet 2</w:t>
            </w:r>
            <w:r w:rsidRPr="007C76E1">
              <w:rPr>
                <w:rFonts w:ascii="Times New Roman" w:hAnsi="Times New Roman"/>
                <w:sz w:val="20"/>
                <w:szCs w:val="20"/>
              </w:rPr>
              <w:t xml:space="preserve"> : " D’ici 2019, la cohésion sociale est facilitée par la justice transitionnelle, le dialogue communautaire inclusif, la culture et l’éducation pour la paix."</w:t>
            </w:r>
          </w:p>
        </w:tc>
        <w:tc>
          <w:tcPr>
            <w:tcW w:w="1701" w:type="dxa"/>
            <w:vAlign w:val="center"/>
          </w:tcPr>
          <w:p w:rsidR="007C76E1" w:rsidRPr="007C76E1" w:rsidRDefault="007C76E1" w:rsidP="007C76E1">
            <w:pPr>
              <w:spacing w:after="0" w:line="240" w:lineRule="auto"/>
              <w:jc w:val="left"/>
              <w:rPr>
                <w:rFonts w:ascii="Times New Roman" w:hAnsi="Times New Roman"/>
                <w:sz w:val="20"/>
                <w:szCs w:val="20"/>
              </w:rPr>
            </w:pPr>
          </w:p>
        </w:tc>
        <w:tc>
          <w:tcPr>
            <w:tcW w:w="1559" w:type="dxa"/>
            <w:shd w:val="clear" w:color="auto" w:fill="BFBFBF"/>
            <w:vAlign w:val="center"/>
          </w:tcPr>
          <w:p w:rsidR="007C76E1" w:rsidRPr="007C76E1" w:rsidRDefault="007C76E1" w:rsidP="007C76E1">
            <w:pPr>
              <w:spacing w:after="0" w:line="240" w:lineRule="auto"/>
              <w:jc w:val="left"/>
              <w:rPr>
                <w:rFonts w:ascii="Times New Roman" w:hAnsi="Times New Roman"/>
                <w:sz w:val="20"/>
                <w:szCs w:val="20"/>
              </w:rPr>
            </w:pPr>
          </w:p>
        </w:tc>
        <w:tc>
          <w:tcPr>
            <w:tcW w:w="1701" w:type="dxa"/>
            <w:shd w:val="clear" w:color="auto" w:fill="BFBFBF"/>
            <w:vAlign w:val="center"/>
          </w:tcPr>
          <w:p w:rsidR="007C76E1" w:rsidRPr="007C76E1" w:rsidRDefault="007C76E1" w:rsidP="007C76E1">
            <w:pPr>
              <w:spacing w:after="0" w:line="240" w:lineRule="auto"/>
              <w:jc w:val="left"/>
              <w:rPr>
                <w:rFonts w:ascii="Times New Roman" w:hAnsi="Times New Roman"/>
                <w:sz w:val="20"/>
                <w:szCs w:val="20"/>
              </w:rPr>
            </w:pPr>
          </w:p>
        </w:tc>
      </w:tr>
      <w:tr w:rsidR="007C76E1" w:rsidRPr="007C76E1" w:rsidTr="007C76E1">
        <w:tc>
          <w:tcPr>
            <w:tcW w:w="567" w:type="dxa"/>
            <w:vMerge/>
            <w:vAlign w:val="center"/>
          </w:tcPr>
          <w:p w:rsidR="007C76E1" w:rsidRPr="007C76E1" w:rsidRDefault="007C76E1" w:rsidP="007C76E1">
            <w:pPr>
              <w:spacing w:after="0" w:line="240" w:lineRule="auto"/>
              <w:jc w:val="left"/>
              <w:rPr>
                <w:rFonts w:ascii="Times New Roman" w:hAnsi="Times New Roman"/>
                <w:sz w:val="20"/>
                <w:szCs w:val="20"/>
              </w:rPr>
            </w:pPr>
          </w:p>
        </w:tc>
        <w:tc>
          <w:tcPr>
            <w:tcW w:w="3544" w:type="dxa"/>
            <w:vAlign w:val="center"/>
          </w:tcPr>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b/>
                <w:sz w:val="20"/>
                <w:szCs w:val="20"/>
              </w:rPr>
              <w:t>Effet 3</w:t>
            </w:r>
            <w:r w:rsidRPr="007C76E1">
              <w:rPr>
                <w:rFonts w:ascii="Times New Roman" w:hAnsi="Times New Roman"/>
                <w:sz w:val="20"/>
                <w:szCs w:val="20"/>
              </w:rPr>
              <w:t xml:space="preserve"> : "Les institutions étatiques, nationales et locales, exercent de manière plus efficace leurs missions de service </w:t>
            </w:r>
            <w:r w:rsidRPr="007C76E1">
              <w:rPr>
                <w:rFonts w:ascii="Times New Roman" w:hAnsi="Times New Roman"/>
                <w:sz w:val="20"/>
                <w:szCs w:val="20"/>
              </w:rPr>
              <w:lastRenderedPageBreak/>
              <w:t>public et les acteurs non étatiques participent et assurent le contrôle citoyen en conformité avec les principes de bonne gouvernance et d’Etat de droit ."</w:t>
            </w:r>
          </w:p>
        </w:tc>
        <w:tc>
          <w:tcPr>
            <w:tcW w:w="1701" w:type="dxa"/>
            <w:vAlign w:val="center"/>
          </w:tcPr>
          <w:p w:rsidR="007C76E1" w:rsidRPr="007C76E1" w:rsidRDefault="007C76E1" w:rsidP="007C76E1">
            <w:pPr>
              <w:spacing w:after="0" w:line="240" w:lineRule="auto"/>
              <w:jc w:val="left"/>
              <w:rPr>
                <w:rFonts w:ascii="Times New Roman" w:hAnsi="Times New Roman"/>
                <w:sz w:val="20"/>
                <w:szCs w:val="20"/>
              </w:rPr>
            </w:pPr>
          </w:p>
        </w:tc>
        <w:tc>
          <w:tcPr>
            <w:tcW w:w="1559" w:type="dxa"/>
            <w:shd w:val="clear" w:color="auto" w:fill="BFBFBF"/>
            <w:vAlign w:val="center"/>
          </w:tcPr>
          <w:p w:rsidR="007C76E1" w:rsidRPr="007C76E1" w:rsidRDefault="007C76E1" w:rsidP="007C76E1">
            <w:pPr>
              <w:spacing w:after="0" w:line="240" w:lineRule="auto"/>
              <w:jc w:val="left"/>
              <w:rPr>
                <w:rFonts w:ascii="Times New Roman" w:hAnsi="Times New Roman"/>
                <w:sz w:val="20"/>
                <w:szCs w:val="20"/>
              </w:rPr>
            </w:pPr>
          </w:p>
        </w:tc>
        <w:tc>
          <w:tcPr>
            <w:tcW w:w="1701" w:type="dxa"/>
            <w:shd w:val="clear" w:color="auto" w:fill="BFBFBF"/>
            <w:vAlign w:val="center"/>
          </w:tcPr>
          <w:p w:rsidR="007C76E1" w:rsidRPr="007C76E1" w:rsidRDefault="007C76E1" w:rsidP="007C76E1">
            <w:pPr>
              <w:spacing w:after="0" w:line="240" w:lineRule="auto"/>
              <w:jc w:val="left"/>
              <w:rPr>
                <w:rFonts w:ascii="Times New Roman" w:hAnsi="Times New Roman"/>
                <w:sz w:val="20"/>
                <w:szCs w:val="20"/>
              </w:rPr>
            </w:pPr>
          </w:p>
        </w:tc>
      </w:tr>
      <w:tr w:rsidR="007C76E1" w:rsidRPr="007C76E1" w:rsidTr="007C76E1">
        <w:tc>
          <w:tcPr>
            <w:tcW w:w="567" w:type="dxa"/>
            <w:vMerge/>
            <w:vAlign w:val="center"/>
          </w:tcPr>
          <w:p w:rsidR="007C76E1" w:rsidRPr="007C76E1" w:rsidRDefault="007C76E1" w:rsidP="007C76E1">
            <w:pPr>
              <w:spacing w:after="0" w:line="240" w:lineRule="auto"/>
              <w:jc w:val="left"/>
              <w:rPr>
                <w:rFonts w:ascii="Times New Roman" w:hAnsi="Times New Roman"/>
                <w:sz w:val="20"/>
                <w:szCs w:val="20"/>
              </w:rPr>
            </w:pPr>
          </w:p>
        </w:tc>
        <w:tc>
          <w:tcPr>
            <w:tcW w:w="3544" w:type="dxa"/>
            <w:vAlign w:val="center"/>
          </w:tcPr>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b/>
                <w:sz w:val="20"/>
                <w:szCs w:val="20"/>
              </w:rPr>
              <w:t xml:space="preserve">Effet </w:t>
            </w:r>
            <w:r w:rsidRPr="007C76E1">
              <w:rPr>
                <w:rFonts w:ascii="Times New Roman" w:hAnsi="Times New Roman"/>
                <w:sz w:val="20"/>
                <w:szCs w:val="20"/>
              </w:rPr>
              <w:t>4 : " D’ici 2019, les populations, en particulier les femmes et les enfants les plus vulnérables et celles affectées par les crises, ont un accès accru et équitable et utilisent les SSB de qualité."</w:t>
            </w:r>
          </w:p>
        </w:tc>
        <w:tc>
          <w:tcPr>
            <w:tcW w:w="1701" w:type="dxa"/>
            <w:vAlign w:val="center"/>
          </w:tcPr>
          <w:p w:rsidR="007C76E1" w:rsidRPr="007C76E1" w:rsidRDefault="007C76E1" w:rsidP="007C76E1">
            <w:pPr>
              <w:spacing w:after="0" w:line="240" w:lineRule="auto"/>
              <w:jc w:val="left"/>
              <w:rPr>
                <w:rFonts w:ascii="Times New Roman" w:hAnsi="Times New Roman"/>
                <w:sz w:val="20"/>
                <w:szCs w:val="20"/>
              </w:rPr>
            </w:pPr>
          </w:p>
        </w:tc>
        <w:tc>
          <w:tcPr>
            <w:tcW w:w="1559" w:type="dxa"/>
            <w:shd w:val="clear" w:color="auto" w:fill="BFBFBF"/>
            <w:vAlign w:val="center"/>
          </w:tcPr>
          <w:p w:rsidR="007C76E1" w:rsidRPr="007C76E1" w:rsidRDefault="007C76E1" w:rsidP="007C76E1">
            <w:pPr>
              <w:spacing w:after="0" w:line="240" w:lineRule="auto"/>
              <w:jc w:val="left"/>
              <w:rPr>
                <w:rFonts w:ascii="Times New Roman" w:hAnsi="Times New Roman"/>
                <w:sz w:val="20"/>
                <w:szCs w:val="20"/>
              </w:rPr>
            </w:pPr>
          </w:p>
        </w:tc>
        <w:tc>
          <w:tcPr>
            <w:tcW w:w="1701" w:type="dxa"/>
            <w:vAlign w:val="center"/>
          </w:tcPr>
          <w:p w:rsidR="007C76E1" w:rsidRPr="007C76E1" w:rsidRDefault="007C76E1" w:rsidP="007C76E1">
            <w:pPr>
              <w:spacing w:after="0" w:line="240" w:lineRule="auto"/>
              <w:jc w:val="left"/>
              <w:rPr>
                <w:rFonts w:ascii="Times New Roman" w:hAnsi="Times New Roman"/>
                <w:sz w:val="20"/>
                <w:szCs w:val="20"/>
              </w:rPr>
            </w:pPr>
          </w:p>
        </w:tc>
      </w:tr>
      <w:tr w:rsidR="007C76E1" w:rsidRPr="007C76E1" w:rsidTr="007C76E1">
        <w:tc>
          <w:tcPr>
            <w:tcW w:w="567" w:type="dxa"/>
            <w:vMerge/>
            <w:vAlign w:val="center"/>
          </w:tcPr>
          <w:p w:rsidR="007C76E1" w:rsidRPr="007C76E1" w:rsidRDefault="007C76E1" w:rsidP="007C76E1">
            <w:pPr>
              <w:spacing w:after="0" w:line="240" w:lineRule="auto"/>
              <w:jc w:val="left"/>
              <w:rPr>
                <w:rFonts w:ascii="Times New Roman" w:hAnsi="Times New Roman"/>
                <w:sz w:val="20"/>
                <w:szCs w:val="20"/>
              </w:rPr>
            </w:pPr>
          </w:p>
        </w:tc>
        <w:tc>
          <w:tcPr>
            <w:tcW w:w="3544" w:type="dxa"/>
            <w:vAlign w:val="center"/>
          </w:tcPr>
          <w:p w:rsidR="007C76E1" w:rsidRPr="007C76E1" w:rsidRDefault="007C76E1" w:rsidP="007C76E1">
            <w:pPr>
              <w:spacing w:after="0" w:line="240" w:lineRule="auto"/>
              <w:jc w:val="left"/>
              <w:rPr>
                <w:rFonts w:ascii="Times New Roman" w:hAnsi="Times New Roman"/>
                <w:sz w:val="20"/>
                <w:szCs w:val="20"/>
              </w:rPr>
            </w:pPr>
            <w:r w:rsidRPr="007C76E1">
              <w:rPr>
                <w:rFonts w:ascii="Times New Roman" w:hAnsi="Times New Roman"/>
                <w:b/>
                <w:sz w:val="20"/>
                <w:szCs w:val="20"/>
              </w:rPr>
              <w:t xml:space="preserve">Effet 5 </w:t>
            </w:r>
            <w:r w:rsidRPr="007C76E1">
              <w:rPr>
                <w:rFonts w:ascii="Times New Roman" w:hAnsi="Times New Roman"/>
                <w:sz w:val="20"/>
                <w:szCs w:val="20"/>
              </w:rPr>
              <w:t>"</w:t>
            </w:r>
            <w:r w:rsidRPr="007C76E1">
              <w:rPr>
                <w:rFonts w:ascii="Times New Roman" w:hAnsi="Times New Roman"/>
                <w:bCs/>
                <w:sz w:val="20"/>
                <w:szCs w:val="20"/>
              </w:rPr>
              <w:t>Les populations défavorisées particulièrement les femmes et les jeunes, bénéficient de capacités et d’opportunités productives accrues, dans un environnement sain et durable, favorable à la réduction de la pauvreté</w:t>
            </w:r>
            <w:r w:rsidRPr="007C76E1">
              <w:rPr>
                <w:rFonts w:ascii="Times New Roman" w:hAnsi="Times New Roman"/>
                <w:sz w:val="20"/>
                <w:szCs w:val="20"/>
              </w:rPr>
              <w:t>"</w:t>
            </w:r>
          </w:p>
        </w:tc>
        <w:tc>
          <w:tcPr>
            <w:tcW w:w="1701" w:type="dxa"/>
            <w:shd w:val="clear" w:color="auto" w:fill="BFBFBF"/>
            <w:vAlign w:val="center"/>
          </w:tcPr>
          <w:p w:rsidR="007C76E1" w:rsidRPr="007C76E1" w:rsidRDefault="007C76E1" w:rsidP="007C76E1">
            <w:pPr>
              <w:spacing w:after="0" w:line="240" w:lineRule="auto"/>
              <w:jc w:val="left"/>
              <w:rPr>
                <w:rFonts w:ascii="Times New Roman" w:hAnsi="Times New Roman"/>
                <w:sz w:val="20"/>
                <w:szCs w:val="20"/>
              </w:rPr>
            </w:pPr>
          </w:p>
        </w:tc>
        <w:tc>
          <w:tcPr>
            <w:tcW w:w="1559" w:type="dxa"/>
            <w:vAlign w:val="center"/>
          </w:tcPr>
          <w:p w:rsidR="007C76E1" w:rsidRPr="007C76E1" w:rsidRDefault="007C76E1" w:rsidP="007C76E1">
            <w:pPr>
              <w:spacing w:after="0" w:line="240" w:lineRule="auto"/>
              <w:jc w:val="left"/>
              <w:rPr>
                <w:rFonts w:ascii="Times New Roman" w:hAnsi="Times New Roman"/>
                <w:sz w:val="20"/>
                <w:szCs w:val="20"/>
              </w:rPr>
            </w:pPr>
          </w:p>
        </w:tc>
        <w:tc>
          <w:tcPr>
            <w:tcW w:w="1701" w:type="dxa"/>
            <w:vAlign w:val="center"/>
          </w:tcPr>
          <w:p w:rsidR="007C76E1" w:rsidRPr="007C76E1" w:rsidRDefault="007C76E1" w:rsidP="007C76E1">
            <w:pPr>
              <w:spacing w:after="0" w:line="240" w:lineRule="auto"/>
              <w:jc w:val="left"/>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Tableau 3 : Qualité de la table d’Effet 1</w:t>
      </w:r>
      <w:bookmarkEnd w:id="9"/>
    </w:p>
    <w:tbl>
      <w:tblPr>
        <w:tblpPr w:leftFromText="141" w:rightFromText="141" w:vertAnchor="text" w:horzAnchor="margin" w:tblpXSpec="center"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694"/>
        <w:gridCol w:w="1134"/>
        <w:gridCol w:w="992"/>
        <w:gridCol w:w="2551"/>
      </w:tblGrid>
      <w:tr w:rsidR="007C76E1" w:rsidRPr="007C76E1" w:rsidTr="007C76E1">
        <w:trPr>
          <w:trHeight w:val="88"/>
        </w:trPr>
        <w:tc>
          <w:tcPr>
            <w:tcW w:w="7763" w:type="dxa"/>
            <w:gridSpan w:val="4"/>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2551"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Observations techniques sur la qualité des outils</w:t>
            </w:r>
          </w:p>
        </w:tc>
      </w:tr>
      <w:tr w:rsidR="007C76E1" w:rsidRPr="007C76E1" w:rsidTr="007C76E1">
        <w:trPr>
          <w:trHeight w:val="88"/>
        </w:trPr>
        <w:tc>
          <w:tcPr>
            <w:tcW w:w="2943"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1</w:t>
            </w:r>
          </w:p>
        </w:tc>
        <w:tc>
          <w:tcPr>
            <w:tcW w:w="2694"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Indicateurs</w:t>
            </w:r>
          </w:p>
        </w:tc>
        <w:tc>
          <w:tcPr>
            <w:tcW w:w="2126" w:type="dxa"/>
            <w:gridSpan w:val="2"/>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2551"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2943"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694"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Références</w:t>
            </w:r>
          </w:p>
        </w:tc>
        <w:tc>
          <w:tcPr>
            <w:tcW w:w="992" w:type="dxa"/>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Cibles</w:t>
            </w:r>
          </w:p>
        </w:tc>
        <w:tc>
          <w:tcPr>
            <w:tcW w:w="2551"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2943"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La paix et la stabilisation sont assurées à travers un dialogue politique inclusif, une réforme des institutions concernées et la promotion d’une coexistence pacifique et le respect des droits humains</w:t>
            </w:r>
          </w:p>
        </w:tc>
        <w:tc>
          <w:tcPr>
            <w:tcW w:w="26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d’incidents de sécurité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722 (2014)</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2551"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Effet libellé techniquement de façon inadéquate (mélange de contenus de résultat et de produit) : sensible aux droits humains mais pas au genre</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Nombre d’indicateurs (4) juste au-dessus de la norme de 3 par effet)</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Indicateurs statiques (nombre de … et non Variation du nombre de …)</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 xml:space="preserve">1 indicateur sur 4 n’a pas de situation de référence mais dispose d’une cible déterminée ; 1 autre dispose d’une situation de référence mais n’a par de cible </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1 indicateur sur 4 est sensible au genre et aux droits humains</w:t>
            </w:r>
          </w:p>
        </w:tc>
      </w:tr>
      <w:tr w:rsidR="007C76E1" w:rsidRPr="007C76E1" w:rsidTr="007C76E1">
        <w:trPr>
          <w:trHeight w:val="53"/>
        </w:trPr>
        <w:tc>
          <w:tcPr>
            <w:tcW w:w="2943"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6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de victimes d'incidents explosifs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44</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2551"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333"/>
        </w:trPr>
        <w:tc>
          <w:tcPr>
            <w:tcW w:w="2943"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69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de réfugiés/déplacés internes (désagrégés  par refugié/PDI et par région)</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Réfugiés 140,033  </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2551"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333"/>
        </w:trPr>
        <w:tc>
          <w:tcPr>
            <w:tcW w:w="2943"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69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PDI 126,249</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2551"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610"/>
        </w:trPr>
        <w:tc>
          <w:tcPr>
            <w:tcW w:w="2943" w:type="dxa"/>
            <w:vMerge/>
            <w:tcBorders>
              <w:bottom w:val="single" w:sz="4" w:space="0" w:color="auto"/>
            </w:tcBorders>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694"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de violations des droits de l'homme  et du droit international humanitaire enregistrées et liés à la situation sécuritaire au Mali (distinguer hommes, femmes, filles, garçons)</w:t>
            </w:r>
          </w:p>
        </w:tc>
        <w:tc>
          <w:tcPr>
            <w:tcW w:w="1134"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ND</w:t>
            </w:r>
          </w:p>
        </w:tc>
        <w:tc>
          <w:tcPr>
            <w:tcW w:w="992"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2551" w:type="dxa"/>
            <w:vMerge/>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i/>
          <w:sz w:val="20"/>
          <w:szCs w:val="20"/>
        </w:rPr>
      </w:pPr>
      <w:r w:rsidRPr="007C76E1">
        <w:rPr>
          <w:rFonts w:ascii="Times New Roman" w:hAnsi="Times New Roman"/>
          <w:i/>
          <w:sz w:val="20"/>
          <w:szCs w:val="20"/>
          <w:u w:val="single"/>
        </w:rPr>
        <w:t>Sources</w:t>
      </w:r>
      <w:r w:rsidRPr="007C76E1">
        <w:rPr>
          <w:rFonts w:ascii="Times New Roman" w:hAnsi="Times New Roman"/>
          <w:i/>
          <w:sz w:val="20"/>
          <w:szCs w:val="20"/>
        </w:rPr>
        <w:t> : Cadre de résultats et des ressources CPD/PNUD-MALI 2015-2019 &amp; Analyses de l’Evaluateur.</w:t>
      </w:r>
    </w:p>
    <w:p w:rsidR="007C76E1" w:rsidRPr="007C76E1" w:rsidRDefault="007C76E1" w:rsidP="007C76E1">
      <w:pPr>
        <w:spacing w:after="0" w:line="240" w:lineRule="auto"/>
        <w:rPr>
          <w:rFonts w:ascii="Times New Roman" w:hAnsi="Times New Roman"/>
          <w:sz w:val="20"/>
          <w:szCs w:val="20"/>
        </w:rPr>
      </w:pPr>
    </w:p>
    <w:tbl>
      <w:tblPr>
        <w:tblpPr w:leftFromText="141" w:rightFromText="141" w:vertAnchor="text" w:horzAnchor="margin" w:tblpXSpec="center"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992"/>
        <w:gridCol w:w="1276"/>
        <w:gridCol w:w="2126"/>
      </w:tblGrid>
      <w:tr w:rsidR="007C76E1" w:rsidRPr="007C76E1" w:rsidTr="007C76E1">
        <w:trPr>
          <w:trHeight w:val="88"/>
        </w:trPr>
        <w:tc>
          <w:tcPr>
            <w:tcW w:w="3085"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"D’ici 2019, la cohésion sociale est facilitée par la justice transitionnelle, le dialogue communautaire inclusif, la culture et l’éducation pour la paix."</w:t>
            </w:r>
          </w:p>
        </w:tc>
        <w:tc>
          <w:tcPr>
            <w:tcW w:w="28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de conflits qui ont utilisé les mécanismes locaux de dialogue et de résolution de conflits</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27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2126" w:type="dxa"/>
            <w:vMerge w:val="restart"/>
            <w:vAlign w:val="center"/>
          </w:tcPr>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 xml:space="preserve">Effet libellé techniquement libellé de façon inadéquate (mélange de </w:t>
            </w:r>
            <w:r w:rsidRPr="007C76E1">
              <w:rPr>
                <w:rFonts w:ascii="Times New Roman" w:hAnsi="Times New Roman"/>
                <w:bCs/>
                <w:sz w:val="20"/>
                <w:szCs w:val="20"/>
              </w:rPr>
              <w:lastRenderedPageBreak/>
              <w:t>contenus de résultat et de produit) : non sensible aux droits humains et au genre</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Nombre d’indicateurs conforme à la norme de 3)</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3 indicateurs sur 3 dans situation de référence ni cible assignée</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3 indicateurs sur 2 non sensibles au genre ni aux droits humains</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Indicateurs statiques et non dynamiques</w:t>
            </w:r>
          </w:p>
        </w:tc>
      </w:tr>
      <w:tr w:rsidR="007C76E1" w:rsidRPr="007C76E1" w:rsidTr="007C76E1">
        <w:trPr>
          <w:trHeight w:val="53"/>
        </w:trPr>
        <w:tc>
          <w:tcPr>
            <w:tcW w:w="3085"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8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de bénéficiaires qui croient que leurs communautés sont mieux outillées à gérer le conflit</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27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2126"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8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de personnes retournées dans les communautés cibles qui sont restés dans ces communautés </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27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2126" w:type="dxa"/>
            <w:vMerge/>
            <w:vAlign w:val="center"/>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Cs/>
          <w:sz w:val="20"/>
          <w:szCs w:val="20"/>
        </w:rPr>
      </w:pPr>
      <w:bookmarkStart w:id="11" w:name="_Toc502863785"/>
      <w:r w:rsidRPr="007C76E1">
        <w:rPr>
          <w:rFonts w:ascii="Times New Roman" w:hAnsi="Times New Roman"/>
          <w:bCs/>
          <w:sz w:val="20"/>
          <w:szCs w:val="20"/>
        </w:rPr>
        <w:t>Tableau 4 : Qualité de la table d’Effet 2</w:t>
      </w:r>
      <w:bookmarkEnd w:id="11"/>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bookmarkStart w:id="12" w:name="_Toc502863786"/>
      <w:r w:rsidRPr="007C76E1">
        <w:rPr>
          <w:rFonts w:ascii="Times New Roman" w:hAnsi="Times New Roman"/>
          <w:bCs/>
          <w:sz w:val="20"/>
          <w:szCs w:val="20"/>
        </w:rPr>
        <w:t>Tableau 5 : Qualité de la table d’Effet 3</w:t>
      </w:r>
      <w:bookmarkEnd w:id="12"/>
    </w:p>
    <w:tbl>
      <w:tblPr>
        <w:tblpPr w:leftFromText="141" w:rightFromText="141" w:vertAnchor="text" w:horzAnchor="margin" w:tblpXSpec="center" w:tblpY="4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835"/>
        <w:gridCol w:w="1134"/>
        <w:gridCol w:w="992"/>
        <w:gridCol w:w="2127"/>
      </w:tblGrid>
      <w:tr w:rsidR="007C76E1" w:rsidRPr="007C76E1" w:rsidTr="007C76E1">
        <w:trPr>
          <w:trHeight w:val="88"/>
        </w:trPr>
        <w:tc>
          <w:tcPr>
            <w:tcW w:w="8046" w:type="dxa"/>
            <w:gridSpan w:val="4"/>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2127"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Observations techniques sur la qualité des outils</w:t>
            </w:r>
          </w:p>
        </w:tc>
      </w:tr>
      <w:tr w:rsidR="007C76E1" w:rsidRPr="007C76E1" w:rsidTr="007C76E1">
        <w:trPr>
          <w:trHeight w:val="88"/>
        </w:trPr>
        <w:tc>
          <w:tcPr>
            <w:tcW w:w="3085"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3</w:t>
            </w:r>
          </w:p>
        </w:tc>
        <w:tc>
          <w:tcPr>
            <w:tcW w:w="2835"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Indicateurs</w:t>
            </w:r>
          </w:p>
        </w:tc>
        <w:tc>
          <w:tcPr>
            <w:tcW w:w="2126" w:type="dxa"/>
            <w:gridSpan w:val="2"/>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2127" w:type="dxa"/>
            <w:vMerge/>
            <w:shd w:val="clear" w:color="auto" w:fill="F2F2F2"/>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3085"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83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Références</w:t>
            </w:r>
          </w:p>
        </w:tc>
        <w:tc>
          <w:tcPr>
            <w:tcW w:w="992" w:type="dxa"/>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Cibles</w:t>
            </w:r>
          </w:p>
        </w:tc>
        <w:tc>
          <w:tcPr>
            <w:tcW w:w="2127" w:type="dxa"/>
            <w:vMerge/>
            <w:shd w:val="clear" w:color="auto" w:fill="F2F2F2"/>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3085"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Les institutions étatiques, nationales et locales, exercent de manière plus efficace leurs missions de service public et les acteurs non étatiques participent et assurent le contrôle citoyen en conformité avec les principes de bonne gouvernance et d’Etat de droit</w:t>
            </w:r>
          </w:p>
        </w:tc>
        <w:tc>
          <w:tcPr>
            <w:tcW w:w="28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Mo Ibrahim Index (Score)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50,7</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55</w:t>
            </w:r>
          </w:p>
        </w:tc>
        <w:tc>
          <w:tcPr>
            <w:tcW w:w="2127" w:type="dxa"/>
            <w:vMerge w:val="restart"/>
            <w:vAlign w:val="center"/>
          </w:tcPr>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Effet techniquement adéquat et sensible aux droits (sous-entendus dans l’Etat de droit), mais pas au genre</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Nombre d’indicateurs pléthorique : 6 indicateurs pour 1 Effet (nettement au-dessus de la norme de 3)</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1 indicateur sur 5 ne dispose pas de cible assignée mais est assorti d’une situation de référence (les 4 autres sont satisfaisants à ce double égard)</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2 indicateurs sur 6 sensibles au genre, contre 1 seul sensible aux droits humains</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 xml:space="preserve">Indicateurs </w:t>
            </w:r>
            <w:r w:rsidRPr="007C76E1">
              <w:rPr>
                <w:rFonts w:ascii="Times New Roman" w:hAnsi="Times New Roman"/>
                <w:bCs/>
                <w:sz w:val="20"/>
                <w:szCs w:val="20"/>
              </w:rPr>
              <w:lastRenderedPageBreak/>
              <w:t>statiques et non dynamiques</w:t>
            </w:r>
          </w:p>
        </w:tc>
      </w:tr>
      <w:tr w:rsidR="007C76E1" w:rsidRPr="007C76E1" w:rsidTr="007C76E1">
        <w:trPr>
          <w:trHeight w:val="53"/>
        </w:trPr>
        <w:tc>
          <w:tcPr>
            <w:tcW w:w="3085"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8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de la population qui supporte le processus démocratique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2014 (61%)</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w:t>
            </w:r>
          </w:p>
        </w:tc>
        <w:tc>
          <w:tcPr>
            <w:tcW w:w="2127"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8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d’incidents de violation de droits de l’homme liés au conflit et les violations du droit international humanitaire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112</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2127"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8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de participation générale aux élections y compris le taux de participation des femmes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Moins de 40%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2127"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8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de femmes candidates aux élections locales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16%  (communales  de 2009)</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c>
          <w:tcPr>
            <w:tcW w:w="2127"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8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des ressources de budget de l’Etat transféré aux collectivités.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3,1 %</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c>
          <w:tcPr>
            <w:tcW w:w="2127" w:type="dxa"/>
            <w:vMerge/>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sz w:val="20"/>
          <w:szCs w:val="20"/>
        </w:rPr>
      </w:pPr>
    </w:p>
    <w:tbl>
      <w:tblPr>
        <w:tblpPr w:leftFromText="141" w:rightFromText="141" w:vertAnchor="text" w:horzAnchor="margin" w:tblpXSpec="center" w:tblpY="881"/>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1134"/>
        <w:gridCol w:w="992"/>
        <w:gridCol w:w="2264"/>
      </w:tblGrid>
      <w:tr w:rsidR="007C76E1" w:rsidRPr="007C76E1" w:rsidTr="007C76E1">
        <w:trPr>
          <w:trHeight w:val="88"/>
        </w:trPr>
        <w:tc>
          <w:tcPr>
            <w:tcW w:w="7763" w:type="dxa"/>
            <w:gridSpan w:val="4"/>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Programmation</w:t>
            </w:r>
          </w:p>
        </w:tc>
        <w:tc>
          <w:tcPr>
            <w:tcW w:w="2264"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Observations techniques sur la qualité des outils</w:t>
            </w:r>
          </w:p>
        </w:tc>
      </w:tr>
      <w:tr w:rsidR="007C76E1" w:rsidRPr="007C76E1" w:rsidTr="007C76E1">
        <w:trPr>
          <w:trHeight w:val="88"/>
        </w:trPr>
        <w:tc>
          <w:tcPr>
            <w:tcW w:w="3085"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Effet 4</w:t>
            </w:r>
          </w:p>
        </w:tc>
        <w:tc>
          <w:tcPr>
            <w:tcW w:w="255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Indicateurs</w:t>
            </w:r>
          </w:p>
        </w:tc>
        <w:tc>
          <w:tcPr>
            <w:tcW w:w="2126" w:type="dxa"/>
            <w:gridSpan w:val="2"/>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Repères programmatiques</w:t>
            </w:r>
          </w:p>
        </w:tc>
        <w:tc>
          <w:tcPr>
            <w:tcW w:w="2264"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Références</w:t>
            </w:r>
          </w:p>
        </w:tc>
        <w:tc>
          <w:tcPr>
            <w:tcW w:w="992" w:type="dxa"/>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Cibles</w:t>
            </w:r>
          </w:p>
        </w:tc>
        <w:tc>
          <w:tcPr>
            <w:tcW w:w="2264"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3085"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"D’ici 2019, les populations, en particulier les femmes et les enfants les plus vulnérables et celles affectées par les crises, ont un accès accru et équitable et utilisent les SSB de qualité."</w:t>
            </w: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Prévalence contraceptive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10 % (EDS-M V  2012);</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15%</w:t>
            </w:r>
          </w:p>
        </w:tc>
        <w:tc>
          <w:tcPr>
            <w:tcW w:w="2264" w:type="dxa"/>
            <w:vMerge w:val="restart"/>
            <w:vAlign w:val="center"/>
          </w:tcPr>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Effet techniquement adéquat et sensible au genre</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Nombre d’indicateurs pléthorique :17 indicateurs pour 1 Effet (près de 6 fois la norme de 3)</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17 indicateurs sur17 disposent d’une situation de référence et d’une cible assignée</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7 indicateurs sur 17 sensibles au genre</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Indicateurs statiques et non dynamiques</w:t>
            </w:r>
          </w:p>
        </w:tc>
      </w:tr>
      <w:tr w:rsidR="007C76E1" w:rsidRPr="007C76E1" w:rsidTr="007C76E1">
        <w:trPr>
          <w:trHeight w:val="53"/>
        </w:trPr>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Prévalence de l’excision chez les femmes âgées de 15 à 49 ans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91% (EDSM V 2012).  </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65%]</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Taux d’accouchement assisté par un personnel qualifié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56%  (2013);</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65%</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Prévalence du mariage précoce (jeunes filles de moins de 18 ans) dans les localités d’intervention</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60,8  (MICS 2010)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58%</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Prévalence de la malnutrition chronique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28%</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23%</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Taux de couverture en ARV chez les adultes et enfants infectés par le VIH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  30,6% (adulte) en 2014</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90% (adulte)</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77,3% (enfant) en 2014</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85% (enfant)</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Taux de prévalence du VIH/SIDA chez les jeunes de 15à 19  ans. </w:t>
            </w:r>
          </w:p>
        </w:tc>
        <w:tc>
          <w:tcPr>
            <w:tcW w:w="1134"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0,8%</w:t>
            </w:r>
          </w:p>
        </w:tc>
        <w:tc>
          <w:tcPr>
            <w:tcW w:w="992"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0,6%</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Taux de prévalence du VIH/SIDA chez les jeunes de 20 à 24  ans</w:t>
            </w:r>
          </w:p>
        </w:tc>
        <w:tc>
          <w:tcPr>
            <w:tcW w:w="1134"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99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Taux d’achèvement du primaire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59% (MICS 2010)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70%</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Taux de Préscolarisation (taux brut)</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3,6%</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Taux brut  d’’admission au premier cycle du fondamental pour les Garçons F : 69.2 %)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80,1% </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85%</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Taux brut d’’admission au premier cycle du fondamental pour les Filles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55%</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85%</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Taux brut scolarisation au primaire des Garçons,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76,40%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90%</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Taux brut de scolarisation au primaire des Filles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64%</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90%</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Taux net de scolarisation au primaire des Garçons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57% (EMOP 2014)</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90%</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085"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55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Taux net de scolarisation au primaire des Filles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53,6% (EMOP 2014)</w:t>
            </w:r>
          </w:p>
        </w:tc>
        <w:tc>
          <w:tcPr>
            <w:tcW w:w="99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90%</w:t>
            </w:r>
          </w:p>
        </w:tc>
        <w:tc>
          <w:tcPr>
            <w:tcW w:w="2264" w:type="dxa"/>
            <w:vMerge/>
            <w:vAlign w:val="center"/>
          </w:tcPr>
          <w:p w:rsidR="007C76E1" w:rsidRPr="007C76E1" w:rsidRDefault="007C76E1" w:rsidP="007C76E1">
            <w:pPr>
              <w:spacing w:after="0" w:line="240" w:lineRule="auto"/>
              <w:rPr>
                <w:rFonts w:ascii="Times New Roman" w:hAnsi="Times New Roman"/>
                <w:bCs/>
                <w:sz w:val="20"/>
                <w:szCs w:val="20"/>
              </w:rPr>
            </w:pPr>
          </w:p>
        </w:tc>
      </w:tr>
    </w:tbl>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bookmarkStart w:id="13" w:name="_Toc502863787"/>
      <w:r w:rsidRPr="007C76E1">
        <w:rPr>
          <w:rFonts w:ascii="Times New Roman" w:hAnsi="Times New Roman"/>
          <w:bCs/>
          <w:sz w:val="20"/>
          <w:szCs w:val="20"/>
        </w:rPr>
        <w:t>Tableau 6 : Qualité de la table d’Effet 4</w:t>
      </w:r>
      <w:bookmarkEnd w:id="13"/>
      <w:r w:rsidRPr="007C76E1">
        <w:rPr>
          <w:rFonts w:ascii="Times New Roman" w:hAnsi="Times New Roman"/>
          <w:bCs/>
          <w:sz w:val="20"/>
          <w:szCs w:val="20"/>
        </w:rPr>
        <w:tab/>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bookmarkStart w:id="14" w:name="_Toc502863788"/>
      <w:r w:rsidRPr="007C76E1">
        <w:rPr>
          <w:rFonts w:ascii="Times New Roman" w:hAnsi="Times New Roman"/>
          <w:bCs/>
          <w:sz w:val="20"/>
          <w:szCs w:val="20"/>
        </w:rPr>
        <w:t>Tableau 7 : Qualité de la table d’Effet 5</w:t>
      </w:r>
      <w:bookmarkEnd w:id="14"/>
      <w:r w:rsidRPr="007C76E1">
        <w:rPr>
          <w:rFonts w:ascii="Times New Roman" w:hAnsi="Times New Roman"/>
          <w:bCs/>
          <w:sz w:val="20"/>
          <w:szCs w:val="20"/>
        </w:rPr>
        <w:tab/>
      </w:r>
    </w:p>
    <w:p w:rsidR="007C76E1" w:rsidRPr="007C76E1" w:rsidRDefault="007C76E1" w:rsidP="007C76E1">
      <w:pPr>
        <w:spacing w:after="0" w:line="240" w:lineRule="auto"/>
        <w:rPr>
          <w:rFonts w:ascii="Times New Roman" w:hAnsi="Times New Roman"/>
          <w:sz w:val="20"/>
          <w:szCs w:val="20"/>
        </w:rPr>
      </w:pPr>
    </w:p>
    <w:tbl>
      <w:tblPr>
        <w:tblpPr w:leftFromText="141" w:rightFromText="141" w:vertAnchor="text" w:horzAnchor="margin" w:tblpXSpec="center" w:tblpY="401"/>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1417"/>
        <w:gridCol w:w="993"/>
        <w:gridCol w:w="2122"/>
      </w:tblGrid>
      <w:tr w:rsidR="007C76E1" w:rsidRPr="007C76E1" w:rsidTr="007C76E1">
        <w:trPr>
          <w:trHeight w:val="88"/>
        </w:trPr>
        <w:tc>
          <w:tcPr>
            <w:tcW w:w="7905" w:type="dxa"/>
            <w:gridSpan w:val="4"/>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Programmation</w:t>
            </w:r>
          </w:p>
        </w:tc>
        <w:tc>
          <w:tcPr>
            <w:tcW w:w="212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Observations techniques sur la qualité des outils</w:t>
            </w:r>
          </w:p>
        </w:tc>
      </w:tr>
      <w:tr w:rsidR="007C76E1" w:rsidRPr="007C76E1" w:rsidTr="007C76E1">
        <w:trPr>
          <w:trHeight w:val="88"/>
        </w:trPr>
        <w:tc>
          <w:tcPr>
            <w:tcW w:w="3227"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Effet 5</w:t>
            </w:r>
          </w:p>
        </w:tc>
        <w:tc>
          <w:tcPr>
            <w:tcW w:w="226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Indicateurs</w:t>
            </w:r>
          </w:p>
        </w:tc>
        <w:tc>
          <w:tcPr>
            <w:tcW w:w="2410" w:type="dxa"/>
            <w:gridSpan w:val="2"/>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Repères programmatiques</w:t>
            </w:r>
          </w:p>
        </w:tc>
        <w:tc>
          <w:tcPr>
            <w:tcW w:w="2122" w:type="dxa"/>
            <w:vMerge/>
            <w:shd w:val="clear" w:color="auto" w:fill="F2F2F2"/>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3227"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26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1417" w:type="dxa"/>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Références</w:t>
            </w:r>
          </w:p>
        </w:tc>
        <w:tc>
          <w:tcPr>
            <w:tcW w:w="993" w:type="dxa"/>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Cibles</w:t>
            </w:r>
          </w:p>
        </w:tc>
        <w:tc>
          <w:tcPr>
            <w:tcW w:w="2122" w:type="dxa"/>
            <w:vMerge/>
            <w:shd w:val="clear" w:color="auto" w:fill="F2F2F2"/>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3227"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"Les populations défavorisées particulièrement les femmes et les jeunes, bénéficient de capacités et d’opportunités productives accrues, dans un environnement sain et durable, favorable à la réduction de la pauvreté."</w:t>
            </w:r>
          </w:p>
        </w:tc>
        <w:tc>
          <w:tcPr>
            <w:tcW w:w="2268"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Taux d’insécurité alimentaire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24,4%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14%</w:t>
            </w:r>
          </w:p>
        </w:tc>
        <w:tc>
          <w:tcPr>
            <w:tcW w:w="2122" w:type="dxa"/>
            <w:vMerge w:val="restart"/>
          </w:tcPr>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Effet techniquement adéquat et sensible au genre</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4 indicateurs pour 1 Effet (légèrement au dessus de la norme de 3)</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4 indicateurs sur 4 disposent d’une situation de référence et d’une cible assignée</w:t>
            </w:r>
          </w:p>
          <w:p w:rsidR="007C76E1" w:rsidRPr="007C76E1" w:rsidRDefault="007C76E1" w:rsidP="007C76E1">
            <w:pPr>
              <w:numPr>
                <w:ilvl w:val="0"/>
                <w:numId w:val="23"/>
              </w:numPr>
              <w:spacing w:after="0" w:line="240" w:lineRule="auto"/>
              <w:rPr>
                <w:rFonts w:ascii="Times New Roman" w:hAnsi="Times New Roman"/>
                <w:bCs/>
                <w:sz w:val="20"/>
                <w:szCs w:val="20"/>
              </w:rPr>
            </w:pPr>
            <w:r w:rsidRPr="007C76E1">
              <w:rPr>
                <w:rFonts w:ascii="Times New Roman" w:hAnsi="Times New Roman"/>
                <w:bCs/>
                <w:sz w:val="20"/>
                <w:szCs w:val="20"/>
              </w:rPr>
              <w:t>Indicateurs statiques et non dynamiques</w:t>
            </w:r>
          </w:p>
        </w:tc>
      </w:tr>
      <w:tr w:rsidR="007C76E1" w:rsidRPr="007C76E1" w:rsidTr="007C76E1">
        <w:trPr>
          <w:trHeight w:val="53"/>
        </w:trPr>
        <w:tc>
          <w:tcPr>
            <w:tcW w:w="3227"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Taux de chômage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10% (population en âge de travailler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w:t>
            </w:r>
          </w:p>
        </w:tc>
        <w:tc>
          <w:tcPr>
            <w:tcW w:w="2122"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227"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Taux de croissance économique</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1,7% (2013)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7%</w:t>
            </w:r>
          </w:p>
        </w:tc>
        <w:tc>
          <w:tcPr>
            <w:tcW w:w="2122"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3227"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Taux de pauvreté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43,6%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21%</w:t>
            </w:r>
          </w:p>
        </w:tc>
        <w:tc>
          <w:tcPr>
            <w:tcW w:w="2122" w:type="dxa"/>
            <w:vMerge/>
          </w:tcPr>
          <w:p w:rsidR="007C76E1" w:rsidRPr="007C76E1" w:rsidRDefault="007C76E1" w:rsidP="007C76E1">
            <w:pPr>
              <w:spacing w:after="0" w:line="240" w:lineRule="auto"/>
              <w:rPr>
                <w:rFonts w:ascii="Times New Roman" w:hAnsi="Times New Roman"/>
                <w:bCs/>
                <w:sz w:val="20"/>
                <w:szCs w:val="20"/>
              </w:rPr>
            </w:pPr>
          </w:p>
        </w:tc>
      </w:tr>
    </w:tbl>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bookmarkStart w:id="15" w:name="_Toc502863789"/>
      <w:r w:rsidRPr="007C76E1">
        <w:rPr>
          <w:rFonts w:ascii="Times New Roman" w:hAnsi="Times New Roman"/>
          <w:bCs/>
          <w:sz w:val="20"/>
          <w:szCs w:val="20"/>
        </w:rPr>
        <w:t>Tableau 8 : Qualité de la table Chaîne de produits de l’Effet 1</w:t>
      </w:r>
      <w:bookmarkEnd w:id="15"/>
      <w:r w:rsidRPr="007C76E1">
        <w:rPr>
          <w:rFonts w:ascii="Times New Roman" w:hAnsi="Times New Roman"/>
          <w:bCs/>
          <w:sz w:val="20"/>
          <w:szCs w:val="20"/>
        </w:rPr>
        <w:tab/>
      </w:r>
    </w:p>
    <w:tbl>
      <w:tblPr>
        <w:tblpPr w:leftFromText="141" w:rightFromText="141" w:vertAnchor="text" w:horzAnchor="margin" w:tblpXSpec="center" w:tblpY="4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1134"/>
        <w:gridCol w:w="992"/>
        <w:gridCol w:w="2410"/>
      </w:tblGrid>
      <w:tr w:rsidR="007C76E1" w:rsidRPr="007C76E1" w:rsidTr="007C76E1">
        <w:trPr>
          <w:trHeight w:val="88"/>
        </w:trPr>
        <w:tc>
          <w:tcPr>
            <w:tcW w:w="7621" w:type="dxa"/>
            <w:gridSpan w:val="4"/>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2410" w:type="dxa"/>
            <w:vMerge w:val="restart"/>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Observations techniques sur la qualité des outils</w:t>
            </w: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Produits</w:t>
            </w:r>
          </w:p>
        </w:tc>
        <w:tc>
          <w:tcPr>
            <w:tcW w:w="2977" w:type="dxa"/>
            <w:vMerge w:val="restart"/>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Cs/>
                <w:sz w:val="20"/>
                <w:szCs w:val="20"/>
              </w:rPr>
              <w:t>Indicateurs</w:t>
            </w:r>
          </w:p>
        </w:tc>
        <w:tc>
          <w:tcPr>
            <w:tcW w:w="2126" w:type="dxa"/>
            <w:gridSpan w:val="2"/>
            <w:shd w:val="clear" w:color="auto" w:fill="F2F2F2" w:themeFill="background1" w:themeFillShade="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2410" w:type="dxa"/>
            <w:vMerge/>
            <w:shd w:val="clear" w:color="auto" w:fill="F2F2F2" w:themeFill="background1" w:themeFillShade="F2"/>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vMerge/>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F2F2F2" w:themeFill="background1" w:themeFillShade="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Références</w:t>
            </w:r>
          </w:p>
        </w:tc>
        <w:tc>
          <w:tcPr>
            <w:tcW w:w="992" w:type="dxa"/>
            <w:shd w:val="clear" w:color="auto" w:fill="F2F2F2" w:themeFill="background1" w:themeFillShade="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Cibles</w:t>
            </w:r>
          </w:p>
        </w:tc>
        <w:tc>
          <w:tcPr>
            <w:tcW w:w="2410" w:type="dxa"/>
            <w:vMerge/>
            <w:shd w:val="clear" w:color="auto" w:fill="F2F2F2" w:themeFill="background1" w:themeFillShade="F2"/>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1.1.  Dialogue politique / médiation: Les mécanismes de dialogue politique et de médiation inclusifs sont améliorés à travers le renforcement des capacités techniques des institutions gouvernementales et des autres acteurs nationaux y compris les groupes armés</w:t>
            </w: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1.1.1</w:t>
            </w:r>
            <w:r w:rsidRPr="007C76E1">
              <w:rPr>
                <w:rFonts w:ascii="Times New Roman" w:hAnsi="Times New Roman"/>
                <w:sz w:val="20"/>
                <w:szCs w:val="20"/>
              </w:rPr>
              <w:t xml:space="preserve"> Nombre d’institutions nationales publiques ou parapubliques ayant reçu un renforcement pour la gestion des conflits et la promotion de la paix et la réconciliation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2410" w:type="dxa"/>
            <w:vMerge w:val="restart"/>
            <w:vAlign w:val="center"/>
          </w:tcPr>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2 sur 4 produits techniquement formulés de façon inadéquate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0 produit sur 4 sensibles au genre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Ratio Indicateurs/produit très élevé : 5,75 indicateurs en moyenne par produit :  (près du double de la norme de 3)</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Indicateurs quantifiables dans l’ensemble et Smart, sauf 1 (le 1.2.6.)</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Indicateurs libellés de façon inadéquate (avec que des éléments de produit)</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4 indicateurs sur 23 sont sans situation de référence déterminée et ni cible assignée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lastRenderedPageBreak/>
              <w:t xml:space="preserve">3 Indicateurs sur 23 sensibles au genre </w:t>
            </w:r>
          </w:p>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53"/>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1.1.2</w:t>
            </w:r>
            <w:r w:rsidRPr="007C76E1">
              <w:rPr>
                <w:rFonts w:ascii="Times New Roman" w:hAnsi="Times New Roman"/>
                <w:sz w:val="20"/>
                <w:szCs w:val="20"/>
              </w:rPr>
              <w:t xml:space="preserve"> Nombre de réunions du CSA et de ses sous-comités en lien avec les accords de Paix.</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48 (12 par an)</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749"/>
        </w:trPr>
        <w:tc>
          <w:tcPr>
            <w:tcW w:w="2518" w:type="dxa"/>
            <w:vMerge/>
            <w:tcBorders>
              <w:bottom w:val="single" w:sz="4" w:space="0" w:color="auto"/>
            </w:tcBorders>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1.1.3</w:t>
            </w:r>
            <w:r w:rsidRPr="007C76E1">
              <w:rPr>
                <w:rFonts w:ascii="Times New Roman" w:hAnsi="Times New Roman"/>
                <w:sz w:val="20"/>
                <w:szCs w:val="20"/>
              </w:rPr>
              <w:t xml:space="preserve"> Pourcentage de dialogue inclusif politique et communautaire avec participation des organisations de la société civile. </w:t>
            </w:r>
          </w:p>
        </w:tc>
        <w:tc>
          <w:tcPr>
            <w:tcW w:w="1134"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(suggestion TBC)</w:t>
            </w:r>
          </w:p>
        </w:tc>
        <w:tc>
          <w:tcPr>
            <w:tcW w:w="2410" w:type="dxa"/>
            <w:vMerge/>
            <w:tcBorders>
              <w:bottom w:val="single" w:sz="4" w:space="0" w:color="auto"/>
            </w:tcBorders>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64"/>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1.1.4</w:t>
            </w:r>
            <w:r w:rsidRPr="007C76E1">
              <w:rPr>
                <w:rFonts w:ascii="Times New Roman" w:hAnsi="Times New Roman"/>
                <w:sz w:val="20"/>
                <w:szCs w:val="20"/>
              </w:rPr>
              <w:t xml:space="preserve"> Pourcentage d’institutions et mécanismes établis pour la mise en œuvre de l’accord de paix où les femmes sont représentées au minimum à hauteur de 20%.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476"/>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 1.1.5</w:t>
            </w:r>
            <w:r w:rsidRPr="007C76E1">
              <w:rPr>
                <w:rFonts w:ascii="Times New Roman" w:hAnsi="Times New Roman"/>
                <w:sz w:val="20"/>
                <w:szCs w:val="20"/>
              </w:rPr>
              <w:t xml:space="preserve"> Nombre de régions et de cercles où des séances de restitution (de l’accord de paix) ont été organisées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 régions</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49 cercles</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051"/>
        </w:trPr>
        <w:tc>
          <w:tcPr>
            <w:tcW w:w="2518" w:type="dxa"/>
            <w:vMerge/>
            <w:tcBorders>
              <w:bottom w:val="single" w:sz="4" w:space="0" w:color="auto"/>
            </w:tcBorders>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 1.1.1</w:t>
            </w:r>
            <w:r w:rsidRPr="007C76E1">
              <w:rPr>
                <w:rFonts w:ascii="Times New Roman" w:hAnsi="Times New Roman"/>
                <w:sz w:val="20"/>
                <w:szCs w:val="20"/>
              </w:rPr>
              <w:t xml:space="preserve"> Nombre  d’acteurs nationaux non gouvernementaux, y compris les groupes armés, ayant reçu un renforcement pour la gestion des conflits et la promotion de la paix et la réconciliation</w:t>
            </w:r>
          </w:p>
        </w:tc>
        <w:tc>
          <w:tcPr>
            <w:tcW w:w="1134"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992"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vMerge/>
            <w:tcBorders>
              <w:bottom w:val="single" w:sz="4" w:space="0" w:color="auto"/>
            </w:tcBorders>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1.2. Secteur de la sécurité : Le secteur de la sécurité est renforcé par la mise en œuvre de la politique nationale de la réforme du secteur de la sécurité, y compris la lutte contre les crimes transnationaux</w:t>
            </w: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1.2.1</w:t>
            </w:r>
            <w:r w:rsidRPr="007C76E1">
              <w:rPr>
                <w:rFonts w:ascii="Times New Roman" w:hAnsi="Times New Roman"/>
                <w:sz w:val="20"/>
                <w:szCs w:val="20"/>
              </w:rPr>
              <w:t xml:space="preserve"> Taux d’exécution des actions inscrites dans le Plan National RSS  2015-2019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1.2.2</w:t>
            </w:r>
            <w:r w:rsidRPr="007C76E1">
              <w:rPr>
                <w:rFonts w:ascii="Times New Roman" w:hAnsi="Times New Roman"/>
                <w:sz w:val="20"/>
                <w:szCs w:val="20"/>
              </w:rPr>
              <w:t xml:space="preserve"> Nombre d’inspections par an effectuées par les institutions de contrôle sur les forces de Défense et de Sécurité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 (4 par an)</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1.2.3</w:t>
            </w:r>
            <w:r w:rsidRPr="007C76E1">
              <w:rPr>
                <w:rFonts w:ascii="Times New Roman" w:hAnsi="Times New Roman"/>
                <w:sz w:val="20"/>
                <w:szCs w:val="20"/>
              </w:rPr>
              <w:t xml:space="preserve"> Proportion de plaintes contre les forces armées et de sécurité malienne qui sont traitées à terme par le système de justice formel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1.2.4</w:t>
            </w:r>
            <w:r w:rsidRPr="007C76E1">
              <w:rPr>
                <w:rFonts w:ascii="Times New Roman" w:hAnsi="Times New Roman"/>
                <w:sz w:val="20"/>
                <w:szCs w:val="20"/>
              </w:rPr>
              <w:t xml:space="preserve"> Nombre des lois évaluées en vue de vérifier leur conformité avec les conventions internationales en matière de lutte contre la criminalité transnationale organisée et ses protocoles additifs, le trafic de drogue, le terrorisme et la corruption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1.2.5</w:t>
            </w:r>
            <w:r w:rsidRPr="007C76E1">
              <w:rPr>
                <w:rFonts w:ascii="Times New Roman" w:hAnsi="Times New Roman"/>
                <w:sz w:val="20"/>
                <w:szCs w:val="20"/>
              </w:rPr>
              <w:t xml:space="preserve"> Nombre des structures spécialisées créées et formées en matière de police judiciaire pour faire face aux problèmes de la criminalité organisée transnationale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(Office central des stupéfiants)</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 (criminalité organisée, terrorisme, criminalité économique et financière)</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1.2.6</w:t>
            </w:r>
            <w:r w:rsidRPr="007C76E1">
              <w:rPr>
                <w:rFonts w:ascii="Times New Roman" w:hAnsi="Times New Roman"/>
                <w:sz w:val="20"/>
                <w:szCs w:val="20"/>
              </w:rPr>
              <w:t xml:space="preserve"> Les mécanismes de coopération internationale, en matière de lutte contre la criminalité transnationale, renforcées et harmonisées avec l’implication  de tous les services de sécurité concernés à savoir la police, la gendarmerie nationale et la douane   </w:t>
            </w:r>
          </w:p>
        </w:tc>
        <w:tc>
          <w:tcPr>
            <w:tcW w:w="1134"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(police)</w:t>
            </w:r>
          </w:p>
        </w:tc>
        <w:tc>
          <w:tcPr>
            <w:tcW w:w="992"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 (gendarmerie et douanes)</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1.2.7</w:t>
            </w:r>
            <w:r w:rsidRPr="007C76E1">
              <w:rPr>
                <w:rFonts w:ascii="Times New Roman" w:hAnsi="Times New Roman"/>
                <w:sz w:val="20"/>
                <w:szCs w:val="20"/>
              </w:rPr>
              <w:t xml:space="preserve"> Nombre des postes frontières aériens, terrestres et maritimes (port sec de Bamako) dont les capacités ont été renforcées sur le plan opérationnel et technique.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 postes frontières</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1.2.8</w:t>
            </w:r>
            <w:r w:rsidRPr="007C76E1">
              <w:rPr>
                <w:rFonts w:ascii="Times New Roman" w:hAnsi="Times New Roman"/>
                <w:sz w:val="20"/>
                <w:szCs w:val="20"/>
              </w:rPr>
              <w:t xml:space="preserve"> Nombre de forces armées et de sécurité </w:t>
            </w:r>
            <w:r w:rsidRPr="007C76E1">
              <w:rPr>
                <w:rFonts w:ascii="Times New Roman" w:hAnsi="Times New Roman"/>
                <w:sz w:val="20"/>
                <w:szCs w:val="20"/>
              </w:rPr>
              <w:lastRenderedPageBreak/>
              <w:t xml:space="preserve">malienne formée en droit international des droits de l’homme et principes humanitaires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4100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10000</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1.3. DDR/Réinsertion : Les capacités techniques, logistiques et institutionnelles de la Commission nationale de DDR et des acteurs concernés sont renforcées pour la mise en œuvre d’une démobilisation et d’une réinsertion inclusive (ex-combattants, milices et groupes d’auto-défense, communautés et groupes vulnérables, notamment les enfants)</w:t>
            </w:r>
          </w:p>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1.3.1</w:t>
            </w:r>
            <w:r w:rsidRPr="007C76E1">
              <w:rPr>
                <w:rFonts w:ascii="Times New Roman" w:hAnsi="Times New Roman"/>
                <w:sz w:val="20"/>
                <w:szCs w:val="20"/>
              </w:rPr>
              <w:t xml:space="preserve"> Nombre d’ex-combattants cantonnés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à préciser après les négociations </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1.3.2</w:t>
            </w:r>
            <w:r w:rsidRPr="007C76E1">
              <w:rPr>
                <w:rFonts w:ascii="Times New Roman" w:hAnsi="Times New Roman"/>
                <w:sz w:val="20"/>
                <w:szCs w:val="20"/>
              </w:rPr>
              <w:t xml:space="preserve"> Nombre d’ex éléments des groupes armés, personnes associées (y compris femmes, hommes, enfants, handicapés, et membres des communautés) ayant été enregistrés et ayant bénéficié des projets de Réinsertion</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à préciser après les négociations </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1.3.3</w:t>
            </w:r>
            <w:r w:rsidRPr="007C76E1">
              <w:rPr>
                <w:rFonts w:ascii="Times New Roman" w:hAnsi="Times New Roman"/>
                <w:sz w:val="20"/>
                <w:szCs w:val="20"/>
              </w:rPr>
              <w:t xml:space="preserve"> Nombre de sites de cantonnement construits/réhabilités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à préciser après les négociations </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1.3.4</w:t>
            </w:r>
            <w:r w:rsidRPr="007C76E1">
              <w:rPr>
                <w:rFonts w:ascii="Times New Roman" w:hAnsi="Times New Roman"/>
                <w:sz w:val="20"/>
                <w:szCs w:val="20"/>
              </w:rPr>
              <w:t xml:space="preserve"> Nombre de femmes prises en compte dans les programmes spécifiques de réhabilitation</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à préciser après les négociations </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1.3.5</w:t>
            </w:r>
            <w:r w:rsidRPr="007C76E1">
              <w:rPr>
                <w:rFonts w:ascii="Times New Roman" w:hAnsi="Times New Roman"/>
                <w:sz w:val="20"/>
                <w:szCs w:val="20"/>
              </w:rPr>
              <w:t xml:space="preserve"> % d’ex combattant étrangers et dépendants rapatriés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1.3.6</w:t>
            </w:r>
            <w:r w:rsidRPr="007C76E1">
              <w:rPr>
                <w:rFonts w:ascii="Times New Roman" w:hAnsi="Times New Roman"/>
                <w:sz w:val="20"/>
                <w:szCs w:val="20"/>
              </w:rPr>
              <w:t xml:space="preserve"> Nombre d’enfants associés aux groupes armés relâchés et réunis avec leurs familles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Aucun enfant n’est associé aux groupes armés</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1.4 : réduction des risques explosifs : Les risques explosifs sont réduits à travers une capacité nationale et communautaire renforcée.</w:t>
            </w:r>
          </w:p>
        </w:tc>
        <w:tc>
          <w:tcPr>
            <w:tcW w:w="2977"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1.4.1</w:t>
            </w:r>
            <w:r w:rsidRPr="007C76E1">
              <w:rPr>
                <w:rFonts w:ascii="Times New Roman" w:hAnsi="Times New Roman"/>
                <w:sz w:val="20"/>
                <w:szCs w:val="20"/>
              </w:rPr>
              <w:t xml:space="preserve"> Nombre d’équipes/d’effectifs des FDSM formés et équipés </w:t>
            </w:r>
          </w:p>
        </w:tc>
        <w:tc>
          <w:tcPr>
            <w:tcW w:w="1134"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 équipes de 6 membres</w:t>
            </w:r>
          </w:p>
        </w:tc>
        <w:tc>
          <w:tcPr>
            <w:tcW w:w="992"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 équipes de 6 membres</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1.4.2</w:t>
            </w:r>
            <w:r w:rsidRPr="007C76E1">
              <w:rPr>
                <w:rFonts w:ascii="Times New Roman" w:hAnsi="Times New Roman"/>
                <w:sz w:val="20"/>
                <w:szCs w:val="20"/>
              </w:rPr>
              <w:t xml:space="preserve"> Nombre interventions des équipes FDSDM sur terrain  </w:t>
            </w:r>
          </w:p>
        </w:tc>
        <w:tc>
          <w:tcPr>
            <w:tcW w:w="1134"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1 000 (200 par an)</w:t>
            </w:r>
          </w:p>
        </w:tc>
        <w:tc>
          <w:tcPr>
            <w:tcW w:w="2410" w:type="dxa"/>
            <w:vMerge/>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2977"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1.4.3</w:t>
            </w:r>
            <w:r w:rsidRPr="007C76E1">
              <w:rPr>
                <w:rFonts w:ascii="Times New Roman" w:hAnsi="Times New Roman"/>
                <w:sz w:val="20"/>
                <w:szCs w:val="20"/>
              </w:rPr>
              <w:t xml:space="preserve"> Nombre de personnes ayant reçu une éducation au risque de mines</w:t>
            </w:r>
          </w:p>
        </w:tc>
        <w:tc>
          <w:tcPr>
            <w:tcW w:w="1134"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228 959</w:t>
            </w:r>
          </w:p>
        </w:tc>
        <w:tc>
          <w:tcPr>
            <w:tcW w:w="992"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600 000</w:t>
            </w:r>
          </w:p>
        </w:tc>
        <w:tc>
          <w:tcPr>
            <w:tcW w:w="2410" w:type="dxa"/>
            <w:vMerge/>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bookmarkStart w:id="16" w:name="_Toc502863790"/>
      <w:r w:rsidRPr="007C76E1">
        <w:rPr>
          <w:rFonts w:ascii="Times New Roman" w:hAnsi="Times New Roman"/>
          <w:bCs/>
          <w:sz w:val="20"/>
          <w:szCs w:val="20"/>
        </w:rPr>
        <w:t>Tableau 9 : Qualité de la table Chaîne de produits de l’Effet 2</w:t>
      </w:r>
      <w:bookmarkEnd w:id="16"/>
      <w:r w:rsidRPr="007C76E1">
        <w:rPr>
          <w:rFonts w:ascii="Times New Roman" w:hAnsi="Times New Roman"/>
          <w:bCs/>
          <w:sz w:val="20"/>
          <w:szCs w:val="20"/>
        </w:rPr>
        <w:tab/>
      </w:r>
    </w:p>
    <w:tbl>
      <w:tblPr>
        <w:tblpPr w:leftFromText="141" w:rightFromText="141" w:vertAnchor="text" w:horzAnchor="margin" w:tblpXSpec="center" w:tblpY="40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993"/>
        <w:gridCol w:w="992"/>
        <w:gridCol w:w="2410"/>
      </w:tblGrid>
      <w:tr w:rsidR="007C76E1" w:rsidRPr="007C76E1" w:rsidTr="007C76E1">
        <w:trPr>
          <w:trHeight w:val="88"/>
        </w:trPr>
        <w:tc>
          <w:tcPr>
            <w:tcW w:w="7763" w:type="dxa"/>
            <w:gridSpan w:val="4"/>
            <w:shd w:val="clear" w:color="auto" w:fill="F2F2F2"/>
            <w:vAlign w:val="center"/>
          </w:tcPr>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2410"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Observations techniques sur la qualité des outils</w:t>
            </w: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Produits</w:t>
            </w:r>
          </w:p>
        </w:tc>
        <w:tc>
          <w:tcPr>
            <w:tcW w:w="3260"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Indicateurs</w:t>
            </w:r>
          </w:p>
        </w:tc>
        <w:tc>
          <w:tcPr>
            <w:tcW w:w="1985" w:type="dxa"/>
            <w:gridSpan w:val="2"/>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2410"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993" w:type="dxa"/>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Références</w:t>
            </w:r>
          </w:p>
        </w:tc>
        <w:tc>
          <w:tcPr>
            <w:tcW w:w="992" w:type="dxa"/>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Cibles</w:t>
            </w:r>
          </w:p>
        </w:tc>
        <w:tc>
          <w:tcPr>
            <w:tcW w:w="2410"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Produit 2.1. Justice transitionnelle : Les capacités techniques des institutions en charge du processus de réconciliation et de justice transitionnelle et de la société civile sont </w:t>
            </w:r>
            <w:r w:rsidRPr="007C76E1">
              <w:rPr>
                <w:rFonts w:ascii="Times New Roman" w:hAnsi="Times New Roman"/>
                <w:sz w:val="20"/>
                <w:szCs w:val="20"/>
              </w:rPr>
              <w:lastRenderedPageBreak/>
              <w:t>renforcées pour promouvoir la réconciliation, le droit à la vérité, à la justice et à la réparation des victimes, y compris les femmes</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lastRenderedPageBreak/>
              <w:t xml:space="preserve">Indicateur 2.1.1 </w:t>
            </w:r>
            <w:r w:rsidRPr="007C76E1">
              <w:rPr>
                <w:rFonts w:ascii="Times New Roman" w:hAnsi="Times New Roman"/>
                <w:sz w:val="20"/>
                <w:szCs w:val="20"/>
              </w:rPr>
              <w:t>Nombre de textes réglementaires adoptés et mis en œuvre par les membres de la CVJR</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w:t>
            </w:r>
          </w:p>
        </w:tc>
        <w:tc>
          <w:tcPr>
            <w:tcW w:w="2410" w:type="dxa"/>
            <w:vMerge w:val="restart"/>
            <w:vAlign w:val="center"/>
          </w:tcPr>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4 sur 4 produits techniquement formulés de façon adéquate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1 produit sur 4 sensibles au genre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 xml:space="preserve">Ratio </w:t>
            </w:r>
            <w:r w:rsidRPr="007C76E1">
              <w:rPr>
                <w:rFonts w:ascii="Times New Roman" w:hAnsi="Times New Roman"/>
                <w:bCs/>
                <w:sz w:val="20"/>
                <w:szCs w:val="20"/>
              </w:rPr>
              <w:lastRenderedPageBreak/>
              <w:t>Indicateurs/produit de 4,3 élevé : nettement au dessus de la norme de 3</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Indicateurs quantifiables dans l’ensemble et Smart</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3 indicateurs sur 27 libellés de façon inadéquate (avec des éléments de résultat)</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27 indicateurs sur 27 avec situation de référence déterminée et cible assignée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 xml:space="preserve">2 Indicateurs sur 27 sensibles au genre </w:t>
            </w:r>
          </w:p>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53"/>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2.1.</w:t>
            </w:r>
            <w:r w:rsidRPr="007C76E1">
              <w:rPr>
                <w:rFonts w:ascii="Times New Roman" w:hAnsi="Times New Roman"/>
                <w:sz w:val="20"/>
                <w:szCs w:val="20"/>
              </w:rPr>
              <w:t>2 %  des cas investigués par la CVJR par rapport au nombre de cas de plaintes déposés.</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2.1.3</w:t>
            </w:r>
            <w:r w:rsidRPr="007C76E1">
              <w:rPr>
                <w:rFonts w:ascii="Times New Roman" w:hAnsi="Times New Roman"/>
                <w:sz w:val="20"/>
                <w:szCs w:val="20"/>
              </w:rPr>
              <w:t xml:space="preserve"> Nombre de </w:t>
            </w:r>
            <w:r w:rsidRPr="007C76E1">
              <w:rPr>
                <w:rFonts w:ascii="Times New Roman" w:hAnsi="Times New Roman"/>
                <w:sz w:val="20"/>
                <w:szCs w:val="20"/>
              </w:rPr>
              <w:lastRenderedPageBreak/>
              <w:t>recommandations émanant de la CVJR sur l’administration de la justice et la réduction de l’impunité sont exécutées selon des standards raisonnables</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2.1.4</w:t>
            </w:r>
            <w:r w:rsidRPr="007C76E1">
              <w:rPr>
                <w:rFonts w:ascii="Times New Roman" w:hAnsi="Times New Roman"/>
                <w:sz w:val="20"/>
                <w:szCs w:val="20"/>
              </w:rPr>
              <w:t xml:space="preserve"> Nombre  de mesures des cas de réconciliation initiés par la CVJR qui sont mises en œuvre</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2.1.5</w:t>
            </w:r>
            <w:r w:rsidRPr="007C76E1">
              <w:rPr>
                <w:rFonts w:ascii="Times New Roman" w:hAnsi="Times New Roman"/>
                <w:sz w:val="20"/>
                <w:szCs w:val="20"/>
              </w:rPr>
              <w:t xml:space="preserve"> Nombre de structures de la société civile, incluant les organisations des femmes, qui participent au sein de la coalition pour la justice transitionnelle</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2.1.6</w:t>
            </w:r>
            <w:r w:rsidRPr="007C76E1">
              <w:rPr>
                <w:rFonts w:ascii="Times New Roman" w:hAnsi="Times New Roman"/>
                <w:sz w:val="20"/>
                <w:szCs w:val="20"/>
              </w:rPr>
              <w:t xml:space="preserve"> Nombre de recommandations émanant du rapport de la Commission Internationale d’enquête mises en œuvre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2.2. Dialogue inter-/intra-communautaire : Les communautés disposent des capacités techniques nécessaires à la prévention et à la gestion des conflits communautaires, au renforcement de la cohésion sociale, et de créer les conditions de retour des réfugiés et déplacés</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2.2.1</w:t>
            </w:r>
            <w:r w:rsidRPr="007C76E1">
              <w:rPr>
                <w:rFonts w:ascii="Times New Roman" w:hAnsi="Times New Roman"/>
                <w:sz w:val="20"/>
                <w:szCs w:val="20"/>
              </w:rPr>
              <w:t xml:space="preserve"> Nombre de Cercles ayant  des mécanismes de dialogue intercommunautaire et intracommunautaire mis en place.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13 </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2.2.2</w:t>
            </w:r>
            <w:r w:rsidRPr="007C76E1">
              <w:rPr>
                <w:rFonts w:ascii="Times New Roman" w:hAnsi="Times New Roman"/>
                <w:sz w:val="20"/>
                <w:szCs w:val="20"/>
              </w:rPr>
              <w:t xml:space="preserve"> Nombre de médiateurs et de médiatrices (communautaires issus de l’administration locale, de la société civile, et des communautés religieuses) formés en prévention/gestion des conflits à l’échelle communautaire</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2.2.3</w:t>
            </w:r>
            <w:r w:rsidRPr="007C76E1">
              <w:rPr>
                <w:rFonts w:ascii="Times New Roman" w:hAnsi="Times New Roman"/>
                <w:sz w:val="20"/>
                <w:szCs w:val="20"/>
              </w:rPr>
              <w:t xml:space="preserve"> Nombre d’OSC et d’ONG nationales partenaires de la CVJR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6 sur 30  </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sur 15</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2.2.4</w:t>
            </w:r>
            <w:r w:rsidRPr="007C76E1">
              <w:rPr>
                <w:rFonts w:ascii="Times New Roman" w:hAnsi="Times New Roman"/>
                <w:sz w:val="20"/>
                <w:szCs w:val="20"/>
              </w:rPr>
              <w:t xml:space="preserve"> Nombre d’antennes de la CVJR mises en place et fonctionnelles</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2.3. Education à la culture de la paix : Les capacités techniques et matérielles des institutions (ministère de l’Education, Enseignement supérieur, syndicats d’élèves et d’enseignants) sont renforcées pour la promotion de l’éducation à la culture de la paix et droits de l’homme.</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2.3.1</w:t>
            </w:r>
            <w:r w:rsidRPr="007C76E1">
              <w:rPr>
                <w:rFonts w:ascii="Times New Roman" w:hAnsi="Times New Roman"/>
                <w:sz w:val="20"/>
                <w:szCs w:val="20"/>
              </w:rPr>
              <w:t xml:space="preserve"> Nombre d’enseignants formés sur le sujet de l’éducation à la culture de la paix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3 000</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2.3.2</w:t>
            </w:r>
            <w:r w:rsidRPr="007C76E1">
              <w:rPr>
                <w:rFonts w:ascii="Times New Roman" w:hAnsi="Times New Roman"/>
                <w:sz w:val="20"/>
                <w:szCs w:val="20"/>
              </w:rPr>
              <w:t xml:space="preserve"> % d’écoles dotées d’un plan et d’un mécanisme de prévention et de gestion de conflits.</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 des écoles fonctionnelles au nord</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2.2.3</w:t>
            </w:r>
            <w:r w:rsidRPr="007C76E1">
              <w:rPr>
                <w:rFonts w:ascii="Times New Roman" w:hAnsi="Times New Roman"/>
                <w:sz w:val="20"/>
                <w:szCs w:val="20"/>
              </w:rPr>
              <w:t xml:space="preserve"> % de Comités de Gestion Scolaire (CGS) formés sur la gestion des conflits, la tolérance et la promotion de la paix.</w:t>
            </w: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 des CGS fonctionnels au nord</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43"/>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2.4. Patrimoine culturel : Le patrimoine culturel matériel et immatériel endommagé est réhabilité et des outils pour la promotion de la diversité et des expressions culturelles sont élaborés</w:t>
            </w:r>
          </w:p>
        </w:tc>
        <w:tc>
          <w:tcPr>
            <w:tcW w:w="3260"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2.4.1</w:t>
            </w:r>
            <w:r w:rsidRPr="007C76E1">
              <w:rPr>
                <w:rFonts w:ascii="Times New Roman" w:hAnsi="Times New Roman"/>
                <w:sz w:val="20"/>
                <w:szCs w:val="20"/>
              </w:rPr>
              <w:t xml:space="preserve"> Nombre de ressources patrimoine culturel (sites du patrimoine, musées, bibliothèques de manuscrits) endommagé réhabilité</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14 mausolées détruits </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14 mausolées reconstruits </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43"/>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 bibliothèques privées endommagées</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8 bibliothèques réhabilitées, </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43"/>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3 </w:t>
            </w:r>
            <w:r w:rsidRPr="007C76E1">
              <w:rPr>
                <w:rFonts w:ascii="Times New Roman" w:hAnsi="Times New Roman"/>
                <w:sz w:val="20"/>
                <w:szCs w:val="20"/>
              </w:rPr>
              <w:lastRenderedPageBreak/>
              <w:t>mosquées classées patrimoine mondial endommagées</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 xml:space="preserve">3 </w:t>
            </w:r>
            <w:r w:rsidRPr="007C76E1">
              <w:rPr>
                <w:rFonts w:ascii="Times New Roman" w:hAnsi="Times New Roman"/>
                <w:sz w:val="20"/>
                <w:szCs w:val="20"/>
              </w:rPr>
              <w:lastRenderedPageBreak/>
              <w:t>mosquées réhabilitées</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2.4.2</w:t>
            </w:r>
            <w:r w:rsidRPr="007C76E1">
              <w:rPr>
                <w:rFonts w:ascii="Times New Roman" w:hAnsi="Times New Roman"/>
                <w:sz w:val="20"/>
                <w:szCs w:val="20"/>
              </w:rPr>
              <w:t xml:space="preserve"> % de manuscrits numérisés, traduits et diffusés auprès des communautés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2.4.3</w:t>
            </w:r>
            <w:r w:rsidRPr="007C76E1">
              <w:rPr>
                <w:rFonts w:ascii="Times New Roman" w:hAnsi="Times New Roman"/>
                <w:sz w:val="20"/>
                <w:szCs w:val="20"/>
              </w:rPr>
              <w:t xml:space="preserve"> Nombre d’évènements culturels organisés suite au renforcement de capacités des acteurs régionaux et nationaux concernés</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403"/>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2.4.4</w:t>
            </w:r>
            <w:r w:rsidRPr="007C76E1">
              <w:rPr>
                <w:rFonts w:ascii="Times New Roman" w:hAnsi="Times New Roman"/>
                <w:sz w:val="20"/>
                <w:szCs w:val="20"/>
              </w:rPr>
              <w:t xml:space="preserve"> % d’éléments du patrimoine culturel immatériel inventorié</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éléments classés patrimoine mondial (quel %)</w:t>
            </w:r>
          </w:p>
        </w:tc>
        <w:tc>
          <w:tcPr>
            <w:tcW w:w="99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 du patrimoine immatériel des régions de Tombouctou, Kidal, Gao et Mopti inventorié</w:t>
            </w:r>
          </w:p>
          <w:p w:rsidR="007C76E1" w:rsidRPr="007C76E1" w:rsidRDefault="007C76E1" w:rsidP="007C76E1">
            <w:pPr>
              <w:spacing w:after="0" w:line="240" w:lineRule="auto"/>
              <w:rPr>
                <w:rFonts w:ascii="Times New Roman" w:hAnsi="Times New Roman"/>
                <w:sz w:val="20"/>
                <w:szCs w:val="20"/>
              </w:rPr>
            </w:pPr>
          </w:p>
        </w:tc>
        <w:tc>
          <w:tcPr>
            <w:tcW w:w="2410" w:type="dxa"/>
            <w:vMerge/>
            <w:vAlign w:val="center"/>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
          <w:bCs/>
          <w:sz w:val="20"/>
          <w:szCs w:val="20"/>
        </w:rPr>
      </w:pPr>
    </w:p>
    <w:p w:rsidR="007C76E1" w:rsidRPr="007C76E1" w:rsidRDefault="007C76E1" w:rsidP="007C76E1">
      <w:pPr>
        <w:spacing w:after="0" w:line="240" w:lineRule="auto"/>
        <w:rPr>
          <w:rFonts w:ascii="Times New Roman" w:hAnsi="Times New Roman"/>
          <w:bCs/>
          <w:sz w:val="20"/>
          <w:szCs w:val="20"/>
        </w:rPr>
      </w:pPr>
      <w:bookmarkStart w:id="17" w:name="_Toc502863791"/>
      <w:r w:rsidRPr="007C76E1">
        <w:rPr>
          <w:rFonts w:ascii="Times New Roman" w:hAnsi="Times New Roman"/>
          <w:bCs/>
          <w:sz w:val="20"/>
          <w:szCs w:val="20"/>
        </w:rPr>
        <w:t>Tableau 10 : Qualité de la table Chaîne de produits de l’Effet 3</w:t>
      </w:r>
      <w:bookmarkEnd w:id="17"/>
      <w:r w:rsidRPr="007C76E1">
        <w:rPr>
          <w:rFonts w:ascii="Times New Roman" w:hAnsi="Times New Roman"/>
          <w:bCs/>
          <w:sz w:val="20"/>
          <w:szCs w:val="20"/>
        </w:rPr>
        <w:tab/>
      </w:r>
    </w:p>
    <w:tbl>
      <w:tblPr>
        <w:tblpPr w:leftFromText="141" w:rightFromText="141" w:vertAnchor="text" w:horzAnchor="margin" w:tblpXSpec="center"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260"/>
        <w:gridCol w:w="1134"/>
        <w:gridCol w:w="850"/>
        <w:gridCol w:w="2268"/>
      </w:tblGrid>
      <w:tr w:rsidR="007C76E1" w:rsidRPr="007C76E1" w:rsidTr="007C76E1">
        <w:trPr>
          <w:trHeight w:val="88"/>
        </w:trPr>
        <w:tc>
          <w:tcPr>
            <w:tcW w:w="8046" w:type="dxa"/>
            <w:gridSpan w:val="4"/>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Programmation</w:t>
            </w:r>
          </w:p>
        </w:tc>
        <w:tc>
          <w:tcPr>
            <w:tcW w:w="2268" w:type="dxa"/>
            <w:vMerge w:val="restart"/>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Observations techniques sur la qualité des outils</w:t>
            </w:r>
          </w:p>
        </w:tc>
      </w:tr>
      <w:tr w:rsidR="007C76E1" w:rsidRPr="007C76E1" w:rsidTr="007C76E1">
        <w:trPr>
          <w:trHeight w:val="88"/>
        </w:trPr>
        <w:tc>
          <w:tcPr>
            <w:tcW w:w="280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Produits</w:t>
            </w:r>
          </w:p>
        </w:tc>
        <w:tc>
          <w:tcPr>
            <w:tcW w:w="3260" w:type="dxa"/>
            <w:vMerge w:val="restart"/>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
                <w:bCs/>
                <w:sz w:val="20"/>
                <w:szCs w:val="20"/>
              </w:rPr>
              <w:t>Indicateurs</w:t>
            </w:r>
          </w:p>
        </w:tc>
        <w:tc>
          <w:tcPr>
            <w:tcW w:w="1984" w:type="dxa"/>
            <w:gridSpan w:val="2"/>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Repères programmatiques</w:t>
            </w:r>
          </w:p>
        </w:tc>
        <w:tc>
          <w:tcPr>
            <w:tcW w:w="2268" w:type="dxa"/>
            <w:vMerge/>
            <w:shd w:val="clear" w:color="auto" w:fill="F2F2F2" w:themeFill="background1" w:themeFillShade="F2"/>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vMerge/>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p>
        </w:tc>
        <w:tc>
          <w:tcPr>
            <w:tcW w:w="1134" w:type="dxa"/>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Références</w:t>
            </w:r>
          </w:p>
        </w:tc>
        <w:tc>
          <w:tcPr>
            <w:tcW w:w="850" w:type="dxa"/>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Cibles</w:t>
            </w:r>
          </w:p>
        </w:tc>
        <w:tc>
          <w:tcPr>
            <w:tcW w:w="2268" w:type="dxa"/>
            <w:vMerge/>
            <w:shd w:val="clear" w:color="auto" w:fill="F2F2F2" w:themeFill="background1" w:themeFillShade="F2"/>
          </w:tcPr>
          <w:p w:rsidR="007C76E1" w:rsidRPr="007C76E1" w:rsidRDefault="007C76E1" w:rsidP="007C76E1">
            <w:pPr>
              <w:spacing w:after="0" w:line="240" w:lineRule="auto"/>
              <w:rPr>
                <w:rFonts w:ascii="Times New Roman" w:hAnsi="Times New Roman"/>
                <w:b/>
                <w:bCs/>
                <w:sz w:val="20"/>
                <w:szCs w:val="20"/>
              </w:rPr>
            </w:pPr>
          </w:p>
        </w:tc>
      </w:tr>
      <w:tr w:rsidR="007C76E1" w:rsidRPr="007C76E1" w:rsidTr="007C76E1">
        <w:trPr>
          <w:trHeight w:val="88"/>
        </w:trPr>
        <w:tc>
          <w:tcPr>
            <w:tcW w:w="280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3.1 : Les capacités de l’Assemblée Nationale et des   Structures de contrôle des Finances publiques (Section des Comptes de la Cours Suprême) sont renforcées en vue d’améliorer la redevabilité dans la gestion des politiques publiques.</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3.1.1 Nombre de propositions de loi soumises par l’Assemblée Nationale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w:t>
            </w:r>
          </w:p>
        </w:tc>
        <w:tc>
          <w:tcPr>
            <w:tcW w:w="2268" w:type="dxa"/>
            <w:vMerge w:val="restart"/>
            <w:vAlign w:val="center"/>
          </w:tcPr>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3  sur 7 produits formulés de façon inadéquate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2 produits sur 7 sensibles au genre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Ratio Indicateurs/produit de 3,4 légèrement au dessus de la norme de 3</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Indicateurs quantifiables dans l’ensemble et Smart</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14 indicateurs sur 24 libellés de façon inadéquate (avec des éléments de résultat)</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 xml:space="preserve">5 indicateurs sans situation de référence de référence, ni cible </w:t>
            </w:r>
            <w:r w:rsidRPr="007C76E1">
              <w:rPr>
                <w:rFonts w:ascii="Times New Roman" w:hAnsi="Times New Roman"/>
                <w:bCs/>
                <w:sz w:val="20"/>
                <w:szCs w:val="20"/>
              </w:rPr>
              <w:lastRenderedPageBreak/>
              <w:t>assignée ; 3 autres ont uniquement d’une situation de référence et manquent donc de cible déterminée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 xml:space="preserve">0 Indicateur sur 24 sensible au genre </w:t>
            </w:r>
          </w:p>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3.1.2 Nombre d’initiatives de contrôle de l’action gouvernementale prises par l’Assemblée Nationale.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2/an</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4/an</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3.1.3 % des collectivités territoriales ayant fait l’objet d’un contrôle par la Section des Comptes de la Cour Suprême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Au moins 30%</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3.2 : Les capacités de l’Etat, des OGE et OSC sont renforcées en vue de l’amélioration de la crédibilité des processus électoraux et d’une plus grande participation, notamment des femmes et des jeunes.</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 2.1 Nombre d’élections organisées avec un fichier électoral biométrique mis à jour</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 mises à jour</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 2.2 nombre d’OSC appuyées ayant mené des activités d’éducation civique en vue de l’amélioration de la participation citoyenne aux élections, notamment celle des femmes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107 (2013)</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107</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3.2.3 Nombre </w:t>
            </w:r>
            <w:r w:rsidRPr="007C76E1">
              <w:rPr>
                <w:rFonts w:ascii="Times New Roman" w:hAnsi="Times New Roman"/>
                <w:bCs/>
                <w:sz w:val="20"/>
                <w:szCs w:val="20"/>
              </w:rPr>
              <w:lastRenderedPageBreak/>
              <w:t>d’assistances fournies à l’Etat malien, aux OGE (DGE, CENI)</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lastRenderedPageBreak/>
              <w:t xml:space="preserve">3 types : </w:t>
            </w:r>
            <w:r w:rsidRPr="007C76E1">
              <w:rPr>
                <w:rFonts w:ascii="Times New Roman" w:hAnsi="Times New Roman"/>
                <w:bCs/>
                <w:sz w:val="20"/>
                <w:szCs w:val="20"/>
              </w:rPr>
              <w:lastRenderedPageBreak/>
              <w:t>(Appui logistique, assistances techniques ; Appui sécuritaire)</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lastRenderedPageBreak/>
              <w:t xml:space="preserve">3 </w:t>
            </w:r>
            <w:r w:rsidRPr="007C76E1">
              <w:rPr>
                <w:rFonts w:ascii="Times New Roman" w:hAnsi="Times New Roman"/>
                <w:bCs/>
                <w:sz w:val="20"/>
                <w:szCs w:val="20"/>
              </w:rPr>
              <w:lastRenderedPageBreak/>
              <w:t>types (Appui logistique, assistances techniques ; Appui sécuritaire):</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3.3 : Les stratégies et plans d’action disponibles sont opérationnalisés pour l’approfondissement de la décentralisation et la consolidation de la gouvernance locale.</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3.3.1 Nombre de régions qui disposent de contrats Plans/Projets signés et opérationnels avec l’Etat.</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4</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3.3.2 Nombre de collectivités renforcées pour la gestion équitable des ressources financières et humaines des anciennes et nouvelles compétences transférées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30%</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3.4 : Les capacités des institutions publiques (au niveau national, régional, sectoriel) pour la planification et la programmation axée sur l’évidence, le S&amp;E et la production des données statistiques comparables et désagrégés sont renforcées</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3.4.1 # (ou %) de politiques, stratégies, plans, budgets clés appuyés par l’UNDAF+ qui sont équitable et axés sur l’évidence.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 déterminer</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 déterminer</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3.4.2 Nombre d’unités/services de planification/ S&amp;E/statistiques avec une capacité technique renforcée pour la collecte, analyse, et utilisation des données désagrégées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12 (y inclus Instat, DNP, Services décentralisés)</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3.4.3 Un compendium national des indicateurs effet et processus standardisé [TBD]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 déterminer</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 déterminer</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3.4.4 # des enquêtes et études clés menés avec un rapport final publié sur les thématiques prioritaires appuyés par cet UNDAF+</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 déterminer</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 déterminer</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3.5 : Les capacités des organisations de la société civile et des médias sont renforcées en vue d’améliorer le contrôle citoyen, la redevabilité des institutions et la participation des femmes et des jeunes dans la vie publique.</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3.5.1 Nombre des structures faitières et plateformes de la société civile ayant bénéficié de renforcement des capacités sur les techniques de contrôle citoyen.</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62</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3.5.2 Nombre d’initiatives entreprises par des structures faitières et plateformes pour influencer les systèmes de gouvernance et les politiques publiques  prenant en compte l’équité et l’égalité du genre.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 (soit 1/an)</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3.5.3 Nombre d’émissions, articles, publications en rapport avec le contrôle citoyen</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10 (soit 2 rapports/an sur différents sujets en rapport avec la </w:t>
            </w:r>
            <w:r w:rsidRPr="007C76E1">
              <w:rPr>
                <w:rFonts w:ascii="Times New Roman" w:hAnsi="Times New Roman"/>
                <w:bCs/>
                <w:sz w:val="20"/>
                <w:szCs w:val="20"/>
              </w:rPr>
              <w:lastRenderedPageBreak/>
              <w:t>gouvernance)</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3.6 : Le fonctionnement des Institutions judiciaires et pénitentiaires et des organes de lutte contre l’impunité est amélioré sur toute l’étendue du territoire national dans un cadre juridique réformé conforme aux principes de l’Etat de droit</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Indicateurs 3.6.1 Nombre de Cours et tribunaux des régions affectées par la crise ayant repris toutes leurs activités  (Gao, Tombouctou, Kidal et 3 cercles de Mopti)</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13</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Indicateurs 3.6.2 Nombre de prisons des régions affectées par la crise ayant repris toutes leurs activités (Gao, Tombouctou, Kidal et 3 cercles de Mopti)</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15</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3.6.3 Pourcentage de la population enquêtée qui exprime sa confiance aux institutions judiciaires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37,7%</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50%</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3.7 : Les mécanismes nationaux formels et informels de promotion et de protection des droits Humains disposent des capacités institutionnelles et techniques pour mieux accomplir leurs missions en conformité avec les standards internationaux.</w:t>
            </w: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Indicateurs 3.7.1 Nombre de rapports périodiques conformes aux standards produits et soumis aux organes des Traités and Conseil de Droit de l’Homme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Indicateurs 3.7.2 Nombre de rapports alternatifs produits et soumis aux organes des Traités et Conseil de Droit de l’Homme par les organisations de la société civile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3.7.3 Nombre de lois spécifiques aux droits des femmes et des enfants qui sont en conformité avec les standards internationaux</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0/5</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5/5</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802"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26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3.7.4 Taux de mise en œuvre des recommandations formulées par les mécanismes des droits de l'homme sur les rapports périodiques soumis</w:t>
            </w: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850"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25%</w:t>
            </w:r>
          </w:p>
        </w:tc>
        <w:tc>
          <w:tcPr>
            <w:tcW w:w="2268" w:type="dxa"/>
            <w:vMerge/>
          </w:tcPr>
          <w:p w:rsidR="007C76E1" w:rsidRPr="007C76E1" w:rsidRDefault="007C76E1" w:rsidP="007C76E1">
            <w:pPr>
              <w:spacing w:after="0" w:line="240" w:lineRule="auto"/>
              <w:rPr>
                <w:rFonts w:ascii="Times New Roman" w:hAnsi="Times New Roman"/>
                <w:bCs/>
                <w:sz w:val="20"/>
                <w:szCs w:val="20"/>
              </w:rPr>
            </w:pPr>
          </w:p>
        </w:tc>
      </w:tr>
    </w:tbl>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bookmarkStart w:id="18" w:name="_Toc502863792"/>
      <w:r w:rsidRPr="007C76E1">
        <w:rPr>
          <w:rFonts w:ascii="Times New Roman" w:hAnsi="Times New Roman"/>
          <w:bCs/>
          <w:sz w:val="20"/>
          <w:szCs w:val="20"/>
        </w:rPr>
        <w:t>Tableau 11 : Qualité de la table Chaîne de produits de l’Effet 4</w:t>
      </w:r>
      <w:bookmarkEnd w:id="18"/>
      <w:r w:rsidRPr="007C76E1">
        <w:rPr>
          <w:rFonts w:ascii="Times New Roman" w:hAnsi="Times New Roman"/>
          <w:bCs/>
          <w:sz w:val="20"/>
          <w:szCs w:val="20"/>
        </w:rPr>
        <w:tab/>
      </w:r>
    </w:p>
    <w:tbl>
      <w:tblPr>
        <w:tblpPr w:leftFromText="141" w:rightFromText="141" w:vertAnchor="text" w:horzAnchor="margin" w:tblpXSpec="center"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1134"/>
        <w:gridCol w:w="1134"/>
        <w:gridCol w:w="2126"/>
      </w:tblGrid>
      <w:tr w:rsidR="007C76E1" w:rsidRPr="007C76E1" w:rsidTr="007C76E1">
        <w:trPr>
          <w:trHeight w:val="88"/>
        </w:trPr>
        <w:tc>
          <w:tcPr>
            <w:tcW w:w="8188" w:type="dxa"/>
            <w:gridSpan w:val="4"/>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Programmation</w:t>
            </w:r>
          </w:p>
        </w:tc>
        <w:tc>
          <w:tcPr>
            <w:tcW w:w="2126" w:type="dxa"/>
            <w:vMerge w:val="restart"/>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Observations techniques sur la qualité des outils</w:t>
            </w: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Produits</w:t>
            </w:r>
          </w:p>
        </w:tc>
        <w:tc>
          <w:tcPr>
            <w:tcW w:w="3402" w:type="dxa"/>
            <w:vMerge w:val="restart"/>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
                <w:bCs/>
                <w:sz w:val="20"/>
                <w:szCs w:val="20"/>
              </w:rPr>
              <w:t>Indicateurs</w:t>
            </w:r>
          </w:p>
        </w:tc>
        <w:tc>
          <w:tcPr>
            <w:tcW w:w="2268" w:type="dxa"/>
            <w:gridSpan w:val="2"/>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Repères programmatiques</w:t>
            </w:r>
          </w:p>
        </w:tc>
        <w:tc>
          <w:tcPr>
            <w:tcW w:w="2126" w:type="dxa"/>
            <w:vMerge/>
            <w:shd w:val="clear" w:color="auto" w:fill="F2F2F2" w:themeFill="background1" w:themeFillShade="F2"/>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p>
        </w:tc>
        <w:tc>
          <w:tcPr>
            <w:tcW w:w="1134" w:type="dxa"/>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Références</w:t>
            </w:r>
          </w:p>
        </w:tc>
        <w:tc>
          <w:tcPr>
            <w:tcW w:w="1134" w:type="dxa"/>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Cibles</w:t>
            </w:r>
          </w:p>
        </w:tc>
        <w:tc>
          <w:tcPr>
            <w:tcW w:w="2126" w:type="dxa"/>
            <w:vMerge/>
            <w:shd w:val="clear" w:color="auto" w:fill="F2F2F2" w:themeFill="background1" w:themeFillShade="F2"/>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4.1 : Les femmes, enfants et jeunes, en particulier les plus vulnérables utilisent un paquet intégré de services de santé de qualité</w:t>
            </w: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4.1.1 Taux de couverture vaccinale en Penta valent  3 chez les enfants de 12-23 mois (identification district les plus faibles UNICEF/OMS)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74%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90%</w:t>
            </w:r>
          </w:p>
        </w:tc>
        <w:tc>
          <w:tcPr>
            <w:tcW w:w="2126" w:type="dxa"/>
            <w:vMerge w:val="restart"/>
            <w:vAlign w:val="center"/>
          </w:tcPr>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2  sur 6 produits formulés de façon inadéquate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3 produits sur 6 sensibles au genre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 xml:space="preserve">Indicateurs pléthoriques avec une moyenne de 5,2 par produit (au </w:t>
            </w:r>
            <w:r w:rsidRPr="007C76E1">
              <w:rPr>
                <w:rFonts w:ascii="Times New Roman" w:hAnsi="Times New Roman"/>
                <w:bCs/>
                <w:sz w:val="20"/>
                <w:szCs w:val="20"/>
              </w:rPr>
              <w:lastRenderedPageBreak/>
              <w:t>dessus de la norme de 3)</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Indicateurs quantifiables dans l’ensemble et Smart</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13 indicateurs libellés de façon inadéquate (avec des éléments de résultat)</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3 indicateurs sur 24  sont ans situation de référence de référence, ni cible assignée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 xml:space="preserve">7 Indicateurs sur 31 sont sensibles au genre </w:t>
            </w:r>
          </w:p>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53"/>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4.1.2 Taux d’utilisation des services curatifs.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0.35 nouveau cas/an/habitant en 2013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0,40 nc/hbt/an</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1250"/>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4.1.3 % de CSCOM offrant les services de SONUB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7%</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4.1.4 % de besoins non satisfaits en contraception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26 % (2013)</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23%</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23,3% (Adolescentes)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20% (Adolescentes)</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4.1.5 Proportion de services de PF n’ayant pas connu de rupture de stock durant les six derniers mois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57%</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90%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1480"/>
        </w:trPr>
        <w:tc>
          <w:tcPr>
            <w:tcW w:w="2518" w:type="dxa"/>
            <w:vMerge/>
            <w:tcBorders>
              <w:bottom w:val="single" w:sz="4" w:space="0" w:color="auto"/>
            </w:tcBorders>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4.1.6 Taux de rupture de stock de médicament du panier commun</w:t>
            </w:r>
          </w:p>
        </w:tc>
        <w:tc>
          <w:tcPr>
            <w:tcW w:w="1134"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30,5 %  (2013) </w:t>
            </w:r>
          </w:p>
        </w:tc>
        <w:tc>
          <w:tcPr>
            <w:tcW w:w="1134" w:type="dxa"/>
            <w:tcBorders>
              <w:bottom w:val="single" w:sz="4" w:space="0" w:color="auto"/>
            </w:tcBorders>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w:t>
            </w:r>
          </w:p>
        </w:tc>
        <w:tc>
          <w:tcPr>
            <w:tcW w:w="2126" w:type="dxa"/>
            <w:vMerge/>
            <w:tcBorders>
              <w:bottom w:val="single" w:sz="4" w:space="0" w:color="auto"/>
            </w:tcBorders>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4.1.7 % de districts ciblés mettant en œuvre la CPS (Chimio prévention du paludisme saisonnier) contre le paludisme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4.1.8 % de structures sanitaires assurant la surveillance des facteurs de risque de maladies non transmissibles.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4.1.9 Taux de couverture en VAR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81 % (2013)</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90% (désagrégation F/G)</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4.1.10 % de structures de santé mettant en œuvre le paquet minimum WASH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25%</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4.1.11 Proportion de la population exposée au ver de Guinée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4.2: Les populations, en particulier les plus vulnérables ont accès à des services de qualité  de prévention et de prise en charge du VIH et du Sida.</w:t>
            </w:r>
          </w:p>
        </w:tc>
        <w:tc>
          <w:tcPr>
            <w:tcW w:w="3402"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4.2.1 % de jeunes âgés de 15 à 24 ans connaissant les moyens de prévention de la transmission sexuelle du VIH et qui rejettent les principales idées fausses concernant la transmission du virus.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Homme 33%</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Homme 40%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Femme 23.7%</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Femme 33%</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4.2.3 Taux de couverture en PTME (% de femmes enceintes séropositives attendues et leurs enfants qui reçoivent les ARV pour réduire la transmission mère enfant du VIH).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28,9% (2014)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90%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4.3 Les mères et les enfants, particulièrement les plus vulnérables ou affectées par les crises alimentaire et nutritionnelle, bénéficient d’un paquet complet d’interventions nutritionnelles au niveau des communautés et des services</w:t>
            </w: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4.3.1 % d’enfants souffrant de la malnutrition pris en charge dans les centres nutritionnels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57% 2013</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80%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4.3.2 prévalence de l’insuffisance pondérale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4.3.3 Prévalence de la malnutrition aiguë globale chez les enfants de 6-59 mois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12.7% EDSM V</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8%</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4.3.4 Proportion de femme ayant un IMC &lt;18,5]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5,30%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4,10%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Produit 4.4 Les enfants d’âge préscolaires et scolaires et les jeunes, </w:t>
            </w:r>
            <w:r w:rsidRPr="007C76E1">
              <w:rPr>
                <w:rFonts w:ascii="Times New Roman" w:hAnsi="Times New Roman"/>
                <w:bCs/>
                <w:sz w:val="20"/>
                <w:szCs w:val="20"/>
              </w:rPr>
              <w:lastRenderedPageBreak/>
              <w:t xml:space="preserve">particulièrement les plus vulnérables ont accès à une éducation de base de qualité  </w:t>
            </w: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lastRenderedPageBreak/>
              <w:t xml:space="preserve">Indicateur 4.4.1 Nombre de garçons et de filles non scolarisés et déscolarisés bénéficiant d’opportunités </w:t>
            </w:r>
            <w:r w:rsidRPr="007C76E1">
              <w:rPr>
                <w:rFonts w:ascii="Times New Roman" w:hAnsi="Times New Roman"/>
                <w:bCs/>
                <w:sz w:val="20"/>
                <w:szCs w:val="20"/>
              </w:rPr>
              <w:lastRenderedPageBreak/>
              <w:t>d’intégration dans l’enseignement formel ou d’opportunités d’alphabétisation/formation professionnelle.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lastRenderedPageBreak/>
              <w:t>1 200,000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600 000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4.4.2 Taux de transition primaire secondaire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77% (MICS Mali 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ND</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4.4.3 Nombre/% d’écoles appliquant les normes et les standards d’un enseignement de qualité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7% = 900 écoles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20% =  2,500 écoles</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4.4.4 Pourcentage de garçons et de filles affectés par des situations d’urgence bénéficiant d’un accès continu à une éducation de qualité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G/F : 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G/F : 100%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Total : 80%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4.5 Les groupes vulnérables (jeunes filles, garçons et femmes) bénéficient de protection et de prise en charge adéquate contre les violences, abus et exploitation</w:t>
            </w: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4.5.1 Nombre de victimes de viols déclarées prises en charge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626</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Non déterminé</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4.5.2 Taux d’enregistrement des naissances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81% (MICS 2010)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86%</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4.5.3 Proportion des filles  mariées avant 15 /18 ans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Avant 15 ans : 20%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Avant 15 ans : 18%</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Avant 18ans : 50%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Avant 18ans : 48%</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4.5.4 Taux de prévalence des Mutilations Génitales Féminines chez les tranches d’âge (0-14ans ; et 15-49ans)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15-49 ans : 91%</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15-49 ans : 86%</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0-14ans : 69%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0-14 ans : 64%</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4.5.5 Nombre de survivant(e)s  de VBG prises en charge médicale, psychosociale, légale (désagrégation par type d’appui)</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3 542</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12 000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Médicale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AD</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Psychosociale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AD</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Aide légale : 31</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Aide légale : AD</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Moyens de subsistance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AD</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Hébergement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AD</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Sureté et Sécurité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AD</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4.5.6 Nombre de législations spécifique adoptées sur les VBG</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4.6: Les groupes vulnérables bénéficient de services de protection sociale adéquate</w:t>
            </w: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4.6.1 : Existence d’un cadre politique et juridique de protection sociale réformé (Non /Oui)</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Cadre politique et juridique non réformé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Disponibilité d’un cadre politique et juridique réformé</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4.6.2 Pourcentage de la population couverte par les mutuelles de santé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4% 2012</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3402"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4.6.3 Nombre de ménages vulnérables bénéficiant d’un transfert </w:t>
            </w:r>
            <w:r w:rsidRPr="007C76E1">
              <w:rPr>
                <w:rFonts w:ascii="Times New Roman" w:hAnsi="Times New Roman"/>
                <w:bCs/>
                <w:sz w:val="20"/>
                <w:szCs w:val="20"/>
              </w:rPr>
              <w:lastRenderedPageBreak/>
              <w:t>monétaire</w:t>
            </w: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lastRenderedPageBreak/>
              <w:t>4761</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122 000</w:t>
            </w:r>
          </w:p>
        </w:tc>
        <w:tc>
          <w:tcPr>
            <w:tcW w:w="2126" w:type="dxa"/>
            <w:vMerge/>
          </w:tcPr>
          <w:p w:rsidR="007C76E1" w:rsidRPr="007C76E1" w:rsidRDefault="007C76E1" w:rsidP="007C76E1">
            <w:pPr>
              <w:spacing w:after="0" w:line="240" w:lineRule="auto"/>
              <w:rPr>
                <w:rFonts w:ascii="Times New Roman" w:hAnsi="Times New Roman"/>
                <w:bCs/>
                <w:sz w:val="20"/>
                <w:szCs w:val="20"/>
              </w:rPr>
            </w:pPr>
          </w:p>
        </w:tc>
      </w:tr>
    </w:tbl>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Tableau 12 : Qualité de la table Chaîne de produits de l’Effet 5</w:t>
      </w:r>
      <w:r w:rsidRPr="007C76E1">
        <w:rPr>
          <w:rFonts w:ascii="Times New Roman" w:hAnsi="Times New Roman"/>
          <w:bCs/>
          <w:sz w:val="20"/>
          <w:szCs w:val="20"/>
        </w:rPr>
        <w:tab/>
      </w:r>
    </w:p>
    <w:tbl>
      <w:tblPr>
        <w:tblpPr w:leftFromText="141" w:rightFromText="141" w:vertAnchor="text" w:horzAnchor="margin" w:tblpXSpec="center"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1417"/>
        <w:gridCol w:w="993"/>
        <w:gridCol w:w="2409"/>
      </w:tblGrid>
      <w:tr w:rsidR="007C76E1" w:rsidRPr="007C76E1" w:rsidTr="007C76E1">
        <w:trPr>
          <w:trHeight w:val="88"/>
        </w:trPr>
        <w:tc>
          <w:tcPr>
            <w:tcW w:w="7905" w:type="dxa"/>
            <w:gridSpan w:val="4"/>
            <w:shd w:val="clear" w:color="auto" w:fill="F2F2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Programmation</w:t>
            </w:r>
          </w:p>
        </w:tc>
        <w:tc>
          <w:tcPr>
            <w:tcW w:w="2409" w:type="dxa"/>
            <w:vMerge w:val="restart"/>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Observations techniques sur la qualité des outils</w:t>
            </w: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Produits</w:t>
            </w:r>
          </w:p>
        </w:tc>
        <w:tc>
          <w:tcPr>
            <w:tcW w:w="2977" w:type="dxa"/>
            <w:vMerge w:val="restart"/>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
                <w:bCs/>
                <w:sz w:val="20"/>
                <w:szCs w:val="20"/>
              </w:rPr>
              <w:t>Indicateurs</w:t>
            </w:r>
          </w:p>
        </w:tc>
        <w:tc>
          <w:tcPr>
            <w:tcW w:w="2410" w:type="dxa"/>
            <w:gridSpan w:val="2"/>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Repères programmatiques</w:t>
            </w:r>
          </w:p>
        </w:tc>
        <w:tc>
          <w:tcPr>
            <w:tcW w:w="2409" w:type="dxa"/>
            <w:vMerge/>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vMerge/>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p>
        </w:tc>
        <w:tc>
          <w:tcPr>
            <w:tcW w:w="1417" w:type="dxa"/>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Références</w:t>
            </w:r>
          </w:p>
        </w:tc>
        <w:tc>
          <w:tcPr>
            <w:tcW w:w="993" w:type="dxa"/>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Cibles</w:t>
            </w:r>
          </w:p>
        </w:tc>
        <w:tc>
          <w:tcPr>
            <w:tcW w:w="2409" w:type="dxa"/>
            <w:vMerge/>
            <w:shd w:val="clear" w:color="auto" w:fill="F2F2F2" w:themeFill="background1" w:themeFillShade="F2"/>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5.1 : Les populations défavorisées et les exploitations familiales bénéficient de compétences techniques, de moyens et d’activités génératrices de revenus pour améliorer la sécurité alimentaire et nutritionnelle.</w:t>
            </w: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5.1.1 Nombre de femmes et d’enfants ayant bénéficié d’assistance alimentaire par rapport à la population totale affectée par l’insécurité alimentaire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1,23 millions (2013)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600 000  </w:t>
            </w:r>
          </w:p>
        </w:tc>
        <w:tc>
          <w:tcPr>
            <w:tcW w:w="2409" w:type="dxa"/>
            <w:vMerge w:val="restart"/>
            <w:vAlign w:val="center"/>
          </w:tcPr>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2  sur 5 produits formulés de façon inadéquate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0 produit sur 5 sensibles au genre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Indicateurs pléthoriques avec une moyenne de 4,3 par produit (au dessus de la norme de 3)</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Indicateurs quantifiables dans l’ensemble et Smart sauf 5</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24 indicateurs sur 26 ont une situation de référence et une cible : 1 indicateur n’a ni référence ni cible ; et 1 indicateur a une référence et une cible partiellement déterminée</w:t>
            </w:r>
          </w:p>
          <w:p w:rsidR="007C76E1" w:rsidRPr="007C76E1" w:rsidRDefault="007C76E1" w:rsidP="007C76E1">
            <w:pPr>
              <w:numPr>
                <w:ilvl w:val="0"/>
                <w:numId w:val="22"/>
              </w:numPr>
              <w:spacing w:after="0" w:line="240" w:lineRule="auto"/>
              <w:rPr>
                <w:rFonts w:ascii="Times New Roman" w:hAnsi="Times New Roman"/>
                <w:bCs/>
                <w:sz w:val="20"/>
                <w:szCs w:val="20"/>
              </w:rPr>
            </w:pPr>
            <w:r w:rsidRPr="007C76E1">
              <w:rPr>
                <w:rFonts w:ascii="Times New Roman" w:hAnsi="Times New Roman"/>
                <w:bCs/>
                <w:sz w:val="20"/>
                <w:szCs w:val="20"/>
              </w:rPr>
              <w:t xml:space="preserve">3 Indicateurs sur 26 sont sensibles au genre </w:t>
            </w:r>
          </w:p>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5.1.2 Nombre de bénéficiaires de projets d’AGR opérationnalisés dans les zones affectées par l’insécurité alimentaire et nutritionnelle</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5 331 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10 000  </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5.2 : Les structures étatiques, le secteur privé, la diaspora et la société civile disposent de compétences techniques et de moyens pour améliorer les capacités productives et commerciales pour impulser une croissance verte et inclusive.</w:t>
            </w: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5.2.1 Une instance nationale (CSSP, CPI) de pilotage du dialogue public -privé opérationnalisée</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5.2.2 Nombre de réformes de l’environnement des affaires appuyées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5.2.3 La stratégie de croissance accélérée opérationnalisée</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5.2.4 Nombre de structures publiques-privés ayant développé des plans en vue d’une croissance verte et inclusive</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5.2.5 Nombre de chaînes de valeur dans l’agroalimentaire développées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4</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 déterminer</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5.2.6 Volume d’exportations des produits non traditionnels (y inclus mangue, karité)</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24,697 T/mangues (2013)</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35000 T mangues</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5.3 : La mise en œuvre des politiques nationales de création d’emplois et d’entreprenariat féminin favorise une meilleure insertion socio-économique des jeunes et des femmes</w:t>
            </w: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5.3.1 Nombre d’emplois générés pour les jeunes et les femmes dans les zones affectées par la crise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500</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5.3.2 Nombre de femmes et de jeunes ayant bénéficié de l’appui financier des Structures de financements décentralisés (SFD)</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 déterminer</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A déterminer</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88"/>
        </w:trPr>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Produit 5.4 : Les populations vulnérables bénéficient d’un meilleur cadre de vie à travers un accès durable à l’eau et un </w:t>
            </w:r>
            <w:r w:rsidRPr="007C76E1">
              <w:rPr>
                <w:rFonts w:ascii="Times New Roman" w:hAnsi="Times New Roman"/>
                <w:bCs/>
                <w:sz w:val="20"/>
                <w:szCs w:val="20"/>
              </w:rPr>
              <w:lastRenderedPageBreak/>
              <w:t>assainissement adéquat</w:t>
            </w:r>
          </w:p>
        </w:tc>
        <w:tc>
          <w:tcPr>
            <w:tcW w:w="2977"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lastRenderedPageBreak/>
              <w:t xml:space="preserve">Indicateur 5.4.1 Pourcentage de la population ayant accès à une source d’eau améliorée </w:t>
            </w:r>
          </w:p>
        </w:tc>
        <w:tc>
          <w:tcPr>
            <w:tcW w:w="1417"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67%</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82% urbain/</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rPr>
          <w:trHeight w:val="53"/>
        </w:trPr>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417"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rural à déterminer</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5.4.2 Pourcentage de la population ayant accès à des infrastructures sanitaires améliorées</w:t>
            </w:r>
          </w:p>
        </w:tc>
        <w:tc>
          <w:tcPr>
            <w:tcW w:w="1417"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22%</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40% urbain</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417"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rural à déterminer</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5.4.3 Pourcentage de la population ayant recours à la défécation à l’air libre</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13% (2013)</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5.4.4  % de collecte et de traitement des déchets solides pour Bamako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45% (2006)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50%</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5.4.5 % de ménages à Bamako  disposant d’un contenant pour les déchets solides</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12%  (2006)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20%</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5.4.6  % de ménages disposant d’un contenant pour les déchets solides dans les régions de Gao, Tombouctou et Kidal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4%</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5.5 : La résilience des populations face aux changements climatiques est renforcée par la mise en œuvre des politiques de promotion de l’utilisation accrue des énergies nouvelles et renouvelables, l’efficacité énergétique par des mesures d’adaptation aux changements climatiques et de réduction des risques de catastrophes</w:t>
            </w: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5.5.1 % des énergies renouvelables utilisées dans la consommation nationale d’énergie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5% (2009)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5.5.2 Nombre de villages bénéficiaires de technologies d’énergie solaires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100 (2011)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200</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5.5.3 % des producteurs agricoles utilisant des variétés adaptées aux changements climatiques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30% (2014),</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35%</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 xml:space="preserve">Indicateur 5.5.4 % producteurs agricoles utilisant des techniques de maîtrise et de gestion d’eau et/ou des techniques de gestion durable des terres.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15%</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20%</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5.5.5 La plateforme de gestion des catastrophes opérationnalisée</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5.5.6 Nombre de politiques et plans sectoriels ayant intégré la Réduction des Risques de Catastrophes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5.5.7 Nombre de comités communaux et locaux de RRC mis en place et opérationnels</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15</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val="restart"/>
            <w:shd w:val="clear" w:color="auto" w:fill="F2F2F2"/>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 5.6 : Les populations et les autres acteurs affectés par la désertification et la déforestation bénéficient de capacités accrues pour gérer de manière durable les ressources naturelles et protéger la biodiversité et les écosystèmes</w:t>
            </w: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5.6.1 Superficie des aires protégées </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100000 ha en 2010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131220 ha</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5.6.2 Bilan des émissions/absorptions de gaz à effet de serre dans le secteur du changement d’affectation des terres et de la foresterie (Giga grammes de CO2)</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-42 318</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-65 646</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r w:rsidR="007C76E1" w:rsidRPr="007C76E1" w:rsidTr="007C76E1">
        <w:tc>
          <w:tcPr>
            <w:tcW w:w="2518" w:type="dxa"/>
            <w:vMerge/>
            <w:shd w:val="clear" w:color="auto" w:fill="F2F2F2"/>
            <w:vAlign w:val="center"/>
          </w:tcPr>
          <w:p w:rsidR="007C76E1" w:rsidRPr="007C76E1" w:rsidRDefault="007C76E1" w:rsidP="007C76E1">
            <w:pPr>
              <w:spacing w:after="0" w:line="240" w:lineRule="auto"/>
              <w:rPr>
                <w:rFonts w:ascii="Times New Roman" w:hAnsi="Times New Roman"/>
                <w:bCs/>
                <w:sz w:val="20"/>
                <w:szCs w:val="20"/>
              </w:rPr>
            </w:pPr>
          </w:p>
        </w:tc>
        <w:tc>
          <w:tcPr>
            <w:tcW w:w="297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Indicateur 5.6.3 Nombre de projets mis en œuvre à travers le Fonds Climat Mali</w:t>
            </w:r>
          </w:p>
        </w:tc>
        <w:tc>
          <w:tcPr>
            <w:tcW w:w="1417"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w:t>
            </w:r>
          </w:p>
        </w:tc>
        <w:tc>
          <w:tcPr>
            <w:tcW w:w="993"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25</w:t>
            </w:r>
          </w:p>
        </w:tc>
        <w:tc>
          <w:tcPr>
            <w:tcW w:w="2409" w:type="dxa"/>
            <w:vMerge/>
            <w:vAlign w:val="center"/>
          </w:tcPr>
          <w:p w:rsidR="007C76E1" w:rsidRPr="007C76E1" w:rsidRDefault="007C76E1" w:rsidP="007C76E1">
            <w:pPr>
              <w:spacing w:after="0" w:line="240" w:lineRule="auto"/>
              <w:rPr>
                <w:rFonts w:ascii="Times New Roman" w:hAnsi="Times New Roman"/>
                <w:bCs/>
                <w:sz w:val="20"/>
                <w:szCs w:val="20"/>
              </w:rPr>
            </w:pPr>
          </w:p>
        </w:tc>
      </w:tr>
    </w:tbl>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EFFICACITE</w:t>
      </w: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bookmarkStart w:id="19" w:name="_Toc502863796"/>
      <w:r w:rsidRPr="007C76E1">
        <w:rPr>
          <w:rFonts w:ascii="Times New Roman" w:hAnsi="Times New Roman"/>
          <w:bCs/>
          <w:sz w:val="20"/>
          <w:szCs w:val="20"/>
        </w:rPr>
        <w:lastRenderedPageBreak/>
        <w:t>Tableau 13 : Performances-Pays en rapport avec l’Effet 1</w:t>
      </w:r>
      <w:bookmarkEnd w:id="19"/>
    </w:p>
    <w:tbl>
      <w:tblPr>
        <w:tblpPr w:leftFromText="141" w:rightFromText="141" w:vertAnchor="text" w:horzAnchor="margin" w:tblpXSpec="center" w:tblpY="401"/>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2371"/>
        <w:gridCol w:w="1149"/>
        <w:gridCol w:w="1132"/>
        <w:gridCol w:w="1274"/>
        <w:gridCol w:w="1133"/>
        <w:gridCol w:w="991"/>
        <w:gridCol w:w="424"/>
        <w:gridCol w:w="425"/>
        <w:gridCol w:w="526"/>
      </w:tblGrid>
      <w:tr w:rsidR="007C76E1" w:rsidRPr="007C76E1" w:rsidTr="007C76E1">
        <w:trPr>
          <w:trHeight w:val="88"/>
        </w:trPr>
        <w:tc>
          <w:tcPr>
            <w:tcW w:w="1560"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bookmarkStart w:id="20" w:name="_Toc500967713"/>
            <w:bookmarkStart w:id="21" w:name="_Toc500967854"/>
            <w:bookmarkStart w:id="22" w:name="_Toc500970089"/>
            <w:bookmarkStart w:id="23" w:name="_Toc500974534"/>
            <w:r w:rsidRPr="007C76E1">
              <w:rPr>
                <w:rFonts w:ascii="Times New Roman" w:hAnsi="Times New Roman"/>
                <w:sz w:val="20"/>
                <w:szCs w:val="20"/>
              </w:rPr>
              <w:t>Effet</w:t>
            </w:r>
          </w:p>
        </w:tc>
        <w:tc>
          <w:tcPr>
            <w:tcW w:w="464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4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377" w:type="dxa"/>
            <w:gridSpan w:val="3"/>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trHeight w:val="88"/>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64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4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37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trHeight w:val="88"/>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376"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2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560"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La paix et la stabilisation sont assurées à travers un dialogue politique inclusif, une réforme des institutions concernées et la promotion d’une coexistence pacifique et le respect des droits humains</w:t>
            </w:r>
          </w:p>
        </w:tc>
        <w:tc>
          <w:tcPr>
            <w:tcW w:w="237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d’incidents de sécurité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722 (2014)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1098</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904</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-904</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2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53"/>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37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de victimes d'incidents explosifs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358</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493</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-493</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2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333"/>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376"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de réfugiés/déplacés internes (désagrégés  par refugié/PDI et par région)</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Réfugiés 140,033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Réfugiés 140,129  </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135 985</w:t>
            </w: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-2,8%</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2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333"/>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37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PDI 126,249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PDI 49,883 (fin janvier) </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36 690</w:t>
            </w: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-71%</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2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390"/>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376"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de violations des droits de l'homme  et du droit international humanitaire enregistrées et liés à la situation sécuritaire au Mali (distinguer hommes, femmes, filles, garçons)</w:t>
            </w:r>
          </w:p>
        </w:tc>
        <w:tc>
          <w:tcPr>
            <w:tcW w:w="113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NA</w:t>
            </w:r>
          </w:p>
        </w:tc>
        <w:tc>
          <w:tcPr>
            <w:tcW w:w="113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225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912</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-912</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2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340"/>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37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Dont au moins 57 cas concernant des enfants     </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Parmi 912 victimes 102 ont été des enfants (11%) et 27 femmes (3%)</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27" w:type="dxa"/>
            <w:shd w:val="clear" w:color="auto" w:fill="FF0000"/>
          </w:tcPr>
          <w:p w:rsidR="007C76E1" w:rsidRPr="007C76E1" w:rsidRDefault="007C76E1" w:rsidP="007C76E1">
            <w:pPr>
              <w:spacing w:after="0" w:line="240" w:lineRule="auto"/>
              <w:rPr>
                <w:rFonts w:ascii="Times New Roman" w:hAnsi="Times New Roman"/>
                <w:sz w:val="20"/>
                <w:szCs w:val="20"/>
              </w:rPr>
            </w:pPr>
          </w:p>
        </w:tc>
      </w:tr>
      <w:bookmarkEnd w:id="20"/>
      <w:bookmarkEnd w:id="21"/>
      <w:bookmarkEnd w:id="22"/>
      <w:bookmarkEnd w:id="23"/>
    </w:tbl>
    <w:p w:rsidR="007C76E1" w:rsidRPr="007C76E1" w:rsidRDefault="007C76E1" w:rsidP="007C76E1">
      <w:pPr>
        <w:spacing w:after="0" w:line="240" w:lineRule="auto"/>
        <w:rPr>
          <w:rFonts w:ascii="Times New Roman" w:hAnsi="Times New Roman"/>
          <w:bCs/>
          <w:i/>
          <w:sz w:val="20"/>
          <w:szCs w:val="20"/>
          <w:u w:val="single"/>
        </w:rPr>
      </w:pPr>
    </w:p>
    <w:p w:rsidR="007C76E1" w:rsidRPr="007C76E1" w:rsidRDefault="007C76E1" w:rsidP="007C76E1">
      <w:pPr>
        <w:spacing w:after="0" w:line="240" w:lineRule="auto"/>
        <w:rPr>
          <w:rFonts w:ascii="Times New Roman" w:hAnsi="Times New Roman"/>
          <w:bCs/>
          <w:i/>
          <w:sz w:val="20"/>
          <w:szCs w:val="20"/>
        </w:rPr>
      </w:pPr>
      <w:bookmarkStart w:id="24" w:name="_Toc502863797"/>
      <w:bookmarkStart w:id="25" w:name="_Toc502863884"/>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24"/>
      <w:bookmarkEnd w:id="25"/>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bookmarkStart w:id="26" w:name="_Toc502863798"/>
      <w:r w:rsidRPr="007C76E1">
        <w:rPr>
          <w:rFonts w:ascii="Times New Roman" w:hAnsi="Times New Roman"/>
          <w:bCs/>
          <w:sz w:val="20"/>
          <w:szCs w:val="20"/>
        </w:rPr>
        <w:t>Tableau 14 : Contributions du Programme à l’Effet avec l’Effet 1</w:t>
      </w:r>
      <w:bookmarkEnd w:id="26"/>
    </w:p>
    <w:tbl>
      <w:tblPr>
        <w:tblpPr w:leftFromText="141" w:rightFromText="141" w:vertAnchor="text" w:horzAnchor="margin" w:tblpXSpec="center" w:tblpY="40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409"/>
        <w:gridCol w:w="1133"/>
        <w:gridCol w:w="1133"/>
        <w:gridCol w:w="1278"/>
        <w:gridCol w:w="1136"/>
        <w:gridCol w:w="993"/>
        <w:gridCol w:w="425"/>
        <w:gridCol w:w="425"/>
        <w:gridCol w:w="554"/>
        <w:gridCol w:w="13"/>
      </w:tblGrid>
      <w:tr w:rsidR="007C76E1" w:rsidRPr="007C76E1" w:rsidTr="007C76E1">
        <w:trPr>
          <w:gridAfter w:val="1"/>
          <w:wAfter w:w="13" w:type="dxa"/>
          <w:trHeight w:val="88"/>
          <w:tblHeader/>
        </w:trPr>
        <w:tc>
          <w:tcPr>
            <w:tcW w:w="1524"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Produits</w:t>
            </w:r>
          </w:p>
        </w:tc>
        <w:tc>
          <w:tcPr>
            <w:tcW w:w="4675"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40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40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gridAfter w:val="1"/>
          <w:wAfter w:w="13" w:type="dxa"/>
          <w:trHeight w:val="88"/>
          <w:tblHeader/>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4675"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40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40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gridAfter w:val="1"/>
          <w:wAfter w:w="13" w:type="dxa"/>
          <w:trHeight w:val="88"/>
          <w:tblHeader/>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5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52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1.1.  Dialogue politique / médiation: Les mécanismes de dialogue politique et de médiation inclusifs sont améliorés à travers le renforcement des capacités techniques des institutions gouvernementales et des autres acteurs nationaux y compris les groupes armés</w:t>
            </w: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1.1.1</w:t>
            </w:r>
            <w:r w:rsidRPr="007C76E1">
              <w:rPr>
                <w:rFonts w:ascii="Times New Roman" w:hAnsi="Times New Roman"/>
                <w:sz w:val="20"/>
                <w:szCs w:val="20"/>
              </w:rPr>
              <w:t xml:space="preserve"> Nombre d’institutions nationales publiques ou parapubliques ayant reçu un renforcement pour la gestion des conflits et la promotion de la paix et la réconciliation </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4 membres de forces de sécurité en techniques pédagogiques pour le renforcement de capacités en matière de liberté d’expression et sécurité des journalistes ;  </w:t>
            </w:r>
            <w:r w:rsidRPr="007C76E1">
              <w:rPr>
                <w:rFonts w:ascii="Times New Roman" w:hAnsi="Times New Roman"/>
                <w:sz w:val="20"/>
                <w:szCs w:val="20"/>
              </w:rPr>
              <w:br/>
              <w:t xml:space="preserve">23 membres de forces de sécurité ; </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 enseignant</w:t>
            </w:r>
            <w:r w:rsidRPr="007C76E1">
              <w:rPr>
                <w:rFonts w:ascii="Times New Roman" w:hAnsi="Times New Roman"/>
                <w:sz w:val="20"/>
                <w:szCs w:val="20"/>
              </w:rPr>
              <w:lastRenderedPageBreak/>
              <w:t>s de l’Ecole de Maintien de la Paix de Bamako ; 10 journalistes en matière de liberté d’expression et sécurité des journalistes</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3+4+23+2+10= 42</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420%</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53"/>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1.1.2</w:t>
            </w:r>
            <w:r w:rsidRPr="007C76E1">
              <w:rPr>
                <w:rFonts w:ascii="Times New Roman" w:hAnsi="Times New Roman"/>
                <w:sz w:val="20"/>
                <w:szCs w:val="20"/>
              </w:rPr>
              <w:t xml:space="preserve"> Nombre de réunions du CSA et de ses sous-comités en lien avec les accords de Paix.</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48 (12 par an)</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17</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35%</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C000"/>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913"/>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1.1.3</w:t>
            </w:r>
            <w:r w:rsidRPr="007C76E1">
              <w:rPr>
                <w:rFonts w:ascii="Times New Roman" w:hAnsi="Times New Roman"/>
                <w:sz w:val="20"/>
                <w:szCs w:val="20"/>
              </w:rPr>
              <w:t xml:space="preserve"> Pourcentage de dialogue inclusif politique et communautaire avec participation des organisations de la société civile. </w:t>
            </w:r>
          </w:p>
        </w:tc>
        <w:tc>
          <w:tcPr>
            <w:tcW w:w="113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(suggestion TBC)</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Mopti : 2 dialogues inclusifs ont eu lieu à Koro et à Mopti incluant tous les cercles de la région de Mopti.</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Mopti : 4 dialogues inclusifs ont eu lieu à Koro et à Mopti incluant tous les cercles de la région de Mopti.</w:t>
            </w: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493"/>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vMerge/>
            <w:shd w:val="clear" w:color="auto" w:fill="auto"/>
            <w:vAlign w:val="center"/>
          </w:tcPr>
          <w:p w:rsidR="007C76E1" w:rsidRPr="007C76E1" w:rsidRDefault="007C76E1" w:rsidP="007C76E1">
            <w:pPr>
              <w:spacing w:after="0" w:line="240" w:lineRule="auto"/>
              <w:rPr>
                <w:rFonts w:ascii="Times New Roman" w:hAnsi="Times New Roman"/>
                <w:b/>
                <w:bCs/>
                <w:sz w:val="20"/>
                <w:szCs w:val="20"/>
              </w:rPr>
            </w:pPr>
          </w:p>
        </w:tc>
        <w:tc>
          <w:tcPr>
            <w:tcW w:w="113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Gao : 21 dialogues et forum intercommunautaires ont eu lieu dans la région de Gao en 2015.</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Gao 15 dialogues et forum intercommunautaires ont eu lieu dans la région de Gao en 2015.</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 ?)</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951"/>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vMerge/>
            <w:shd w:val="clear" w:color="auto" w:fill="auto"/>
            <w:vAlign w:val="center"/>
          </w:tcPr>
          <w:p w:rsidR="007C76E1" w:rsidRPr="007C76E1" w:rsidRDefault="007C76E1" w:rsidP="007C76E1">
            <w:pPr>
              <w:spacing w:after="0" w:line="240" w:lineRule="auto"/>
              <w:rPr>
                <w:rFonts w:ascii="Times New Roman" w:hAnsi="Times New Roman"/>
                <w:b/>
                <w:bCs/>
                <w:sz w:val="20"/>
                <w:szCs w:val="20"/>
              </w:rPr>
            </w:pPr>
          </w:p>
        </w:tc>
        <w:tc>
          <w:tcPr>
            <w:tcW w:w="113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Ménaka : 1 dialogues et forum intercommunautaires ont eu lieu dans la région de Ménaka en 2015.</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Ménaka 7 de dialogues et forum intercommunautaires ont eu lieu dans la région de Ménaka en 2016 sur financement de la division des Affaires civiles.</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 ?)</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4251"/>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vMerge/>
            <w:shd w:val="clear" w:color="auto" w:fill="auto"/>
            <w:vAlign w:val="center"/>
          </w:tcPr>
          <w:p w:rsidR="007C76E1" w:rsidRPr="007C76E1" w:rsidRDefault="007C76E1" w:rsidP="007C76E1">
            <w:pPr>
              <w:spacing w:after="0" w:line="240" w:lineRule="auto"/>
              <w:rPr>
                <w:rFonts w:ascii="Times New Roman" w:hAnsi="Times New Roman"/>
                <w:b/>
                <w:bCs/>
                <w:sz w:val="20"/>
                <w:szCs w:val="20"/>
              </w:rPr>
            </w:pPr>
          </w:p>
        </w:tc>
        <w:tc>
          <w:tcPr>
            <w:tcW w:w="113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Kidal : 1 rencontre intercommunautaire organisée par la MINUSMA impliquant les chefs des fractions de la Région sur le retour de la paix et la cohésion sociale  a été organisée au mois de Mai 2016. En 2015 il y a eu plusieurs rencontres intercommunautaires (surtout à partir de Mai 2015) initiées par le mouvement sans aucun rôle de la MINUSMA.</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Région de Kidal  3 rencontres intercommunautaires organisées par la MINUSMA impliquant les chefs des factions de la Région sur le retour de la paix et la cohésion sociale  en Mai 2016. </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Plusieurs rencontres intercommunautaires organisées à Aguelhok et Tessalit</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 ?)</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64"/>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1.1.4</w:t>
            </w:r>
            <w:r w:rsidRPr="007C76E1">
              <w:rPr>
                <w:rFonts w:ascii="Times New Roman" w:hAnsi="Times New Roman"/>
                <w:sz w:val="20"/>
                <w:szCs w:val="20"/>
              </w:rPr>
              <w:t xml:space="preserve"> Pourcentage d’institutions et mécanismes établis pour la mise en œuvre de l’accord de paix où les femmes sont représentées au minimum à hauteur de 20%.   </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0,3%</w:t>
            </w: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w:t>
            </w:r>
          </w:p>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032"/>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vMerge w:val="restart"/>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 1.1.5</w:t>
            </w:r>
            <w:r w:rsidRPr="007C76E1">
              <w:rPr>
                <w:rFonts w:ascii="Times New Roman" w:hAnsi="Times New Roman"/>
                <w:sz w:val="20"/>
                <w:szCs w:val="20"/>
              </w:rPr>
              <w:t xml:space="preserve"> Nombre de régions et de cercles où des séances de restitution (de l’accord de paix) ont été organisées</w:t>
            </w:r>
          </w:p>
        </w:tc>
        <w:tc>
          <w:tcPr>
            <w:tcW w:w="113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 régions</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49 cercles</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régions (Bamako, Mopti, Gao, Ménaka, Tombouctou)</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6 régions (Bamako, Mopti, Gao, Ménaka, Tombouctou et Kidal)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 : 100%</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408"/>
        </w:trPr>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vMerge/>
            <w:shd w:val="clear" w:color="auto" w:fill="auto"/>
            <w:vAlign w:val="center"/>
          </w:tcPr>
          <w:p w:rsidR="007C76E1" w:rsidRPr="007C76E1" w:rsidRDefault="007C76E1" w:rsidP="007C76E1">
            <w:pPr>
              <w:spacing w:after="0" w:line="240" w:lineRule="auto"/>
              <w:rPr>
                <w:rFonts w:ascii="Times New Roman" w:hAnsi="Times New Roman"/>
                <w:b/>
                <w:bCs/>
                <w:sz w:val="20"/>
                <w:szCs w:val="20"/>
              </w:rPr>
            </w:pPr>
          </w:p>
        </w:tc>
        <w:tc>
          <w:tcPr>
            <w:tcW w:w="113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17cercles</w:t>
            </w:r>
          </w:p>
          <w:p w:rsidR="007C76E1" w:rsidRPr="007C76E1" w:rsidRDefault="007C76E1" w:rsidP="007C76E1">
            <w:pPr>
              <w:spacing w:after="0" w:line="240" w:lineRule="auto"/>
              <w:rPr>
                <w:rFonts w:ascii="Times New Roman" w:hAnsi="Times New Roman"/>
                <w:sz w:val="20"/>
                <w:szCs w:val="20"/>
              </w:rPr>
            </w:pP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 cercles</w:t>
            </w: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C : 76%</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Produit 1.2. Secteur de la sécurité : Le secteur de la sécurité est renforcé par la mise en œuvre </w:t>
            </w:r>
            <w:r w:rsidRPr="007C76E1">
              <w:rPr>
                <w:rFonts w:ascii="Times New Roman" w:hAnsi="Times New Roman"/>
                <w:sz w:val="20"/>
                <w:szCs w:val="20"/>
              </w:rPr>
              <w:lastRenderedPageBreak/>
              <w:t>de la politique nationale de la réforme du secteur de la sécurité, y compris la lutte contre les crimes transnationaux</w:t>
            </w: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lastRenderedPageBreak/>
              <w:t>Indicateur 1.2.1</w:t>
            </w:r>
            <w:r w:rsidRPr="007C76E1">
              <w:rPr>
                <w:rFonts w:ascii="Times New Roman" w:hAnsi="Times New Roman"/>
                <w:sz w:val="20"/>
                <w:szCs w:val="20"/>
              </w:rPr>
              <w:t xml:space="preserve"> Taux d’exécution des actions inscrites dans le Plan National RSS  2015-2019</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1.2.2</w:t>
            </w:r>
            <w:r w:rsidRPr="007C76E1">
              <w:rPr>
                <w:rFonts w:ascii="Times New Roman" w:hAnsi="Times New Roman"/>
                <w:sz w:val="20"/>
                <w:szCs w:val="20"/>
              </w:rPr>
              <w:t xml:space="preserve"> Nombre d’inspections par an effectuées par les </w:t>
            </w:r>
            <w:r w:rsidRPr="007C76E1">
              <w:rPr>
                <w:rFonts w:ascii="Times New Roman" w:hAnsi="Times New Roman"/>
                <w:sz w:val="20"/>
                <w:szCs w:val="20"/>
              </w:rPr>
              <w:lastRenderedPageBreak/>
              <w:t>institutions de contrôle sur les forces de Défense et de Sécurité</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 (4 par an)</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400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2000%</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1.2.3</w:t>
            </w:r>
            <w:r w:rsidRPr="007C76E1">
              <w:rPr>
                <w:rFonts w:ascii="Times New Roman" w:hAnsi="Times New Roman"/>
                <w:sz w:val="20"/>
                <w:szCs w:val="20"/>
              </w:rPr>
              <w:t xml:space="preserve"> Proportion de plaintes contre les forces armées et de sécurité malienne qui sont traitées à terme par le système de justice formel </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1.2.4</w:t>
            </w:r>
            <w:r w:rsidRPr="007C76E1">
              <w:rPr>
                <w:rFonts w:ascii="Times New Roman" w:hAnsi="Times New Roman"/>
                <w:sz w:val="20"/>
                <w:szCs w:val="20"/>
              </w:rPr>
              <w:t xml:space="preserve"> Nombre des lois évaluées en vue de vérifier leur conformité avec les conventions internationales en matière de lutte contre la criminalité transnationale organisée et ses protocoles additifs, le trafic de drogue, le terrorisme et la corruption  </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 (Loi de programmation relative à la sécurité)</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FF00"/>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1.2.5</w:t>
            </w:r>
            <w:r w:rsidRPr="007C76E1">
              <w:rPr>
                <w:rFonts w:ascii="Times New Roman" w:hAnsi="Times New Roman"/>
                <w:sz w:val="20"/>
                <w:szCs w:val="20"/>
              </w:rPr>
              <w:t xml:space="preserve"> Nombre des structures spécialisées créées et formées en matière de police judiciaire pour faire face aux problèmes de la criminalité organisée transnationale </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(Office central des stupéfiants)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 (criminalité organisée, terrorisme, criminalité économique et financière)</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 structures (Pôle Judiciaire Spécialisé ; Brigade d’Investigation</w:t>
            </w:r>
          </w:p>
          <w:p w:rsidR="007C76E1" w:rsidRPr="007C76E1" w:rsidRDefault="007C76E1" w:rsidP="007C76E1">
            <w:pPr>
              <w:spacing w:after="0" w:line="240" w:lineRule="auto"/>
              <w:rPr>
                <w:rFonts w:ascii="Times New Roman" w:hAnsi="Times New Roman"/>
                <w:sz w:val="20"/>
                <w:szCs w:val="20"/>
              </w:rPr>
            </w:pP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 structures (BIJ, BS, SIJ, BIS-Pôle judicaire Spécialisé)</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1.2.6</w:t>
            </w:r>
            <w:r w:rsidRPr="007C76E1">
              <w:rPr>
                <w:rFonts w:ascii="Times New Roman" w:hAnsi="Times New Roman"/>
                <w:sz w:val="20"/>
                <w:szCs w:val="20"/>
              </w:rPr>
              <w:t xml:space="preserve"> Les mécanismes de coopération internationale, en matière de lutte contre la criminalité transnationale, renforcées et harmonisées avec l’implication  de tous les services de sécurité concernés à savoir la police, la gendarmerie nationale et la douane   </w:t>
            </w:r>
          </w:p>
        </w:tc>
        <w:tc>
          <w:tcPr>
            <w:tcW w:w="1133"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(police)</w:t>
            </w:r>
          </w:p>
        </w:tc>
        <w:tc>
          <w:tcPr>
            <w:tcW w:w="1133"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 (gendarmerie et douanes)</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1.2.7</w:t>
            </w:r>
            <w:r w:rsidRPr="007C76E1">
              <w:rPr>
                <w:rFonts w:ascii="Times New Roman" w:hAnsi="Times New Roman"/>
                <w:sz w:val="20"/>
                <w:szCs w:val="20"/>
              </w:rPr>
              <w:t xml:space="preserve"> Nombre des postes frontières aériens, terrestres et maritimes (port sec de Bamako) dont les capacités ont été renforcées sur le plan opérationnel et technique.</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 postes frontières</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Poste</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 Postes de police</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56%</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FF00"/>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1.2.8</w:t>
            </w:r>
            <w:r w:rsidRPr="007C76E1">
              <w:rPr>
                <w:rFonts w:ascii="Times New Roman" w:hAnsi="Times New Roman"/>
                <w:sz w:val="20"/>
                <w:szCs w:val="20"/>
              </w:rPr>
              <w:t xml:space="preserve"> Nombre de forces armées et de sécurité malienne formée en droit international des droits de l’homme et principes humanitaires </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4100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10000</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1 049 (dont 53 femmes)</w:t>
            </w:r>
          </w:p>
          <w:p w:rsidR="007C76E1" w:rsidRPr="007C76E1" w:rsidRDefault="007C76E1" w:rsidP="007C76E1">
            <w:pPr>
              <w:spacing w:after="0" w:line="240" w:lineRule="auto"/>
              <w:rPr>
                <w:rFonts w:ascii="Times New Roman" w:hAnsi="Times New Roman"/>
                <w:sz w:val="20"/>
                <w:szCs w:val="20"/>
              </w:rPr>
            </w:pP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914 (dont 81 femmes)</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1963</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Produit 1.3. DDR/Réinsertion : Les capacités </w:t>
            </w:r>
            <w:r w:rsidRPr="007C76E1">
              <w:rPr>
                <w:rFonts w:ascii="Times New Roman" w:hAnsi="Times New Roman"/>
                <w:sz w:val="20"/>
                <w:szCs w:val="20"/>
              </w:rPr>
              <w:lastRenderedPageBreak/>
              <w:t>techniques, logistiques et institutionnelles de la Commission nationale de DDR et des acteurs concernés sont renforcées pour la mise en œuvre d’une démobilisation et d’une réinsertion inclusive (ex-combattants, milices et groupes d’auto-défense, communautés et groupes vulnérables, notamment les enfants)</w:t>
            </w:r>
          </w:p>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lastRenderedPageBreak/>
              <w:t>Indicateur 1.3.1</w:t>
            </w:r>
            <w:r w:rsidRPr="007C76E1">
              <w:rPr>
                <w:rFonts w:ascii="Times New Roman" w:hAnsi="Times New Roman"/>
                <w:sz w:val="20"/>
                <w:szCs w:val="20"/>
              </w:rPr>
              <w:t xml:space="preserve"> Nombre d’ex-combattants cantonnés </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à préciser après les négociations </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590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+590 (/R)</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1.3.2</w:t>
            </w:r>
            <w:r w:rsidRPr="007C76E1">
              <w:rPr>
                <w:rFonts w:ascii="Times New Roman" w:hAnsi="Times New Roman"/>
                <w:sz w:val="20"/>
                <w:szCs w:val="20"/>
              </w:rPr>
              <w:t xml:space="preserve"> Nombre d’ex éléments des groupes armés, personnes associées (y compris femmes, hommes, enfants, handicapés, et membres des communautés) ayant été enregistrés et ayant bénéficié des projets de Réinsertion</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à préciser après les négociations </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750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750 (/R)</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1.3.3</w:t>
            </w:r>
            <w:r w:rsidRPr="007C76E1">
              <w:rPr>
                <w:rFonts w:ascii="Times New Roman" w:hAnsi="Times New Roman"/>
                <w:sz w:val="20"/>
                <w:szCs w:val="20"/>
              </w:rPr>
              <w:t xml:space="preserve"> Nombre de sites de cantonnement construits/réhabilités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à préciser après les négociations </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1.3.4</w:t>
            </w:r>
            <w:r w:rsidRPr="007C76E1">
              <w:rPr>
                <w:rFonts w:ascii="Times New Roman" w:hAnsi="Times New Roman"/>
                <w:sz w:val="20"/>
                <w:szCs w:val="20"/>
              </w:rPr>
              <w:t xml:space="preserve"> Nombre de femmes prises en compte dans les programmes spécifiques de réhabilitation</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à préciser après les négociations </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215</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1.3.5</w:t>
            </w:r>
            <w:r w:rsidRPr="007C76E1">
              <w:rPr>
                <w:rFonts w:ascii="Times New Roman" w:hAnsi="Times New Roman"/>
                <w:sz w:val="20"/>
                <w:szCs w:val="20"/>
              </w:rPr>
              <w:t xml:space="preserve"> % d’ex combattant étrangers et dépendants rapatriés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1.3.6</w:t>
            </w:r>
            <w:r w:rsidRPr="007C76E1">
              <w:rPr>
                <w:rFonts w:ascii="Times New Roman" w:hAnsi="Times New Roman"/>
                <w:sz w:val="20"/>
                <w:szCs w:val="20"/>
              </w:rPr>
              <w:t xml:space="preserve"> Nombre d’enfants associés aux groupes armés relâchés et réunis avec leurs familles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Aucun enfant n’est associé aux groupes armés</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1.4 : réduction des risques explosifs : Les risques explosifs sont réduits à travers une capacité nationale et communautaire renforcée.</w:t>
            </w:r>
          </w:p>
        </w:tc>
        <w:tc>
          <w:tcPr>
            <w:tcW w:w="2409"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1.4.1</w:t>
            </w:r>
            <w:r w:rsidRPr="007C76E1">
              <w:rPr>
                <w:rFonts w:ascii="Times New Roman" w:hAnsi="Times New Roman"/>
                <w:sz w:val="20"/>
                <w:szCs w:val="20"/>
              </w:rPr>
              <w:t xml:space="preserve"> Nombre d’équipes/d’effectifs des FDSM formés et équipés </w:t>
            </w:r>
          </w:p>
        </w:tc>
        <w:tc>
          <w:tcPr>
            <w:tcW w:w="1133"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 équipes de 6 membres</w:t>
            </w:r>
          </w:p>
        </w:tc>
        <w:tc>
          <w:tcPr>
            <w:tcW w:w="1133"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 équipes de 6 membres</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équipe de 6 membres</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équipes de  6 membres,  65 FSM formateurs formés sur la prévention des attaques et menaces suicides, 10 kits bombes d’exercices remis à gendarmerie, police, garde nationale et douane</w:t>
            </w: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92%</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1.4.2</w:t>
            </w:r>
            <w:r w:rsidRPr="007C76E1">
              <w:rPr>
                <w:rFonts w:ascii="Times New Roman" w:hAnsi="Times New Roman"/>
                <w:sz w:val="20"/>
                <w:szCs w:val="20"/>
              </w:rPr>
              <w:t xml:space="preserve"> Nombre interventions des équipes FDSDM sur terrain  </w:t>
            </w:r>
          </w:p>
        </w:tc>
        <w:tc>
          <w:tcPr>
            <w:tcW w:w="1133"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3"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1 000 (200 par an)</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29 interventions</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C0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9"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1.4.3</w:t>
            </w:r>
            <w:r w:rsidRPr="007C76E1">
              <w:rPr>
                <w:rFonts w:ascii="Times New Roman" w:hAnsi="Times New Roman"/>
                <w:sz w:val="20"/>
                <w:szCs w:val="20"/>
              </w:rPr>
              <w:t xml:space="preserve"> Nombre de personnes ayant reçu une éducation au risque de mines</w:t>
            </w:r>
          </w:p>
        </w:tc>
        <w:tc>
          <w:tcPr>
            <w:tcW w:w="1133"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228 959</w:t>
            </w:r>
          </w:p>
        </w:tc>
        <w:tc>
          <w:tcPr>
            <w:tcW w:w="1133"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600 000</w:t>
            </w:r>
          </w:p>
        </w:tc>
        <w:tc>
          <w:tcPr>
            <w:tcW w:w="127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401 454</w:t>
            </w:r>
          </w:p>
        </w:tc>
        <w:tc>
          <w:tcPr>
            <w:tcW w:w="113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265 464</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666.918</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111%</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Cs/>
          <w:i/>
          <w:sz w:val="20"/>
          <w:szCs w:val="20"/>
        </w:rPr>
      </w:pPr>
      <w:bookmarkStart w:id="27" w:name="_Toc502863799"/>
      <w:bookmarkStart w:id="28" w:name="_Toc502863886"/>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27"/>
      <w:bookmarkEnd w:id="28"/>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bookmarkStart w:id="29" w:name="_Toc502863801"/>
      <w:bookmarkStart w:id="30" w:name="_Toc500967716"/>
      <w:bookmarkStart w:id="31" w:name="_Toc500970092"/>
      <w:r w:rsidRPr="007C76E1">
        <w:rPr>
          <w:rFonts w:ascii="Times New Roman" w:hAnsi="Times New Roman"/>
          <w:bCs/>
          <w:sz w:val="20"/>
          <w:szCs w:val="20"/>
        </w:rPr>
        <w:t>Tableau 15 : Performances-Pays en rapport avec l’Effet 2</w:t>
      </w:r>
      <w:bookmarkEnd w:id="29"/>
    </w:p>
    <w:tbl>
      <w:tblPr>
        <w:tblpPr w:leftFromText="141" w:rightFromText="141" w:vertAnchor="text" w:horzAnchor="margin" w:tblpXSpec="center" w:tblpY="401"/>
        <w:tblW w:w="10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371"/>
        <w:gridCol w:w="1149"/>
        <w:gridCol w:w="1134"/>
        <w:gridCol w:w="1272"/>
        <w:gridCol w:w="1131"/>
        <w:gridCol w:w="991"/>
        <w:gridCol w:w="425"/>
        <w:gridCol w:w="425"/>
        <w:gridCol w:w="527"/>
      </w:tblGrid>
      <w:tr w:rsidR="007C76E1" w:rsidRPr="007C76E1" w:rsidTr="007C76E1">
        <w:trPr>
          <w:trHeight w:val="88"/>
          <w:tblHeader/>
        </w:trPr>
        <w:tc>
          <w:tcPr>
            <w:tcW w:w="1560"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bookmarkStart w:id="32" w:name="_Toc500967717"/>
            <w:bookmarkStart w:id="33" w:name="_Toc500970093"/>
            <w:bookmarkStart w:id="34" w:name="_Toc500974538"/>
            <w:bookmarkEnd w:id="30"/>
            <w:bookmarkEnd w:id="31"/>
            <w:r w:rsidRPr="007C76E1">
              <w:rPr>
                <w:rFonts w:ascii="Times New Roman" w:hAnsi="Times New Roman"/>
                <w:sz w:val="20"/>
                <w:szCs w:val="20"/>
              </w:rPr>
              <w:lastRenderedPageBreak/>
              <w:t>Effet</w:t>
            </w:r>
          </w:p>
        </w:tc>
        <w:tc>
          <w:tcPr>
            <w:tcW w:w="464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4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378"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trHeight w:val="88"/>
          <w:tblHeader/>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64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4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378"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trHeight w:val="88"/>
          <w:tblHeader/>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376"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2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560"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D’ici 2019, la cohésion sociale est facilitée par la justice transitionnelle, le dialogue communautaire inclusif, la culture et l’éducation pour la paix.</w:t>
            </w:r>
          </w:p>
        </w:tc>
        <w:tc>
          <w:tcPr>
            <w:tcW w:w="237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de conflits qui ont utilisé les mécanismes locaux de dialogue et de résolution de conflits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35%</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35%</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C000"/>
            <w:vAlign w:val="center"/>
          </w:tcPr>
          <w:p w:rsidR="007C76E1" w:rsidRPr="007C76E1" w:rsidRDefault="007C76E1" w:rsidP="007C76E1">
            <w:pPr>
              <w:spacing w:after="0" w:line="240" w:lineRule="auto"/>
              <w:rPr>
                <w:rFonts w:ascii="Times New Roman" w:hAnsi="Times New Roman"/>
                <w:sz w:val="20"/>
                <w:szCs w:val="20"/>
              </w:rPr>
            </w:pPr>
          </w:p>
        </w:tc>
        <w:tc>
          <w:tcPr>
            <w:tcW w:w="52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53"/>
        </w:trPr>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37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de bénéficiaires qui croient que leurs communautés sont mieux outillées à gérer le conflit</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45%</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45%</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C000"/>
            <w:vAlign w:val="center"/>
          </w:tcPr>
          <w:p w:rsidR="007C76E1" w:rsidRPr="007C76E1" w:rsidRDefault="007C76E1" w:rsidP="007C76E1">
            <w:pPr>
              <w:spacing w:after="0" w:line="240" w:lineRule="auto"/>
              <w:rPr>
                <w:rFonts w:ascii="Times New Roman" w:hAnsi="Times New Roman"/>
                <w:sz w:val="20"/>
                <w:szCs w:val="20"/>
              </w:rPr>
            </w:pPr>
          </w:p>
        </w:tc>
        <w:tc>
          <w:tcPr>
            <w:tcW w:w="52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6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376"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de personnes retournées dans les communautés cibles qui sont restés dans ces communautés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À déterminer</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28" w:type="dxa"/>
            <w:shd w:val="clear" w:color="auto" w:fill="C00000"/>
            <w:vAlign w:val="center"/>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Cs/>
          <w:sz w:val="20"/>
          <w:szCs w:val="20"/>
          <w:u w:val="single"/>
        </w:rPr>
      </w:pPr>
    </w:p>
    <w:p w:rsidR="007C76E1" w:rsidRPr="007C76E1" w:rsidRDefault="007C76E1" w:rsidP="007C76E1">
      <w:pPr>
        <w:spacing w:after="0" w:line="240" w:lineRule="auto"/>
        <w:rPr>
          <w:rFonts w:ascii="Times New Roman" w:hAnsi="Times New Roman"/>
          <w:bCs/>
          <w:i/>
          <w:sz w:val="20"/>
          <w:szCs w:val="20"/>
        </w:rPr>
      </w:pPr>
      <w:bookmarkStart w:id="35" w:name="_Toc502863802"/>
      <w:bookmarkStart w:id="36" w:name="_Toc502863889"/>
      <w:bookmarkEnd w:id="32"/>
      <w:bookmarkEnd w:id="33"/>
      <w:bookmarkEnd w:id="34"/>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35"/>
      <w:bookmarkEnd w:id="36"/>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bookmarkStart w:id="37" w:name="_Toc502863803"/>
      <w:bookmarkStart w:id="38" w:name="_Toc500967718"/>
      <w:bookmarkStart w:id="39" w:name="_Toc500970094"/>
      <w:r w:rsidRPr="007C76E1">
        <w:rPr>
          <w:rFonts w:ascii="Times New Roman" w:hAnsi="Times New Roman"/>
          <w:bCs/>
          <w:sz w:val="20"/>
          <w:szCs w:val="20"/>
        </w:rPr>
        <w:t>Tableau 16 : Contributions du Programme à l’Effet 2</w:t>
      </w:r>
      <w:bookmarkEnd w:id="37"/>
    </w:p>
    <w:tbl>
      <w:tblPr>
        <w:tblpPr w:leftFromText="141" w:rightFromText="141" w:vertAnchor="text" w:horzAnchor="margin" w:tblpXSpec="center" w:tblpY="401"/>
        <w:tblW w:w="1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2396"/>
        <w:gridCol w:w="8"/>
        <w:gridCol w:w="1137"/>
        <w:gridCol w:w="1135"/>
        <w:gridCol w:w="1277"/>
        <w:gridCol w:w="1137"/>
        <w:gridCol w:w="993"/>
        <w:gridCol w:w="425"/>
        <w:gridCol w:w="425"/>
        <w:gridCol w:w="554"/>
      </w:tblGrid>
      <w:tr w:rsidR="007C76E1" w:rsidRPr="007C76E1" w:rsidTr="007C76E1">
        <w:trPr>
          <w:trHeight w:val="88"/>
          <w:tblHeader/>
        </w:trPr>
        <w:tc>
          <w:tcPr>
            <w:tcW w:w="1523" w:type="dxa"/>
            <w:vMerge w:val="restart"/>
            <w:shd w:val="clear" w:color="auto" w:fill="auto"/>
            <w:vAlign w:val="center"/>
          </w:tcPr>
          <w:bookmarkEnd w:id="38"/>
          <w:bookmarkEnd w:id="39"/>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Produits</w:t>
            </w:r>
          </w:p>
        </w:tc>
        <w:tc>
          <w:tcPr>
            <w:tcW w:w="4676" w:type="dxa"/>
            <w:gridSpan w:val="4"/>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40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40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trHeight w:val="88"/>
          <w:tblHeader/>
        </w:trPr>
        <w:tc>
          <w:tcPr>
            <w:tcW w:w="1523"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4676" w:type="dxa"/>
            <w:gridSpan w:val="4"/>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40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40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trHeight w:val="88"/>
          <w:tblHeader/>
        </w:trPr>
        <w:tc>
          <w:tcPr>
            <w:tcW w:w="1523"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2396"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145" w:type="dxa"/>
            <w:gridSpan w:val="2"/>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5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52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2.1. Justice transitionnelle : Les capacités techniques des institutions en charge du processus de réconciliation et de justice transitionnelle et de la société civile sont renforcées pour promouvoir la réconciliation, le droit à la vérité, à la justice et à la réparation des victimes, y compris les femmes</w:t>
            </w: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 xml:space="preserve">Indicateur 2.1.1 </w:t>
            </w:r>
            <w:r w:rsidRPr="007C76E1">
              <w:rPr>
                <w:rFonts w:ascii="Times New Roman" w:hAnsi="Times New Roman"/>
                <w:sz w:val="20"/>
                <w:szCs w:val="20"/>
              </w:rPr>
              <w:t>Nombre de textes réglementaires adoptés et mis en œuvre par les membres de la CVJR</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53"/>
        </w:trPr>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2.1.</w:t>
            </w:r>
            <w:r w:rsidRPr="007C76E1">
              <w:rPr>
                <w:rFonts w:ascii="Times New Roman" w:hAnsi="Times New Roman"/>
                <w:sz w:val="20"/>
                <w:szCs w:val="20"/>
              </w:rPr>
              <w:t>2 %  des cas investigués par la CVJR par rapport au nombre de cas de plaintes déposés.</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C0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2.1.3</w:t>
            </w:r>
            <w:r w:rsidRPr="007C76E1">
              <w:rPr>
                <w:rFonts w:ascii="Times New Roman" w:hAnsi="Times New Roman"/>
                <w:sz w:val="20"/>
                <w:szCs w:val="20"/>
              </w:rPr>
              <w:t xml:space="preserve"> Nombre de recommandations émanant de la CVJR sur l’administration de la justice et la réduction de l’impunité sont exécutées selon des standards raisonnables</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C0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2.1.4</w:t>
            </w:r>
            <w:r w:rsidRPr="007C76E1">
              <w:rPr>
                <w:rFonts w:ascii="Times New Roman" w:hAnsi="Times New Roman"/>
                <w:sz w:val="20"/>
                <w:szCs w:val="20"/>
              </w:rPr>
              <w:t xml:space="preserve"> Nombre  de mesures des cas de réconciliation initiés par la CVJR qui sont mises en œuvre</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0% </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C0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2.1.5</w:t>
            </w:r>
            <w:r w:rsidRPr="007C76E1">
              <w:rPr>
                <w:rFonts w:ascii="Times New Roman" w:hAnsi="Times New Roman"/>
                <w:sz w:val="20"/>
                <w:szCs w:val="20"/>
              </w:rPr>
              <w:t xml:space="preserve"> Nombre de structures de la société civile, incluant les organisations des femmes, qui participent au sein de la coalition pour la justice transitionnelle</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77</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27</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104</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2.1.6</w:t>
            </w:r>
            <w:r w:rsidRPr="007C76E1">
              <w:rPr>
                <w:rFonts w:ascii="Times New Roman" w:hAnsi="Times New Roman"/>
                <w:sz w:val="20"/>
                <w:szCs w:val="20"/>
              </w:rPr>
              <w:t xml:space="preserve"> Nombre de recommandations émanant du rapport de la </w:t>
            </w:r>
            <w:r w:rsidRPr="007C76E1">
              <w:rPr>
                <w:rFonts w:ascii="Times New Roman" w:hAnsi="Times New Roman"/>
                <w:sz w:val="20"/>
                <w:szCs w:val="20"/>
              </w:rPr>
              <w:lastRenderedPageBreak/>
              <w:t xml:space="preserve">Commission Internationale d’enquête mises en œuvre  </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0% </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C0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2.2. Dialogue inter-/intra-communautaire : Les communautés disposent des capacités techniques nécessaires à la prévention et à la gestion des conflits communautaires, au renforcement de la cohésion sociale, et de créer les conditions de retour des réfugiés et déplacés</w:t>
            </w: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2.2.1</w:t>
            </w:r>
            <w:r w:rsidRPr="007C76E1">
              <w:rPr>
                <w:rFonts w:ascii="Times New Roman" w:hAnsi="Times New Roman"/>
                <w:sz w:val="20"/>
                <w:szCs w:val="20"/>
              </w:rPr>
              <w:t xml:space="preserve"> Nombre de Cercles ayant  des mécanismes de dialogue intercommunautaire et intracommunautaire mis en place. </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13 </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 xml:space="preserve">               </w:t>
            </w:r>
            <w:r w:rsidRPr="007C76E1">
              <w:rPr>
                <w:rFonts w:ascii="Times New Roman" w:hAnsi="Times New Roman"/>
                <w:sz w:val="20"/>
                <w:szCs w:val="20"/>
              </w:rPr>
              <w:t>4 (Tenenkou, Youwarou, Djenne, Mopti)</w:t>
            </w: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C000"/>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2.2.2</w:t>
            </w:r>
            <w:r w:rsidRPr="007C76E1">
              <w:rPr>
                <w:rFonts w:ascii="Times New Roman" w:hAnsi="Times New Roman"/>
                <w:sz w:val="20"/>
                <w:szCs w:val="20"/>
              </w:rPr>
              <w:t xml:space="preserve"> Nombre de médiateurs et de médiatrices (communautaires issus de l’administration locale, de la société civile, et des communautés religieuses) formés en prévention/gestion des conflits à l’échelle communautaire</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470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235%</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2.2.3</w:t>
            </w:r>
            <w:r w:rsidRPr="007C76E1">
              <w:rPr>
                <w:rFonts w:ascii="Times New Roman" w:hAnsi="Times New Roman"/>
                <w:sz w:val="20"/>
                <w:szCs w:val="20"/>
              </w:rPr>
              <w:t xml:space="preserve"> Nombre d’OSC et d’ONG nationales partenaires de la CVJR  </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6 sur 30  </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sur 15</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520%</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2.2.4</w:t>
            </w:r>
            <w:r w:rsidRPr="007C76E1">
              <w:rPr>
                <w:rFonts w:ascii="Times New Roman" w:hAnsi="Times New Roman"/>
                <w:sz w:val="20"/>
                <w:szCs w:val="20"/>
              </w:rPr>
              <w:t xml:space="preserve"> Nombre d’antennes de la CVJR mises en place et fonctionnelles</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2.3. Education à la culture de la paix : Les capacités techniques et matérielles des institutions (ministère de l’Education, Enseignement supérieur, syndicats d’élèves et d’enseignants) sont renforcées pour la promotion de l’éducation à la culture de la paix et droits de l’homme.</w:t>
            </w: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2.3.1</w:t>
            </w:r>
            <w:r w:rsidRPr="007C76E1">
              <w:rPr>
                <w:rFonts w:ascii="Times New Roman" w:hAnsi="Times New Roman"/>
                <w:sz w:val="20"/>
                <w:szCs w:val="20"/>
              </w:rPr>
              <w:t xml:space="preserve"> Nombre d’enseignants formés sur le sujet de l’éducation à la culture de la paix </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3 000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105</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1919</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67%</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2.3.2</w:t>
            </w:r>
            <w:r w:rsidRPr="007C76E1">
              <w:rPr>
                <w:rFonts w:ascii="Times New Roman" w:hAnsi="Times New Roman"/>
                <w:sz w:val="20"/>
                <w:szCs w:val="20"/>
              </w:rPr>
              <w:t xml:space="preserve"> % d’écoles dotées d’un plan et d’un mécanisme de prévention et de gestion de conflits.</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 des écoles fonctionnelles au nord</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2.2.3</w:t>
            </w:r>
            <w:r w:rsidRPr="007C76E1">
              <w:rPr>
                <w:rFonts w:ascii="Times New Roman" w:hAnsi="Times New Roman"/>
                <w:sz w:val="20"/>
                <w:szCs w:val="20"/>
              </w:rPr>
              <w:t xml:space="preserve"> % de Comités de Gestion Scolaire (CGS) formés sur la gestion des conflits, la tolérance et la promotion de la paix.</w:t>
            </w:r>
          </w:p>
          <w:p w:rsidR="007C76E1" w:rsidRPr="007C76E1" w:rsidRDefault="007C76E1" w:rsidP="007C76E1">
            <w:pPr>
              <w:spacing w:after="0" w:line="240" w:lineRule="auto"/>
              <w:rPr>
                <w:rFonts w:ascii="Times New Roman" w:hAnsi="Times New Roman"/>
                <w:sz w:val="20"/>
                <w:szCs w:val="20"/>
              </w:rPr>
            </w:pP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 des CGS fonctionnels au nord</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43"/>
        </w:trPr>
        <w:tc>
          <w:tcPr>
            <w:tcW w:w="152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Produit 2.4. Patrimoine culturel : Le patrimoine culturel matériel et immatériel endommagé est réhabilité et des outils pour la promotion de la </w:t>
            </w:r>
            <w:r w:rsidRPr="007C76E1">
              <w:rPr>
                <w:rFonts w:ascii="Times New Roman" w:hAnsi="Times New Roman"/>
                <w:sz w:val="20"/>
                <w:szCs w:val="20"/>
              </w:rPr>
              <w:lastRenderedPageBreak/>
              <w:t>diversité et des expressions culturelles sont élaborés</w:t>
            </w:r>
          </w:p>
        </w:tc>
        <w:tc>
          <w:tcPr>
            <w:tcW w:w="2404" w:type="dxa"/>
            <w:gridSpan w:val="2"/>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lastRenderedPageBreak/>
              <w:t>Indicateur 2.4.1</w:t>
            </w:r>
            <w:r w:rsidRPr="007C76E1">
              <w:rPr>
                <w:rFonts w:ascii="Times New Roman" w:hAnsi="Times New Roman"/>
                <w:sz w:val="20"/>
                <w:szCs w:val="20"/>
              </w:rPr>
              <w:t xml:space="preserve"> Nombre de ressources patrimoine culturel (sites du patrimoine, musées, bibliothèques de manuscrits) endommagé réhabilité</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14 mausolées détruits </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14 mausolées reconstruits </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 mausolées reconstruits</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43"/>
        </w:trPr>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8 bibliothèques privées endommagées ; </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8 bibliothèques réhabilitées, </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 bibliothèques réhabilitées</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 bibliothèques réhabilitées</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43"/>
        </w:trPr>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7"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3 mosquées </w:t>
            </w:r>
            <w:r w:rsidRPr="007C76E1">
              <w:rPr>
                <w:rFonts w:ascii="Times New Roman" w:hAnsi="Times New Roman"/>
                <w:sz w:val="20"/>
                <w:szCs w:val="20"/>
              </w:rPr>
              <w:lastRenderedPageBreak/>
              <w:t>classées patrimoine mondial endommagées</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 xml:space="preserve">3 mosquées </w:t>
            </w:r>
            <w:r w:rsidRPr="007C76E1">
              <w:rPr>
                <w:rFonts w:ascii="Times New Roman" w:hAnsi="Times New Roman"/>
                <w:sz w:val="20"/>
                <w:szCs w:val="20"/>
              </w:rPr>
              <w:lastRenderedPageBreak/>
              <w:t>réhabilitées</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2.4.2</w:t>
            </w:r>
            <w:r w:rsidRPr="007C76E1">
              <w:rPr>
                <w:rFonts w:ascii="Times New Roman" w:hAnsi="Times New Roman"/>
                <w:sz w:val="20"/>
                <w:szCs w:val="20"/>
              </w:rPr>
              <w:t xml:space="preserve"> % de manuscrits numérisés, traduits et diffusés auprès des communautés  </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2.4.3</w:t>
            </w:r>
            <w:r w:rsidRPr="007C76E1">
              <w:rPr>
                <w:rFonts w:ascii="Times New Roman" w:hAnsi="Times New Roman"/>
                <w:sz w:val="20"/>
                <w:szCs w:val="20"/>
              </w:rPr>
              <w:t xml:space="preserve"> Nombre d’évènements culturels organisés suite au renforcement de capacités des acteurs régionaux et nationaux concernés</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La MINUSMA a permis la tenue de 5 évènements culturels à l’initiative des acteurs locaux et nationaux en 2015</w:t>
            </w:r>
          </w:p>
          <w:p w:rsidR="007C76E1" w:rsidRPr="007C76E1" w:rsidRDefault="007C76E1" w:rsidP="007C76E1">
            <w:pPr>
              <w:spacing w:after="0" w:line="240" w:lineRule="auto"/>
              <w:rPr>
                <w:rFonts w:ascii="Times New Roman" w:hAnsi="Times New Roman"/>
                <w:sz w:val="20"/>
                <w:szCs w:val="20"/>
              </w:rPr>
            </w:pP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w:t>
            </w:r>
          </w:p>
        </w:tc>
        <w:tc>
          <w:tcPr>
            <w:tcW w:w="425"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3954"/>
        </w:trPr>
        <w:tc>
          <w:tcPr>
            <w:tcW w:w="152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4"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Indicateur 2.4.4</w:t>
            </w:r>
            <w:r w:rsidRPr="007C76E1">
              <w:rPr>
                <w:rFonts w:ascii="Times New Roman" w:hAnsi="Times New Roman"/>
                <w:sz w:val="20"/>
                <w:szCs w:val="20"/>
              </w:rPr>
              <w:t xml:space="preserve"> % d’éléments du patrimoine culturel immatériel inventorié</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éléments classés patrimoine mondial (quel %)</w:t>
            </w:r>
          </w:p>
        </w:tc>
        <w:tc>
          <w:tcPr>
            <w:tcW w:w="113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 du patrimoine immatériel des régions de Tombouctou, Kidal, Gao et Mopti inventorié</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54" w:type="dxa"/>
            <w:shd w:val="clear" w:color="auto" w:fill="auto"/>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Cs/>
          <w:i/>
          <w:sz w:val="20"/>
          <w:szCs w:val="20"/>
        </w:rPr>
      </w:pPr>
      <w:bookmarkStart w:id="40" w:name="_Toc502863804"/>
      <w:bookmarkStart w:id="41" w:name="_Toc502863891"/>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40"/>
      <w:bookmarkEnd w:id="41"/>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bookmarkStart w:id="42" w:name="_Toc502863806"/>
      <w:bookmarkStart w:id="43" w:name="_Toc500967721"/>
      <w:bookmarkStart w:id="44" w:name="_Toc500970097"/>
      <w:bookmarkStart w:id="45" w:name="_Toc500974542"/>
      <w:r w:rsidRPr="007C76E1">
        <w:rPr>
          <w:rFonts w:ascii="Times New Roman" w:hAnsi="Times New Roman"/>
          <w:bCs/>
          <w:sz w:val="20"/>
          <w:szCs w:val="20"/>
        </w:rPr>
        <w:t>Tableau 17 : Performances-Pays en rapport avec l’Effet 3</w:t>
      </w:r>
      <w:bookmarkEnd w:id="42"/>
    </w:p>
    <w:tbl>
      <w:tblPr>
        <w:tblpPr w:leftFromText="141" w:rightFromText="141" w:vertAnchor="text" w:horzAnchor="margin" w:tblpXSpec="center" w:tblpY="40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216"/>
        <w:gridCol w:w="1294"/>
        <w:gridCol w:w="1113"/>
        <w:gridCol w:w="1261"/>
        <w:gridCol w:w="1118"/>
        <w:gridCol w:w="976"/>
        <w:gridCol w:w="420"/>
        <w:gridCol w:w="423"/>
        <w:gridCol w:w="558"/>
      </w:tblGrid>
      <w:tr w:rsidR="007C76E1" w:rsidRPr="007C76E1" w:rsidTr="007C76E1">
        <w:trPr>
          <w:trHeight w:val="88"/>
        </w:trPr>
        <w:tc>
          <w:tcPr>
            <w:tcW w:w="1668"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w:t>
            </w:r>
          </w:p>
        </w:tc>
        <w:tc>
          <w:tcPr>
            <w:tcW w:w="4536"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4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41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trHeight w:val="88"/>
        </w:trPr>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536"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4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41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trHeight w:val="88"/>
        </w:trPr>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668"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Les institutions étatiques, nationales et locales, exercent de manière plus efficace leurs missions de service public et les acteurs non étatiques participent et assurent le contrôle citoyen en conformité </w:t>
            </w:r>
            <w:r w:rsidRPr="007C76E1">
              <w:rPr>
                <w:rFonts w:ascii="Times New Roman" w:hAnsi="Times New Roman"/>
                <w:sz w:val="20"/>
                <w:szCs w:val="20"/>
              </w:rPr>
              <w:lastRenderedPageBreak/>
              <w:t>avec les principes de bonne gouvernance et d’Etat de droit.</w:t>
            </w: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Mo Ibrahim Index (Score)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50,7</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55</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47,8</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53"/>
        </w:trPr>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de la population qui supporte le processus démocratique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2014 (61%)</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57%</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57%</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Nombre d’incidents de violation de droits de l’homme lies au conflit et les violations du droit international humanitaire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112</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225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426</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+ 651</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Taux de participation générale aux élections y compris le taux de </w:t>
            </w:r>
            <w:r w:rsidRPr="007C76E1">
              <w:rPr>
                <w:rFonts w:ascii="Times New Roman" w:hAnsi="Times New Roman"/>
                <w:sz w:val="20"/>
                <w:szCs w:val="20"/>
              </w:rPr>
              <w:lastRenderedPageBreak/>
              <w:t>participation des femmes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Moins de 40%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Pas eu d’élection en 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52,51%</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52%</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de femmes candidates aux élections locales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16%  (communales  de 2009)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Pas eu d’élection en 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33%</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33%</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des ressources de budget de l’Etat transféré aux collectivités.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3,1 %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24%</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24%</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bookmarkEnd w:id="43"/>
      <w:bookmarkEnd w:id="44"/>
      <w:bookmarkEnd w:id="45"/>
    </w:tbl>
    <w:p w:rsidR="007C76E1" w:rsidRPr="007C76E1" w:rsidRDefault="007C76E1" w:rsidP="007C76E1">
      <w:pPr>
        <w:spacing w:after="0" w:line="240" w:lineRule="auto"/>
        <w:rPr>
          <w:rFonts w:ascii="Times New Roman" w:hAnsi="Times New Roman"/>
          <w:bCs/>
          <w:i/>
          <w:sz w:val="20"/>
          <w:szCs w:val="20"/>
          <w:u w:val="single"/>
        </w:rPr>
      </w:pPr>
    </w:p>
    <w:p w:rsidR="007C76E1" w:rsidRPr="007C76E1" w:rsidRDefault="007C76E1" w:rsidP="007C76E1">
      <w:pPr>
        <w:spacing w:after="0" w:line="240" w:lineRule="auto"/>
        <w:rPr>
          <w:rFonts w:ascii="Times New Roman" w:hAnsi="Times New Roman"/>
          <w:bCs/>
          <w:i/>
          <w:sz w:val="20"/>
          <w:szCs w:val="20"/>
        </w:rPr>
      </w:pPr>
      <w:bookmarkStart w:id="46" w:name="_Toc502863807"/>
      <w:bookmarkStart w:id="47" w:name="_Toc502863894"/>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46"/>
      <w:bookmarkEnd w:id="47"/>
    </w:p>
    <w:p w:rsidR="007C76E1" w:rsidRPr="007C76E1" w:rsidRDefault="007C76E1" w:rsidP="007C76E1">
      <w:pPr>
        <w:spacing w:after="0" w:line="240" w:lineRule="auto"/>
        <w:rPr>
          <w:rFonts w:ascii="Times New Roman" w:hAnsi="Times New Roman"/>
          <w:bCs/>
          <w:i/>
          <w:sz w:val="20"/>
          <w:szCs w:val="20"/>
        </w:rPr>
      </w:pPr>
    </w:p>
    <w:p w:rsidR="007C76E1" w:rsidRPr="007C76E1" w:rsidRDefault="007C76E1" w:rsidP="007C76E1">
      <w:pPr>
        <w:spacing w:after="0" w:line="240" w:lineRule="auto"/>
        <w:rPr>
          <w:rFonts w:ascii="Times New Roman" w:hAnsi="Times New Roman"/>
          <w:bCs/>
          <w:sz w:val="20"/>
          <w:szCs w:val="20"/>
        </w:rPr>
      </w:pPr>
      <w:bookmarkStart w:id="48" w:name="_Toc502863808"/>
      <w:r w:rsidRPr="007C76E1">
        <w:rPr>
          <w:rFonts w:ascii="Times New Roman" w:hAnsi="Times New Roman"/>
          <w:bCs/>
          <w:sz w:val="20"/>
          <w:szCs w:val="20"/>
        </w:rPr>
        <w:t>Tableau 18 : Contributions du Programme à l’Effet 3</w:t>
      </w:r>
      <w:bookmarkEnd w:id="48"/>
    </w:p>
    <w:tbl>
      <w:tblPr>
        <w:tblpPr w:leftFromText="141" w:rightFromText="141" w:vertAnchor="text" w:horzAnchor="margin" w:tblpXSpec="center" w:tblpY="40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407"/>
        <w:gridCol w:w="1133"/>
        <w:gridCol w:w="11"/>
        <w:gridCol w:w="1124"/>
        <w:gridCol w:w="1277"/>
        <w:gridCol w:w="1134"/>
        <w:gridCol w:w="994"/>
        <w:gridCol w:w="423"/>
        <w:gridCol w:w="10"/>
        <w:gridCol w:w="417"/>
        <w:gridCol w:w="8"/>
        <w:gridCol w:w="560"/>
      </w:tblGrid>
      <w:tr w:rsidR="007C76E1" w:rsidRPr="007C76E1" w:rsidTr="007C76E1">
        <w:trPr>
          <w:trHeight w:val="88"/>
        </w:trPr>
        <w:tc>
          <w:tcPr>
            <w:tcW w:w="1525"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Produits</w:t>
            </w:r>
          </w:p>
        </w:tc>
        <w:tc>
          <w:tcPr>
            <w:tcW w:w="4675" w:type="dxa"/>
            <w:gridSpan w:val="4"/>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405"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418" w:type="dxa"/>
            <w:gridSpan w:val="5"/>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4675" w:type="dxa"/>
            <w:gridSpan w:val="4"/>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405"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418" w:type="dxa"/>
            <w:gridSpan w:val="5"/>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144" w:type="dxa"/>
            <w:gridSpan w:val="2"/>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12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433"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42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6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525"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3.1 : Les capacités de l’Assemblée Nationale et des   Structures de contrôle des Finances publiques (Section des Comptes de la Cours Suprême) sont renforcées en vue d’améliorer la redevabilité dans la gestion des politiques publiques.</w:t>
            </w: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3.1.1</w:t>
            </w:r>
            <w:r w:rsidRPr="007C76E1">
              <w:rPr>
                <w:rFonts w:ascii="Times New Roman" w:hAnsi="Times New Roman"/>
                <w:sz w:val="20"/>
                <w:szCs w:val="20"/>
              </w:rPr>
              <w:t xml:space="preserve"> Nombre de propositions de loi soumises par l’Assemblée Nationale</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40%</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FFFF00"/>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3.1.2</w:t>
            </w:r>
            <w:r w:rsidRPr="007C76E1">
              <w:rPr>
                <w:rFonts w:ascii="Times New Roman" w:hAnsi="Times New Roman"/>
                <w:sz w:val="20"/>
                <w:szCs w:val="20"/>
              </w:rPr>
              <w:t xml:space="preserve"> Nombre d’initiatives de contrôle de l’action gouvernementale prises par l’Assemblée Nationale.</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2/an</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4/an</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3.1.3</w:t>
            </w:r>
            <w:r w:rsidRPr="007C76E1">
              <w:rPr>
                <w:rFonts w:ascii="Times New Roman" w:hAnsi="Times New Roman"/>
                <w:sz w:val="20"/>
                <w:szCs w:val="20"/>
              </w:rPr>
              <w:t xml:space="preserve"> % des collectivités territoriales ayant fait l’objet d’un contrôle par la Section des Comptes de la Cour Suprême</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Au moins 30%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Aucun résultat pour 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39%</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130%</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3.2 : Les capacités de l’Etat, des OGE et OSC sont renforcées en vue de l’amélioration de la crédibilité des processus électoraux et d’une plus grande participation, notamment des femmes et des jeunes.</w:t>
            </w: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 2.1</w:t>
            </w:r>
            <w:r w:rsidRPr="007C76E1">
              <w:rPr>
                <w:rFonts w:ascii="Times New Roman" w:hAnsi="Times New Roman"/>
                <w:sz w:val="20"/>
                <w:szCs w:val="20"/>
              </w:rPr>
              <w:t xml:space="preserve"> Nombre d’élections organisées avec un fichier électoral biométrique mis à jour</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 mises à jour</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Pas eu de d’élection en 2015</w:t>
            </w:r>
          </w:p>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FFFF00"/>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 2.2</w:t>
            </w:r>
            <w:r w:rsidRPr="007C76E1">
              <w:rPr>
                <w:rFonts w:ascii="Times New Roman" w:hAnsi="Times New Roman"/>
                <w:sz w:val="20"/>
                <w:szCs w:val="20"/>
              </w:rPr>
              <w:t xml:space="preserve"> nombre d’OSC appuyées ayant mené des activités d’éducation civique en vue de l’amélioration de la participation citoyenne aux élections, notamment celle des femmes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107 (2013)</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107</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28 (26%)</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26%</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3.2.3</w:t>
            </w:r>
            <w:r w:rsidRPr="007C76E1">
              <w:rPr>
                <w:rFonts w:ascii="Times New Roman" w:hAnsi="Times New Roman"/>
                <w:sz w:val="20"/>
                <w:szCs w:val="20"/>
              </w:rPr>
              <w:t xml:space="preserve"> Nombre d’assistances fournies à l’Etat malien, aux OGE (DGE, CENI)</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 types : (Appui logistique, assistances techniques ; Appui sécuritaire)</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 types (Appui logistique, assistances techniques ; Appui sécuritaire):</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 types (Appui logistique, assistances techniques ; Appui sécuritaire)</w:t>
            </w:r>
          </w:p>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150%</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 xml:space="preserve">Produit 3.3 : Les stratégies et </w:t>
            </w:r>
            <w:r w:rsidRPr="007C76E1">
              <w:rPr>
                <w:rFonts w:ascii="Times New Roman" w:hAnsi="Times New Roman"/>
                <w:bCs/>
                <w:sz w:val="20"/>
                <w:szCs w:val="20"/>
              </w:rPr>
              <w:lastRenderedPageBreak/>
              <w:t>plans d’action disponibles sont opérationnalisés pour l’approfondissement de la décentralisation et la consolidation de la gouvernance locale.</w:t>
            </w: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lastRenderedPageBreak/>
              <w:t>Indicateur 3.3.1</w:t>
            </w:r>
            <w:r w:rsidRPr="007C76E1">
              <w:rPr>
                <w:rFonts w:ascii="Times New Roman" w:hAnsi="Times New Roman"/>
                <w:sz w:val="20"/>
                <w:szCs w:val="20"/>
              </w:rPr>
              <w:t xml:space="preserve"> Nombre de régions qui disposent de </w:t>
            </w:r>
            <w:r w:rsidRPr="007C76E1">
              <w:rPr>
                <w:rFonts w:ascii="Times New Roman" w:hAnsi="Times New Roman"/>
                <w:sz w:val="20"/>
                <w:szCs w:val="20"/>
              </w:rPr>
              <w:lastRenderedPageBreak/>
              <w:t>contrats Plans/Projets signés et opérationnels avec l’Etat.</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125%</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3.3.2</w:t>
            </w:r>
            <w:r w:rsidRPr="007C76E1">
              <w:rPr>
                <w:rFonts w:ascii="Times New Roman" w:hAnsi="Times New Roman"/>
                <w:sz w:val="20"/>
                <w:szCs w:val="20"/>
              </w:rPr>
              <w:t xml:space="preserve"> Nombre de collectivités renforcées pour la gestion équitable des ressources financières et humaines des anciennes et nouvelles compétences transférées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 compétences transférées 11% Ressources transférées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FFFF00"/>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3.4 : Les capacités des institutions publiques (au niveau national, régional, sectoriel) pour la planification et la programmation axée sur l’évidence, le S&amp;E et la production des données statistiques comparables et désagrégés sont renforcées</w:t>
            </w: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3.4.1</w:t>
            </w:r>
            <w:r w:rsidRPr="007C76E1">
              <w:rPr>
                <w:rFonts w:ascii="Times New Roman" w:hAnsi="Times New Roman"/>
                <w:sz w:val="20"/>
                <w:szCs w:val="20"/>
              </w:rPr>
              <w:t xml:space="preserve"> # (ou %) de politiques, stratégies, plans, budgets clés appuyés par l’UNDAF+ qui sont équitable et axés sur l’évidence.</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3.4.2</w:t>
            </w:r>
            <w:r w:rsidRPr="007C76E1">
              <w:rPr>
                <w:rFonts w:ascii="Times New Roman" w:hAnsi="Times New Roman"/>
                <w:sz w:val="20"/>
                <w:szCs w:val="20"/>
              </w:rPr>
              <w:t xml:space="preserve"> Nombre d’unités/services de planification/ S&amp;E/statistiques avec une capacité technique renforcées pour la collecte, analyse, et utilisation des données désagrégées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 (y inclus Instat, DNP, Services décentralisés)</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22</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+32</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266%</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3.4.3</w:t>
            </w:r>
            <w:r w:rsidRPr="007C76E1">
              <w:rPr>
                <w:rFonts w:ascii="Times New Roman" w:hAnsi="Times New Roman"/>
                <w:sz w:val="20"/>
                <w:szCs w:val="20"/>
              </w:rPr>
              <w:t xml:space="preserve"> Un compendium national des indicateurs effet et processus standardisé [TBD]</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3.4.4</w:t>
            </w:r>
            <w:r w:rsidRPr="007C76E1">
              <w:rPr>
                <w:rFonts w:ascii="Times New Roman" w:hAnsi="Times New Roman"/>
                <w:sz w:val="20"/>
                <w:szCs w:val="20"/>
              </w:rPr>
              <w:t xml:space="preserve"> # des enquêtes et études clés menés avec un rapport final publié sur les thématiques prioritaires appuyés par cet UNDAF+</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3.5 : Les capacités des organisations de la société civile et des médias sont renforcées en vue d’améliorer le contrôle citoyen, la redevabilité des institutions et la participation des femmes et des jeunes dans la vie publique.</w:t>
            </w: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3.5.1</w:t>
            </w:r>
            <w:r w:rsidRPr="007C76E1">
              <w:rPr>
                <w:rFonts w:ascii="Times New Roman" w:hAnsi="Times New Roman"/>
                <w:sz w:val="20"/>
                <w:szCs w:val="20"/>
              </w:rPr>
              <w:t xml:space="preserve"> Nombre des structures faitières et plateformes de la société civile ayant bénéficié de renforcement des capacités sur les techniques de contrôle citoyen.</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62</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65</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+120 </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3.5.2</w:t>
            </w:r>
            <w:r w:rsidRPr="007C76E1">
              <w:rPr>
                <w:rFonts w:ascii="Times New Roman" w:hAnsi="Times New Roman"/>
                <w:sz w:val="20"/>
                <w:szCs w:val="20"/>
              </w:rPr>
              <w:t xml:space="preserve"> Nombre d’initiatives entreprises par des structures faitières et plateformes pour influencer les systèmes de gouvernance et les politiques publiques  prenant en compte l’équité et l’égalité du genre.</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(soit 1/an)</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83</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+88</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3.5.3</w:t>
            </w:r>
            <w:r w:rsidRPr="007C76E1">
              <w:rPr>
                <w:rFonts w:ascii="Times New Roman" w:hAnsi="Times New Roman"/>
                <w:sz w:val="20"/>
                <w:szCs w:val="20"/>
              </w:rPr>
              <w:t xml:space="preserve"> Nombre d’émissions, articles, publications en rapport avec le contrôle citoyen</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10 (soit 2 rapports/an sur différents sujets en rapport avec la </w:t>
            </w:r>
            <w:r w:rsidRPr="007C76E1">
              <w:rPr>
                <w:rFonts w:ascii="Times New Roman" w:hAnsi="Times New Roman"/>
                <w:sz w:val="20"/>
                <w:szCs w:val="20"/>
              </w:rPr>
              <w:lastRenderedPageBreak/>
              <w:t>gouvernance)</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140%</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3.6 : Le fonctionnement des Institutions judiciaires et pénitentiaires et des organes de lutte contre l’impunité est amélioré sur toute l’étendue du territoire national dans un cadre juridique réformé conforme aux principes de l’Etat de droit</w:t>
            </w: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Indicateurs 3.6.1</w:t>
            </w:r>
            <w:r w:rsidRPr="007C76E1">
              <w:rPr>
                <w:rFonts w:ascii="Times New Roman" w:hAnsi="Times New Roman"/>
                <w:sz w:val="20"/>
                <w:szCs w:val="20"/>
              </w:rPr>
              <w:t xml:space="preserve"> Nombre de Cours et tribunaux des régions affectées par la crise ayant repris toutes leurs activités  (Gao, Tombouctou, Kidal et 3 cercles de Mopti)</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115%</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Indicateurs 3.6.2</w:t>
            </w:r>
            <w:r w:rsidRPr="007C76E1">
              <w:rPr>
                <w:rFonts w:ascii="Times New Roman" w:hAnsi="Times New Roman"/>
                <w:sz w:val="20"/>
                <w:szCs w:val="20"/>
              </w:rPr>
              <w:t xml:space="preserve"> Nombre de prisons des régions affectées par la crise ayant repris toutes leurs activités (Gao, Tombouctou, Kidal et 3 cercles de Mopti)</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87%</w:t>
            </w:r>
          </w:p>
        </w:tc>
        <w:tc>
          <w:tcPr>
            <w:tcW w:w="423"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3.6.3</w:t>
            </w:r>
            <w:r w:rsidRPr="007C76E1">
              <w:rPr>
                <w:rFonts w:ascii="Times New Roman" w:hAnsi="Times New Roman"/>
                <w:sz w:val="20"/>
                <w:szCs w:val="20"/>
              </w:rPr>
              <w:t xml:space="preserve"> Pourcentage de la population enquêtée qui exprime sa confiance aux institutions judiciaires</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37,7%</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38%</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40%</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40%</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FFC000"/>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3.7 : Les mécanismes nationaux formels et informels de promotion et de protection des droits Humains disposent des capacités institutionnelles et techniques pour mieux accomplir leurs missions en conformité avec les standards internationaux.</w:t>
            </w: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Indicateurs 3.7.1</w:t>
            </w:r>
            <w:r w:rsidRPr="007C76E1">
              <w:rPr>
                <w:rFonts w:ascii="Times New Roman" w:hAnsi="Times New Roman"/>
                <w:sz w:val="20"/>
                <w:szCs w:val="20"/>
              </w:rPr>
              <w:t> Nombre de rapports périodiques conformes aux standards produits et soumis aux organes des Traités and Conseil de Droit de l’Homme</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33%</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FFC000"/>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Indicateurs 3.7.2</w:t>
            </w:r>
            <w:r w:rsidRPr="007C76E1">
              <w:rPr>
                <w:rFonts w:ascii="Times New Roman" w:hAnsi="Times New Roman"/>
                <w:sz w:val="20"/>
                <w:szCs w:val="20"/>
              </w:rPr>
              <w:t> Nombre de rapports alternatifs produits et soumis aux organes des Traités et Conseil de Droit de l’Homme par les organisations de la société civile</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33%</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FFC000"/>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3.7.3</w:t>
            </w:r>
            <w:r w:rsidRPr="007C76E1">
              <w:rPr>
                <w:rFonts w:ascii="Times New Roman" w:hAnsi="Times New Roman"/>
                <w:sz w:val="20"/>
                <w:szCs w:val="20"/>
              </w:rPr>
              <w:t xml:space="preserve"> Nombre de lois spécifiques aux droits des femmes et des enfants qui sont en conformité avec les standards internationaux</w:t>
            </w: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0/5</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5/5</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40%</w:t>
            </w:r>
          </w:p>
        </w:tc>
        <w:tc>
          <w:tcPr>
            <w:tcW w:w="423"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FFC000"/>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5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0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3.7.4</w:t>
            </w:r>
            <w:r w:rsidRPr="007C76E1">
              <w:rPr>
                <w:rFonts w:ascii="Times New Roman" w:hAnsi="Times New Roman"/>
                <w:sz w:val="20"/>
                <w:szCs w:val="20"/>
              </w:rPr>
              <w:t xml:space="preserve"> Taux de mise en œuvre des recommandations formulées par les mécanismes des droits de l'homme sur les rapports périodiques soumis</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11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w:t>
            </w:r>
          </w:p>
        </w:tc>
        <w:tc>
          <w:tcPr>
            <w:tcW w:w="127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27%</w:t>
            </w:r>
          </w:p>
        </w:tc>
        <w:tc>
          <w:tcPr>
            <w:tcW w:w="99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108%</w:t>
            </w:r>
          </w:p>
        </w:tc>
        <w:tc>
          <w:tcPr>
            <w:tcW w:w="423" w:type="dxa"/>
            <w:shd w:val="clear" w:color="auto" w:fill="00B050"/>
          </w:tcPr>
          <w:p w:rsidR="007C76E1" w:rsidRPr="007C76E1" w:rsidRDefault="007C76E1" w:rsidP="007C76E1">
            <w:pPr>
              <w:spacing w:after="0" w:line="240" w:lineRule="auto"/>
              <w:rPr>
                <w:rFonts w:ascii="Times New Roman" w:hAnsi="Times New Roman"/>
                <w:sz w:val="20"/>
                <w:szCs w:val="20"/>
              </w:rPr>
            </w:pPr>
          </w:p>
        </w:tc>
        <w:tc>
          <w:tcPr>
            <w:tcW w:w="427"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c>
          <w:tcPr>
            <w:tcW w:w="568" w:type="dxa"/>
            <w:gridSpan w:val="2"/>
            <w:shd w:val="clear" w:color="auto" w:fill="auto"/>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Cs/>
          <w:i/>
          <w:sz w:val="20"/>
          <w:szCs w:val="20"/>
        </w:rPr>
      </w:pPr>
      <w:bookmarkStart w:id="49" w:name="_Toc502863809"/>
      <w:bookmarkStart w:id="50" w:name="_Toc502863896"/>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49"/>
      <w:bookmarkEnd w:id="50"/>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bookmarkStart w:id="51" w:name="_Toc502863811"/>
      <w:bookmarkStart w:id="52" w:name="_Toc500967725"/>
      <w:bookmarkStart w:id="53" w:name="_Toc500970101"/>
      <w:bookmarkStart w:id="54" w:name="_Toc500974546"/>
      <w:r w:rsidRPr="007C76E1">
        <w:rPr>
          <w:rFonts w:ascii="Times New Roman" w:hAnsi="Times New Roman"/>
          <w:bCs/>
          <w:sz w:val="20"/>
          <w:szCs w:val="20"/>
        </w:rPr>
        <w:t>Tableau 19 : Performances-Pays en rapport avec l’Effet 4</w:t>
      </w:r>
      <w:bookmarkEnd w:id="51"/>
    </w:p>
    <w:p w:rsidR="007C76E1" w:rsidRPr="007C76E1" w:rsidRDefault="007C76E1" w:rsidP="007C76E1">
      <w:pPr>
        <w:spacing w:after="0" w:line="240" w:lineRule="auto"/>
        <w:rPr>
          <w:rFonts w:ascii="Times New Roman" w:hAnsi="Times New Roman"/>
          <w:bCs/>
          <w:sz w:val="20"/>
          <w:szCs w:val="20"/>
          <w:u w:val="single"/>
        </w:rPr>
      </w:pPr>
    </w:p>
    <w:tbl>
      <w:tblPr>
        <w:tblpPr w:leftFromText="141" w:rightFromText="141" w:vertAnchor="text" w:horzAnchor="margin" w:tblpXSpec="center" w:tblpY="401"/>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1134"/>
        <w:gridCol w:w="1134"/>
        <w:gridCol w:w="1275"/>
        <w:gridCol w:w="1134"/>
        <w:gridCol w:w="993"/>
        <w:gridCol w:w="425"/>
        <w:gridCol w:w="425"/>
        <w:gridCol w:w="567"/>
      </w:tblGrid>
      <w:tr w:rsidR="007C76E1" w:rsidRPr="007C76E1" w:rsidTr="007C76E1">
        <w:trPr>
          <w:trHeight w:val="88"/>
        </w:trPr>
        <w:tc>
          <w:tcPr>
            <w:tcW w:w="1668"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4</w:t>
            </w:r>
          </w:p>
        </w:tc>
        <w:tc>
          <w:tcPr>
            <w:tcW w:w="4536"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4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41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trHeight w:val="88"/>
        </w:trPr>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536"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4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41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trHeight w:val="88"/>
        </w:trPr>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668"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D’ici 2019, les populations, en particulier les femmes et les enfants les plus vulnérables et celles affectées par les crises, ont un accès accru et équitable et utilisent les SSB de qualité.</w:t>
            </w: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Prévalence contraceptive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10 % (EDS-M V  2012);</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53"/>
        </w:trPr>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Prévalence de l’excision chez les femmes âgées de 15 à 49 ans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91% (EDSM V 2012).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65%]</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83% MICS 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83% MICS 2015</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C000"/>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Taux d’accouchement assisté par un personnel qualifié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56%  (2013);</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65%</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44% (sans les matrones)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Prévalence du mariage précoce (jeunes filles de moins de 18 ans) dans les localités d’intervention</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60,8  (MICS 2010)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58%</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52%</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52%</w:t>
            </w:r>
          </w:p>
        </w:tc>
        <w:tc>
          <w:tcPr>
            <w:tcW w:w="425" w:type="dxa"/>
            <w:shd w:val="clear" w:color="auto" w:fill="92D050"/>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Prévalence de la malnutrition chronique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28%</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23%</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26,2%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26,2% </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FF00"/>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Taux de couverture en ARV chez les adultes et enfants infectés par le VIH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30,6% (adulte) en 2014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 (adulte)</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43%</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46 %  (37902/81645)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46%</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77,3% (enfant) en 2014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85% (enfant)</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Taux de prévalence du VIH/SIDA chez les jeunes de 15à 19  ans. </w:t>
            </w:r>
          </w:p>
        </w:tc>
        <w:tc>
          <w:tcPr>
            <w:tcW w:w="113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0,8%</w:t>
            </w:r>
          </w:p>
        </w:tc>
        <w:tc>
          <w:tcPr>
            <w:tcW w:w="113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0,6%</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non disponible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Non disponible</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de prévalence du VIH/SIDA chez les jeunes de 20 à 24  ans</w:t>
            </w:r>
          </w:p>
        </w:tc>
        <w:tc>
          <w:tcPr>
            <w:tcW w:w="113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d’achèvement du primaire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59% (MICS 2010)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48%  (MICS 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46,2% (CPS  Education)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46,2% (CPS  Education) </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de Préscolarisation (taux brut)</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3,6%</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(MICS 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4,4% (RESEN 2016)</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4,4% (RESEN 2016)</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FF00"/>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Taux brut  d’’admission au premier cycle du fondamental pour les Garçons F : 69.2 %)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80,1%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85%</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66,4%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71,5%</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71,5%</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Taux brut d’admission au premier cycle du fondamental pour les Filles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85%</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57,1%</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62%</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62%</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FFFF00"/>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Taux brut scolarisation au primaire des Garçons,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76,40%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76,8%  EMOP 2015 (selon annuaire statistique Enseignement Fondamental 2015: 74,8)</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75,8%</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75,8%</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Taux brut de scolarisation au primaire des Filles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71,1 EMOP 2015 (selon annuaire statistique Enseignement </w:t>
            </w:r>
            <w:r w:rsidRPr="007C76E1">
              <w:rPr>
                <w:rFonts w:ascii="Times New Roman" w:hAnsi="Times New Roman"/>
                <w:sz w:val="20"/>
                <w:szCs w:val="20"/>
              </w:rPr>
              <w:lastRenderedPageBreak/>
              <w:t>Fondamental 2015: 63,4)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lastRenderedPageBreak/>
              <w:t>64,4%</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64,4%</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net de scolarisation au primaire des Garçons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57% (EMOP 2014)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59,2%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61,4 %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61,4 % </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66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68" w:type="dxa"/>
            <w:shd w:val="clear" w:color="auto" w:fill="auto"/>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Taux net de scolarisation au primaire des Filles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53,6% (EMOP 2014)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w:t>
            </w:r>
          </w:p>
        </w:tc>
        <w:tc>
          <w:tcPr>
            <w:tcW w:w="127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55,2%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58,9 % </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58,9 % </w:t>
            </w: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FF0000"/>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Cs/>
          <w:i/>
          <w:sz w:val="20"/>
          <w:szCs w:val="20"/>
        </w:rPr>
      </w:pPr>
      <w:bookmarkStart w:id="55" w:name="_Toc502863812"/>
      <w:bookmarkStart w:id="56" w:name="_Toc502863899"/>
      <w:bookmarkEnd w:id="52"/>
      <w:bookmarkEnd w:id="53"/>
      <w:bookmarkEnd w:id="54"/>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55"/>
      <w:bookmarkEnd w:id="56"/>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bookmarkStart w:id="57" w:name="_Toc502863813"/>
      <w:r w:rsidRPr="007C76E1">
        <w:rPr>
          <w:rFonts w:ascii="Times New Roman" w:hAnsi="Times New Roman"/>
          <w:bCs/>
          <w:sz w:val="20"/>
          <w:szCs w:val="20"/>
        </w:rPr>
        <w:t>Tableau 20 : Contributions du Programme à l’Effet 4</w:t>
      </w:r>
      <w:bookmarkEnd w:id="57"/>
    </w:p>
    <w:tbl>
      <w:tblPr>
        <w:tblpPr w:leftFromText="141" w:rightFromText="141" w:vertAnchor="text" w:horzAnchor="margin" w:tblpXSpec="center" w:tblpY="401"/>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00"/>
        <w:gridCol w:w="10"/>
        <w:gridCol w:w="1134"/>
        <w:gridCol w:w="1134"/>
        <w:gridCol w:w="1321"/>
        <w:gridCol w:w="1088"/>
        <w:gridCol w:w="851"/>
        <w:gridCol w:w="567"/>
        <w:gridCol w:w="425"/>
        <w:gridCol w:w="544"/>
        <w:gridCol w:w="11"/>
      </w:tblGrid>
      <w:tr w:rsidR="007C76E1" w:rsidRPr="007C76E1" w:rsidTr="007C76E1">
        <w:trPr>
          <w:gridAfter w:val="1"/>
          <w:wAfter w:w="11" w:type="dxa"/>
          <w:trHeight w:val="88"/>
        </w:trPr>
        <w:tc>
          <w:tcPr>
            <w:tcW w:w="1526"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Produits</w:t>
            </w:r>
          </w:p>
        </w:tc>
        <w:tc>
          <w:tcPr>
            <w:tcW w:w="4678" w:type="dxa"/>
            <w:gridSpan w:val="4"/>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260"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536"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gridAfter w:val="1"/>
          <w:wAfter w:w="11" w:type="dxa"/>
          <w:trHeight w:val="88"/>
        </w:trPr>
        <w:tc>
          <w:tcPr>
            <w:tcW w:w="1526"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4678" w:type="dxa"/>
            <w:gridSpan w:val="4"/>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260"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536"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gridAfter w:val="1"/>
          <w:wAfter w:w="11" w:type="dxa"/>
          <w:trHeight w:val="88"/>
        </w:trPr>
        <w:tc>
          <w:tcPr>
            <w:tcW w:w="1526"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2400"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144" w:type="dxa"/>
            <w:gridSpan w:val="2"/>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4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526"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4.1 : Les femmes, enfants et jeunes, en particulier les plus vulnérables utilisent un paquet intégré de services de santé de qualité</w:t>
            </w: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4.1.1</w:t>
            </w:r>
            <w:r w:rsidRPr="007C76E1">
              <w:rPr>
                <w:rFonts w:ascii="Times New Roman" w:hAnsi="Times New Roman"/>
                <w:sz w:val="20"/>
                <w:szCs w:val="20"/>
              </w:rPr>
              <w:t xml:space="preserve"> Taux de couverture vaccinale en Penta valent  3 chez les enfants de 12-23 mois (identification district les plus faibles UNICEF/OMS)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74%</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56%</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94%</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104%</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53"/>
        </w:trPr>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4.1.2</w:t>
            </w:r>
            <w:r w:rsidRPr="007C76E1">
              <w:rPr>
                <w:rFonts w:ascii="Times New Roman" w:hAnsi="Times New Roman"/>
                <w:sz w:val="20"/>
                <w:szCs w:val="20"/>
              </w:rPr>
              <w:t xml:space="preserve"> Taux d’utilisation des services curatifs.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0.35 nouveau cas/an/habitant en 2013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0,40 nc/hbt/an</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0,38 nc/hbt/an</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0,40nc/hbt/an</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1250"/>
        </w:trPr>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4.1.3</w:t>
            </w:r>
            <w:r w:rsidRPr="007C76E1">
              <w:rPr>
                <w:rFonts w:ascii="Times New Roman" w:hAnsi="Times New Roman"/>
                <w:sz w:val="20"/>
                <w:szCs w:val="20"/>
              </w:rPr>
              <w:t xml:space="preserve"> % de CSCOM offrant les services de SONUB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14.74%                                                                                                                                 (442/1412)</w:t>
            </w:r>
          </w:p>
          <w:p w:rsidR="007C76E1" w:rsidRPr="007C76E1" w:rsidRDefault="007C76E1" w:rsidP="007C76E1">
            <w:pPr>
              <w:spacing w:after="0" w:line="240" w:lineRule="auto"/>
              <w:rPr>
                <w:rFonts w:ascii="Times New Roman" w:hAnsi="Times New Roman"/>
                <w:sz w:val="20"/>
                <w:szCs w:val="20"/>
              </w:rPr>
            </w:pP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lang w:val="en-US"/>
              </w:rPr>
            </w:pPr>
            <w:r w:rsidRPr="007C76E1">
              <w:rPr>
                <w:rFonts w:ascii="Times New Roman" w:hAnsi="Times New Roman"/>
                <w:sz w:val="20"/>
                <w:szCs w:val="20"/>
                <w:lang w:val="en-US"/>
              </w:rPr>
              <w:t xml:space="preserve">  </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31%</w:t>
            </w:r>
            <w:r w:rsidRPr="007C76E1">
              <w:rPr>
                <w:rFonts w:ascii="Times New Roman" w:hAnsi="Times New Roman"/>
                <w:sz w:val="20"/>
                <w:szCs w:val="20"/>
                <w:lang w:val="en-US"/>
              </w:rPr>
              <w:t xml:space="preserve"> </w:t>
            </w:r>
            <w:r w:rsidRPr="007C76E1">
              <w:rPr>
                <w:rFonts w:ascii="Times New Roman" w:hAnsi="Times New Roman"/>
                <w:sz w:val="20"/>
                <w:szCs w:val="20"/>
              </w:rPr>
              <w:t>(183/1241)</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103%</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4.1.4</w:t>
            </w:r>
            <w:r w:rsidRPr="007C76E1">
              <w:rPr>
                <w:rFonts w:ascii="Times New Roman" w:hAnsi="Times New Roman"/>
                <w:sz w:val="20"/>
                <w:szCs w:val="20"/>
              </w:rPr>
              <w:t xml:space="preserve"> % de besoins non satisfaits en contraception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26 % (2013)</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23%</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30,7%</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133%</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23,3% (Adolescentes)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 (Adolescentes)</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31%</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155%</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4.1.5</w:t>
            </w:r>
            <w:r w:rsidRPr="007C76E1">
              <w:rPr>
                <w:rFonts w:ascii="Times New Roman" w:hAnsi="Times New Roman"/>
                <w:sz w:val="20"/>
                <w:szCs w:val="20"/>
              </w:rPr>
              <w:t xml:space="preserve"> Proportion de services de PF n’ayant pas connu de rupture de stock durant les six derniers mois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57%</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21%</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780"/>
        </w:trPr>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4.1.6</w:t>
            </w:r>
            <w:r w:rsidRPr="007C76E1">
              <w:rPr>
                <w:rFonts w:ascii="Times New Roman" w:hAnsi="Times New Roman"/>
                <w:sz w:val="20"/>
                <w:szCs w:val="20"/>
              </w:rPr>
              <w:t xml:space="preserve"> Taux de rupture de stock de médicament du panier commun</w:t>
            </w:r>
          </w:p>
        </w:tc>
        <w:tc>
          <w:tcPr>
            <w:tcW w:w="113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30,5 %  (2013) </w:t>
            </w:r>
          </w:p>
        </w:tc>
        <w:tc>
          <w:tcPr>
            <w:tcW w:w="113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CSCOM : 65%</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p w:rsidR="007C76E1" w:rsidRPr="007C76E1" w:rsidRDefault="007C76E1" w:rsidP="007C76E1">
            <w:pPr>
              <w:spacing w:after="0" w:line="240" w:lineRule="auto"/>
              <w:rPr>
                <w:rFonts w:ascii="Times New Roman" w:hAnsi="Times New Roman"/>
                <w:sz w:val="20"/>
                <w:szCs w:val="20"/>
              </w:rPr>
            </w:pP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65%</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690"/>
        </w:trPr>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  CSRef. : 67%                              </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67%</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4.1.7</w:t>
            </w:r>
            <w:r w:rsidRPr="007C76E1">
              <w:rPr>
                <w:rFonts w:ascii="Times New Roman" w:hAnsi="Times New Roman"/>
                <w:sz w:val="20"/>
                <w:szCs w:val="20"/>
              </w:rPr>
              <w:t xml:space="preserve"> % de districts ciblés mettant en œuvre la CPS (Chimio prévention du paludisme saisonnier) contre le paludisme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(65/65)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(65/65)</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4.1.8</w:t>
            </w:r>
            <w:r w:rsidRPr="007C76E1">
              <w:rPr>
                <w:rFonts w:ascii="Times New Roman" w:hAnsi="Times New Roman"/>
                <w:sz w:val="20"/>
                <w:szCs w:val="20"/>
              </w:rPr>
              <w:t xml:space="preserve"> % de structures sanitaires assurant la surveillance des facteurs de risque de maladies non transmissibles.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4.1.9</w:t>
            </w:r>
            <w:r w:rsidRPr="007C76E1">
              <w:rPr>
                <w:rFonts w:ascii="Times New Roman" w:hAnsi="Times New Roman"/>
                <w:sz w:val="20"/>
                <w:szCs w:val="20"/>
              </w:rPr>
              <w:t xml:space="preserve"> Taux de couverture en VAR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81 % (2013)</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 (désagrégation F/G)</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87%</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81%</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73%</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4.1.10</w:t>
            </w:r>
            <w:r w:rsidRPr="007C76E1">
              <w:rPr>
                <w:rFonts w:ascii="Times New Roman" w:hAnsi="Times New Roman"/>
                <w:sz w:val="20"/>
                <w:szCs w:val="20"/>
              </w:rPr>
              <w:t xml:space="preserve"> % de structures de santé mettant en œuvre le paquet minimum WASH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4.1.11</w:t>
            </w:r>
            <w:r w:rsidRPr="007C76E1">
              <w:rPr>
                <w:rFonts w:ascii="Times New Roman" w:hAnsi="Times New Roman"/>
                <w:sz w:val="20"/>
                <w:szCs w:val="20"/>
              </w:rPr>
              <w:t xml:space="preserve"> Proportion de la population exposée au ver de Guinée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24,5%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567" w:type="dxa"/>
            <w:shd w:val="clear" w:color="auto" w:fill="92D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96%</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Produit 4.2: Les populations, en particulier les plus vulnérables ont accès à des services de qualité  de prévention et de prise en charge du VIH et du Sida.</w:t>
            </w:r>
          </w:p>
        </w:tc>
        <w:tc>
          <w:tcPr>
            <w:tcW w:w="2410" w:type="dxa"/>
            <w:gridSpan w:val="2"/>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4.2.1</w:t>
            </w:r>
            <w:r w:rsidRPr="007C76E1">
              <w:rPr>
                <w:rFonts w:ascii="Times New Roman" w:hAnsi="Times New Roman"/>
                <w:sz w:val="20"/>
                <w:szCs w:val="20"/>
              </w:rPr>
              <w:t xml:space="preserve"> % de jeunes âgés de 15 à 24 ans connaissant les moyens de prévention de la transmission sexuelle du VIH et qui rejettent les principales idées fausses concernant la transmission du virus.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Homme 33%</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Homme 40%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32%</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32%</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Femme 23.7%</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Femme 33%</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4.2.3</w:t>
            </w:r>
            <w:r w:rsidRPr="007C76E1">
              <w:rPr>
                <w:rFonts w:ascii="Times New Roman" w:hAnsi="Times New Roman"/>
                <w:sz w:val="20"/>
                <w:szCs w:val="20"/>
              </w:rPr>
              <w:t xml:space="preserve"> Taux de couverture en PTME (% de femmes enceintes séropositives attendues et leurs enfants qui reçoivent les ARV pour réduire la transmission mère enfant du VIH).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28,9% (2014)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33%</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46,4%</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46,4%</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29%</w:t>
            </w:r>
          </w:p>
        </w:tc>
      </w:tr>
      <w:tr w:rsidR="007C76E1" w:rsidRPr="007C76E1" w:rsidTr="007C76E1">
        <w:trPr>
          <w:trHeight w:val="496"/>
        </w:trPr>
        <w:tc>
          <w:tcPr>
            <w:tcW w:w="1526"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4.3 Les mères et les enfants, particulièrement les plus vulnérables ou affectées par les crises alimentaire et nutritionnelle, bénéficient d’un paquet complet d’interventions nutritionnelles au niveau des communautés et des services</w:t>
            </w:r>
          </w:p>
        </w:tc>
        <w:tc>
          <w:tcPr>
            <w:tcW w:w="2410" w:type="dxa"/>
            <w:gridSpan w:val="2"/>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4.3.1</w:t>
            </w:r>
            <w:r w:rsidRPr="007C76E1">
              <w:rPr>
                <w:rFonts w:ascii="Times New Roman" w:hAnsi="Times New Roman"/>
                <w:sz w:val="20"/>
                <w:szCs w:val="20"/>
              </w:rPr>
              <w:t xml:space="preserve"> % d’enfants souffrant de la malnutrition pris en charge dans les centres nutritionnels</w:t>
            </w:r>
          </w:p>
        </w:tc>
        <w:tc>
          <w:tcPr>
            <w:tcW w:w="113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57% 2013</w:t>
            </w:r>
          </w:p>
        </w:tc>
        <w:tc>
          <w:tcPr>
            <w:tcW w:w="1134"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MAM: 55% (294766/534022)</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MAM: 61,16% (226419/370220)</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MAM: 61,16% (226419/370220)</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18%</w:t>
            </w:r>
          </w:p>
        </w:tc>
      </w:tr>
      <w:tr w:rsidR="007C76E1" w:rsidRPr="007C76E1" w:rsidTr="007C76E1">
        <w:trPr>
          <w:trHeight w:val="495"/>
        </w:trPr>
        <w:tc>
          <w:tcPr>
            <w:tcW w:w="1526"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113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MAS: 79% (143205/181395)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MAS: 163,68% (168133/102721)</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MAS: 163,68% (168133/102721)</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4.3.2</w:t>
            </w:r>
            <w:r w:rsidRPr="007C76E1">
              <w:rPr>
                <w:rFonts w:ascii="Times New Roman" w:hAnsi="Times New Roman"/>
                <w:sz w:val="20"/>
                <w:szCs w:val="20"/>
              </w:rPr>
              <w:t xml:space="preserve"> prévalence de l’insuffisance pondérale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 (MICS 2015)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4.3.3</w:t>
            </w:r>
            <w:r w:rsidRPr="007C76E1">
              <w:rPr>
                <w:rFonts w:ascii="Times New Roman" w:hAnsi="Times New Roman"/>
                <w:sz w:val="20"/>
                <w:szCs w:val="20"/>
              </w:rPr>
              <w:t xml:space="preserve"> Prévalence de la malnutrition aiguë globale chez les enfants de 6-59 mois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12.7% EDSM V</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 (MICS 2015)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10,7%</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43%</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4.3.4</w:t>
            </w:r>
            <w:r w:rsidRPr="007C76E1">
              <w:rPr>
                <w:rFonts w:ascii="Times New Roman" w:hAnsi="Times New Roman"/>
                <w:sz w:val="20"/>
                <w:szCs w:val="20"/>
              </w:rPr>
              <w:t xml:space="preserve"> Proportion de femme ayant un IMC &lt;18,5]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5,30%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4,10%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8,4 % (SMART 2015)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15,2%</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15,2%</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 xml:space="preserve">Produit 4.4 Les enfants d’âge préscolaires et scolaires et les jeunes, particulièrement les plus vulnérables ont accès à une éducation de base de qualité  </w:t>
            </w: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4.4.1</w:t>
            </w:r>
            <w:r w:rsidRPr="007C76E1">
              <w:rPr>
                <w:rFonts w:ascii="Times New Roman" w:hAnsi="Times New Roman"/>
                <w:sz w:val="20"/>
                <w:szCs w:val="20"/>
              </w:rPr>
              <w:t xml:space="preserve"> Nombre de garçons et de filles non scolarisés et déscolarisés bénéficiant d’opportunités d’intégration dans l’enseignement formel ou d’opportunités d’alphabétisation/formation professionnelle.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1 200,000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600 000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Garçons : 42678</w:t>
            </w:r>
            <w:r w:rsidRPr="007C76E1">
              <w:rPr>
                <w:rFonts w:ascii="Times New Roman" w:hAnsi="Times New Roman"/>
                <w:sz w:val="20"/>
                <w:szCs w:val="20"/>
              </w:rPr>
              <w:br/>
              <w:t>Filles 55881</w:t>
            </w:r>
            <w:r w:rsidRPr="007C76E1">
              <w:rPr>
                <w:rFonts w:ascii="Times New Roman" w:hAnsi="Times New Roman"/>
                <w:sz w:val="20"/>
                <w:szCs w:val="20"/>
              </w:rPr>
              <w:br/>
              <w:t>Total : 98559</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16%</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4.4.2</w:t>
            </w:r>
            <w:r w:rsidRPr="007C76E1">
              <w:rPr>
                <w:rFonts w:ascii="Times New Roman" w:hAnsi="Times New Roman"/>
                <w:sz w:val="20"/>
                <w:szCs w:val="20"/>
              </w:rPr>
              <w:t xml:space="preserve"> Taux de transition primaire secondaire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77% (MICS Mali 2015)</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59,8%</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63%</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63%</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4.4.3</w:t>
            </w:r>
            <w:r w:rsidRPr="007C76E1">
              <w:rPr>
                <w:rFonts w:ascii="Times New Roman" w:hAnsi="Times New Roman"/>
                <w:sz w:val="20"/>
                <w:szCs w:val="20"/>
              </w:rPr>
              <w:t xml:space="preserve"> Nombre/% d’écoles appliquant les normes et les standards d’un enseignement de qualité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 = 900 écoles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 =  2,500 écoles</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4.4.4</w:t>
            </w:r>
            <w:r w:rsidRPr="007C76E1">
              <w:rPr>
                <w:rFonts w:ascii="Times New Roman" w:hAnsi="Times New Roman"/>
                <w:sz w:val="20"/>
                <w:szCs w:val="20"/>
              </w:rPr>
              <w:t xml:space="preserve"> Pourcentage de garçons et de filles affectés par des situations d’urgence bénéficiant d’un accès continu à une éducation de qualité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G/F : N/D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G/F : 100%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Garçons : 70%  (58865/83667)</w:t>
            </w:r>
            <w:r w:rsidRPr="007C76E1">
              <w:rPr>
                <w:rFonts w:ascii="Times New Roman" w:hAnsi="Times New Roman"/>
                <w:sz w:val="20"/>
                <w:szCs w:val="20"/>
              </w:rPr>
              <w:br/>
              <w:t>Filles : 61% (42627/70083)</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65,5%</w:t>
            </w:r>
          </w:p>
        </w:tc>
        <w:tc>
          <w:tcPr>
            <w:tcW w:w="567" w:type="dxa"/>
            <w:shd w:val="clear" w:color="auto" w:fill="92D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87%</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Total : 80%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Total : 66%</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C0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4.5 Les groupes vulnérables (jeunes filles, garçons et femmes) bénéficient de protection et de prise en charge adéquate contre les violences, abus et exploitation</w:t>
            </w: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4.5.1</w:t>
            </w:r>
            <w:r w:rsidRPr="007C76E1">
              <w:rPr>
                <w:rFonts w:ascii="Times New Roman" w:hAnsi="Times New Roman"/>
                <w:sz w:val="20"/>
                <w:szCs w:val="20"/>
              </w:rPr>
              <w:t xml:space="preserve"> Nombre de victimes de viols déclarées prises en charge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626</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Non déterminé</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222</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173</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395</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C0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4.5.2</w:t>
            </w:r>
            <w:r w:rsidRPr="007C76E1">
              <w:rPr>
                <w:rFonts w:ascii="Times New Roman" w:hAnsi="Times New Roman"/>
                <w:sz w:val="20"/>
                <w:szCs w:val="20"/>
              </w:rPr>
              <w:t xml:space="preserve"> Taux d’enregistrement des naissances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81% (MICS 2010)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86%</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87% MICS 2015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87%</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4.5.3</w:t>
            </w:r>
            <w:r w:rsidRPr="007C76E1">
              <w:rPr>
                <w:rFonts w:ascii="Times New Roman" w:hAnsi="Times New Roman"/>
                <w:sz w:val="20"/>
                <w:szCs w:val="20"/>
              </w:rPr>
              <w:t xml:space="preserve"> Proportion des filles  mariées avant 15 /18 ans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Avant 15 ans : 20%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Avant 15 ans : 18%</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17% MICS 2015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17%</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Avant 18ans : 50%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Avant 18ans : 48%</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52% MICS 2015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52%</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C0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4.5.4</w:t>
            </w:r>
            <w:r w:rsidRPr="007C76E1">
              <w:rPr>
                <w:rFonts w:ascii="Times New Roman" w:hAnsi="Times New Roman"/>
                <w:sz w:val="20"/>
                <w:szCs w:val="20"/>
              </w:rPr>
              <w:t> Taux de prévalence des Mutilations Génitales Féminines chez les tranches d’âge (0-14ans ; et 15-49ans)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15-49 ans : 91%</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15-49 ans : 86%</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83% MICS 2015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83% MICS 2015</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0-14ans : 69%</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0-14 ans : 64%</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76% MICS 2015</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76% MICS 2015</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C0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4.5.5</w:t>
            </w:r>
            <w:r w:rsidRPr="007C76E1">
              <w:rPr>
                <w:rFonts w:ascii="Times New Roman" w:hAnsi="Times New Roman"/>
                <w:sz w:val="20"/>
                <w:szCs w:val="20"/>
              </w:rPr>
              <w:t> Nombre de survivant(e)s  de VBG prises en charge médicale, psychosociale, légale (désagrégation par type d’appui)</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3 542</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12 000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7 606</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
                <w:bCs/>
                <w:sz w:val="20"/>
                <w:szCs w:val="20"/>
              </w:rPr>
              <w:t>2164</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81%</w:t>
            </w:r>
          </w:p>
        </w:tc>
        <w:tc>
          <w:tcPr>
            <w:tcW w:w="567" w:type="dxa"/>
            <w:shd w:val="clear" w:color="auto" w:fill="92D050"/>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Médicale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4604</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324</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4928</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Psychosociale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1207</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1709</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2916</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Aide légale : 31</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Aide légale : AD</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195 </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281</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476</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Moyens de subsistance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90 </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90 </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Hébergement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36</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43</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79</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Sureté et Sécurité : AD</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4.5.6</w:t>
            </w:r>
            <w:r w:rsidRPr="007C76E1">
              <w:rPr>
                <w:rFonts w:ascii="Times New Roman" w:hAnsi="Times New Roman"/>
                <w:sz w:val="20"/>
                <w:szCs w:val="20"/>
              </w:rPr>
              <w:t xml:space="preserve"> Nombre de législation spécifique adoptée sur les VBG</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4.6: Les groupes vulnérables bénéficient de services de protection sociale adéquate</w:t>
            </w: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4.6.1</w:t>
            </w:r>
            <w:r w:rsidRPr="007C76E1">
              <w:rPr>
                <w:rFonts w:ascii="Times New Roman" w:hAnsi="Times New Roman"/>
                <w:sz w:val="20"/>
                <w:szCs w:val="20"/>
              </w:rPr>
              <w:t> : Existence d’un cadre politique et juridique de protection sociale réformé (Non /Oui)</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Cadre politique et juridique non réformé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Disponibilité d’un cadre politique et juridique réformé</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Non</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Oui </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OUI</w:t>
            </w:r>
          </w:p>
        </w:tc>
        <w:tc>
          <w:tcPr>
            <w:tcW w:w="567"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4.6.2</w:t>
            </w:r>
            <w:r w:rsidRPr="007C76E1">
              <w:rPr>
                <w:rFonts w:ascii="Times New Roman" w:hAnsi="Times New Roman"/>
                <w:sz w:val="20"/>
                <w:szCs w:val="20"/>
              </w:rPr>
              <w:t xml:space="preserve"> Pourcentage de la population couverte par les mutuelles de santé</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 2012</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526"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410" w:type="dxa"/>
            <w:gridSpan w:val="2"/>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4.6.3</w:t>
            </w:r>
            <w:r w:rsidRPr="007C76E1">
              <w:rPr>
                <w:rFonts w:ascii="Times New Roman" w:hAnsi="Times New Roman"/>
                <w:sz w:val="20"/>
                <w:szCs w:val="20"/>
              </w:rPr>
              <w:t> Nombre de ménages vulnérables bénéficiant d’un transfert monétaire</w:t>
            </w: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sz w:val="20"/>
                <w:szCs w:val="20"/>
              </w:rPr>
            </w:pP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4761</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122 000</w:t>
            </w:r>
          </w:p>
        </w:tc>
        <w:tc>
          <w:tcPr>
            <w:tcW w:w="132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861</w:t>
            </w:r>
          </w:p>
        </w:tc>
        <w:tc>
          <w:tcPr>
            <w:tcW w:w="108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17 393</w:t>
            </w:r>
          </w:p>
        </w:tc>
        <w:tc>
          <w:tcPr>
            <w:tcW w:w="85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w:t>
            </w:r>
          </w:p>
        </w:tc>
        <w:tc>
          <w:tcPr>
            <w:tcW w:w="567"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55" w:type="dxa"/>
            <w:gridSpan w:val="2"/>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Cs/>
          <w:i/>
          <w:sz w:val="20"/>
          <w:szCs w:val="20"/>
        </w:rPr>
      </w:pPr>
      <w:bookmarkStart w:id="58" w:name="_Toc502863814"/>
      <w:bookmarkStart w:id="59" w:name="_Toc502863901"/>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58"/>
      <w:bookmarkEnd w:id="59"/>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bCs/>
          <w:sz w:val="20"/>
          <w:szCs w:val="20"/>
        </w:rPr>
      </w:pPr>
      <w:bookmarkStart w:id="60" w:name="_Toc502863816"/>
      <w:r w:rsidRPr="007C76E1">
        <w:rPr>
          <w:rFonts w:ascii="Times New Roman" w:hAnsi="Times New Roman"/>
          <w:bCs/>
          <w:sz w:val="20"/>
          <w:szCs w:val="20"/>
        </w:rPr>
        <w:t>Tableau 21 : Performances-Pays en rapport avec l’Effet 5</w:t>
      </w:r>
      <w:bookmarkEnd w:id="60"/>
    </w:p>
    <w:tbl>
      <w:tblPr>
        <w:tblpPr w:leftFromText="141" w:rightFromText="141" w:vertAnchor="text" w:horzAnchor="margin" w:tblpXSpec="center" w:tblpY="40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34"/>
        <w:gridCol w:w="1134"/>
        <w:gridCol w:w="1134"/>
        <w:gridCol w:w="861"/>
        <w:gridCol w:w="862"/>
        <w:gridCol w:w="862"/>
        <w:gridCol w:w="993"/>
        <w:gridCol w:w="425"/>
        <w:gridCol w:w="425"/>
        <w:gridCol w:w="533"/>
      </w:tblGrid>
      <w:tr w:rsidR="007C76E1" w:rsidRPr="007C76E1" w:rsidTr="007C76E1">
        <w:trPr>
          <w:trHeight w:val="88"/>
        </w:trPr>
        <w:tc>
          <w:tcPr>
            <w:tcW w:w="1702"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w:t>
            </w:r>
          </w:p>
        </w:tc>
        <w:tc>
          <w:tcPr>
            <w:tcW w:w="45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578" w:type="dxa"/>
            <w:gridSpan w:val="4"/>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383"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trHeight w:val="88"/>
        </w:trPr>
        <w:tc>
          <w:tcPr>
            <w:tcW w:w="17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4502"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578" w:type="dxa"/>
            <w:gridSpan w:val="4"/>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383"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trHeight w:val="88"/>
        </w:trPr>
        <w:tc>
          <w:tcPr>
            <w:tcW w:w="1702"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2234"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86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2017</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702"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Les populations défavorisées particulièrement les femmes et les jeunes, bénéficient de capacités et d’opportunités productives accrues, dans un environnement sain et durable, favorable à la réduction de la pauvreté.</w:t>
            </w:r>
          </w:p>
        </w:tc>
        <w:tc>
          <w:tcPr>
            <w:tcW w:w="22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d’insécurité alimentaire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24,4%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w:t>
            </w:r>
          </w:p>
        </w:tc>
        <w:tc>
          <w:tcPr>
            <w:tcW w:w="86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21%</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22%</w:t>
            </w: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22%</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33" w:type="dxa"/>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53"/>
        </w:trPr>
        <w:tc>
          <w:tcPr>
            <w:tcW w:w="1702"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de chômage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10% (population en âge de travailler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86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9,6%</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10,6%</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10,6%</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33" w:type="dxa"/>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02"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de croissance économique</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1,7% (2013)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w:t>
            </w:r>
          </w:p>
        </w:tc>
        <w:tc>
          <w:tcPr>
            <w:tcW w:w="86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5,3%</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5,3%</w:t>
            </w:r>
          </w:p>
        </w:tc>
        <w:tc>
          <w:tcPr>
            <w:tcW w:w="425" w:type="dxa"/>
            <w:shd w:val="clear" w:color="auto" w:fill="92D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75%</w:t>
            </w: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3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02"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2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de pauvreté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43,6%   </w:t>
            </w:r>
          </w:p>
        </w:tc>
        <w:tc>
          <w:tcPr>
            <w:tcW w:w="113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21%</w:t>
            </w:r>
          </w:p>
        </w:tc>
        <w:tc>
          <w:tcPr>
            <w:tcW w:w="861"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47,10%</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862"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993"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42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33" w:type="dxa"/>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bl>
    <w:p w:rsidR="007C76E1" w:rsidRPr="007C76E1" w:rsidRDefault="007C76E1" w:rsidP="007C76E1">
      <w:pPr>
        <w:spacing w:after="0" w:line="240" w:lineRule="auto"/>
        <w:rPr>
          <w:rFonts w:ascii="Times New Roman" w:hAnsi="Times New Roman"/>
          <w:bCs/>
          <w:i/>
          <w:sz w:val="20"/>
          <w:szCs w:val="20"/>
          <w:u w:val="single"/>
        </w:rPr>
      </w:pPr>
    </w:p>
    <w:p w:rsidR="007C76E1" w:rsidRPr="007C76E1" w:rsidRDefault="007C76E1" w:rsidP="007C76E1">
      <w:pPr>
        <w:spacing w:after="0" w:line="240" w:lineRule="auto"/>
        <w:rPr>
          <w:rFonts w:ascii="Times New Roman" w:hAnsi="Times New Roman"/>
          <w:bCs/>
          <w:i/>
          <w:sz w:val="20"/>
          <w:szCs w:val="20"/>
        </w:rPr>
      </w:pPr>
      <w:bookmarkStart w:id="61" w:name="_Toc502863817"/>
      <w:bookmarkStart w:id="62" w:name="_Toc502863904"/>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61"/>
      <w:bookmarkEnd w:id="62"/>
    </w:p>
    <w:p w:rsidR="007C76E1" w:rsidRPr="007C76E1" w:rsidRDefault="007C76E1" w:rsidP="007C76E1">
      <w:pPr>
        <w:spacing w:after="0" w:line="240" w:lineRule="auto"/>
        <w:rPr>
          <w:rFonts w:ascii="Times New Roman" w:hAnsi="Times New Roman"/>
          <w:sz w:val="20"/>
          <w:szCs w:val="20"/>
        </w:rPr>
      </w:pPr>
    </w:p>
    <w:p w:rsidR="007C76E1" w:rsidRPr="007C76E1" w:rsidRDefault="007C76E1" w:rsidP="007C76E1">
      <w:pPr>
        <w:spacing w:after="0" w:line="240" w:lineRule="auto"/>
        <w:rPr>
          <w:rFonts w:ascii="Times New Roman" w:hAnsi="Times New Roman"/>
          <w:bCs/>
          <w:sz w:val="20"/>
          <w:szCs w:val="20"/>
        </w:rPr>
      </w:pPr>
      <w:bookmarkStart w:id="63" w:name="_Toc502863818"/>
      <w:r w:rsidRPr="007C76E1">
        <w:rPr>
          <w:rFonts w:ascii="Times New Roman" w:hAnsi="Times New Roman"/>
          <w:bCs/>
          <w:sz w:val="20"/>
          <w:szCs w:val="20"/>
        </w:rPr>
        <w:t>Tableau 22 : Contributions du Programme à l’Effet 5</w:t>
      </w:r>
      <w:bookmarkEnd w:id="63"/>
    </w:p>
    <w:tbl>
      <w:tblPr>
        <w:tblpPr w:leftFromText="141" w:rightFromText="141" w:vertAnchor="text" w:horzAnchor="margin" w:tblpXSpec="center" w:tblpY="401"/>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490"/>
        <w:gridCol w:w="1199"/>
        <w:gridCol w:w="1083"/>
        <w:gridCol w:w="981"/>
        <w:gridCol w:w="1022"/>
        <w:gridCol w:w="973"/>
        <w:gridCol w:w="683"/>
        <w:gridCol w:w="494"/>
        <w:gridCol w:w="509"/>
      </w:tblGrid>
      <w:tr w:rsidR="007C76E1" w:rsidRPr="007C76E1" w:rsidTr="007C76E1">
        <w:trPr>
          <w:trHeight w:val="88"/>
        </w:trPr>
        <w:tc>
          <w:tcPr>
            <w:tcW w:w="1763" w:type="dxa"/>
            <w:vMerge w:val="restart"/>
            <w:shd w:val="clear" w:color="auto" w:fill="auto"/>
            <w:vAlign w:val="center"/>
          </w:tcPr>
          <w:p w:rsidR="007C76E1" w:rsidRPr="007C76E1" w:rsidRDefault="007C76E1" w:rsidP="007C76E1">
            <w:pPr>
              <w:spacing w:after="0" w:line="240" w:lineRule="auto"/>
              <w:rPr>
                <w:rFonts w:ascii="Times New Roman" w:hAnsi="Times New Roman"/>
                <w:bCs/>
                <w:sz w:val="20"/>
                <w:szCs w:val="20"/>
              </w:rPr>
            </w:pPr>
            <w:r w:rsidRPr="007C76E1">
              <w:rPr>
                <w:rFonts w:ascii="Times New Roman" w:hAnsi="Times New Roman"/>
                <w:bCs/>
                <w:sz w:val="20"/>
                <w:szCs w:val="20"/>
              </w:rPr>
              <w:t>Produits</w:t>
            </w:r>
          </w:p>
        </w:tc>
        <w:tc>
          <w:tcPr>
            <w:tcW w:w="4816"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tc>
        <w:tc>
          <w:tcPr>
            <w:tcW w:w="302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tc>
        <w:tc>
          <w:tcPr>
            <w:tcW w:w="154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Evaluation</w:t>
            </w:r>
          </w:p>
        </w:tc>
      </w:tr>
      <w:tr w:rsidR="007C76E1" w:rsidRPr="007C76E1" w:rsidTr="007C76E1">
        <w:trPr>
          <w:trHeight w:val="88"/>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4816"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Repères programmatiques</w:t>
            </w:r>
          </w:p>
        </w:tc>
        <w:tc>
          <w:tcPr>
            <w:tcW w:w="3027"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Réalisations</w:t>
            </w:r>
          </w:p>
        </w:tc>
        <w:tc>
          <w:tcPr>
            <w:tcW w:w="1544" w:type="dxa"/>
            <w:gridSpan w:val="3"/>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Rating</w:t>
            </w:r>
          </w:p>
        </w:tc>
      </w:tr>
      <w:tr w:rsidR="007C76E1" w:rsidRPr="007C76E1" w:rsidTr="007C76E1">
        <w:trPr>
          <w:trHeight w:val="88"/>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bCs/>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b/>
                <w:bCs/>
                <w:sz w:val="20"/>
                <w:szCs w:val="20"/>
              </w:rPr>
            </w:pPr>
            <w:r w:rsidRPr="007C76E1">
              <w:rPr>
                <w:rFonts w:ascii="Times New Roman" w:hAnsi="Times New Roman"/>
                <w:b/>
                <w:bCs/>
                <w:sz w:val="20"/>
                <w:szCs w:val="20"/>
              </w:rPr>
              <w:t>Indicateurs</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Références</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b/>
                <w:sz w:val="20"/>
                <w:szCs w:val="20"/>
              </w:rPr>
            </w:pPr>
            <w:r w:rsidRPr="007C76E1">
              <w:rPr>
                <w:rFonts w:ascii="Times New Roman" w:hAnsi="Times New Roman"/>
                <w:b/>
                <w:sz w:val="20"/>
                <w:szCs w:val="20"/>
              </w:rPr>
              <w:t>Cibles</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2016</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2015-16</w:t>
            </w: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M</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F-N</w:t>
            </w:r>
          </w:p>
        </w:tc>
      </w:tr>
      <w:tr w:rsidR="007C76E1" w:rsidRPr="007C76E1" w:rsidTr="007C76E1">
        <w:trPr>
          <w:trHeight w:val="88"/>
        </w:trPr>
        <w:tc>
          <w:tcPr>
            <w:tcW w:w="176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5.1 : Les populations défavorisées et les exploitations familiales bénéficient de compétences techniques, de moyens et d’activités génératrices de revenus pour améliorer la sécurité alimentaire et nutritionnelle.</w:t>
            </w: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5.1.1</w:t>
            </w:r>
            <w:r w:rsidRPr="007C76E1">
              <w:rPr>
                <w:rFonts w:ascii="Times New Roman" w:hAnsi="Times New Roman"/>
                <w:sz w:val="20"/>
                <w:szCs w:val="20"/>
              </w:rPr>
              <w:t xml:space="preserve"> Nombre de femmes et d’enfants ayant bénéficié d’assistance alimentaire par rapport à la population totale affectée par l’insécurité alimentaire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1,23 millions (2013) </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600 000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549 681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360 899</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360 899</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5.1.2</w:t>
            </w:r>
            <w:r w:rsidRPr="007C76E1">
              <w:rPr>
                <w:rFonts w:ascii="Times New Roman" w:hAnsi="Times New Roman"/>
                <w:sz w:val="20"/>
                <w:szCs w:val="20"/>
              </w:rPr>
              <w:t xml:space="preserve"> Nombre de bénéficiaires de projets d’AGR opérationnalisés dans les zones affectées par l’insécurité alimentaire et nutritionnelle</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5 331 </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10 000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63 204</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84074</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147 378</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5.2 : Les structures étatiques, le secteur privé, la diaspora et la société civile disposent de compétences techniques et de moyens pour améliorer les capacités productives et commerciales pour impulser une croissance verte et inclusive.</w:t>
            </w: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5.2.1</w:t>
            </w:r>
            <w:r w:rsidRPr="007C76E1">
              <w:rPr>
                <w:rFonts w:ascii="Times New Roman" w:hAnsi="Times New Roman"/>
                <w:sz w:val="20"/>
                <w:szCs w:val="20"/>
              </w:rPr>
              <w:t xml:space="preserve"> Une instance nationale (CSSP, CPI) de pilotage du dialogue public -privé opérationnalisée</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5.2.2</w:t>
            </w:r>
            <w:r w:rsidRPr="007C76E1">
              <w:rPr>
                <w:rFonts w:ascii="Times New Roman" w:hAnsi="Times New Roman"/>
                <w:sz w:val="20"/>
                <w:szCs w:val="20"/>
              </w:rPr>
              <w:t xml:space="preserve"> Nombre de réformes de l’environnement des affaires appuyées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tc>
        <w:tc>
          <w:tcPr>
            <w:tcW w:w="514" w:type="dxa"/>
            <w:shd w:val="clear" w:color="auto" w:fill="92D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60%</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5.2.3</w:t>
            </w:r>
            <w:r w:rsidRPr="007C76E1">
              <w:rPr>
                <w:rFonts w:ascii="Times New Roman" w:hAnsi="Times New Roman"/>
                <w:sz w:val="20"/>
                <w:szCs w:val="20"/>
              </w:rPr>
              <w:t xml:space="preserve"> La stratégie de croissance accélérée opérationnalisée</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AD</w:t>
            </w: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5.2.4</w:t>
            </w:r>
            <w:r w:rsidRPr="007C76E1">
              <w:rPr>
                <w:rFonts w:ascii="Times New Roman" w:hAnsi="Times New Roman"/>
                <w:sz w:val="20"/>
                <w:szCs w:val="20"/>
              </w:rPr>
              <w:t xml:space="preserve"> Nombre de structures publiques-privés ayant développé des plans en vue d’une croissance verte et inclusive</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514" w:type="dxa"/>
            <w:shd w:val="clear" w:color="auto" w:fill="92D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67%</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5.2.5</w:t>
            </w:r>
            <w:r w:rsidRPr="007C76E1">
              <w:rPr>
                <w:rFonts w:ascii="Times New Roman" w:hAnsi="Times New Roman"/>
                <w:sz w:val="20"/>
                <w:szCs w:val="20"/>
              </w:rPr>
              <w:t xml:space="preserve"> Nombre de chaînes de valeur dans l’agroalimentaire développées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16</w:t>
            </w: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5.2.6</w:t>
            </w:r>
            <w:r w:rsidRPr="007C76E1">
              <w:rPr>
                <w:rFonts w:ascii="Times New Roman" w:hAnsi="Times New Roman"/>
                <w:sz w:val="20"/>
                <w:szCs w:val="20"/>
              </w:rPr>
              <w:t xml:space="preserve"> Volume d’exportations des produits non traditionnels (y inclus mangue, karité)</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24,697 T/mangues (2013)</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35 000 T mangues</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38 800 Tonnes</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43 854 Tonnes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82654 Tonnes </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236%</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5.3 : La mise en œuvre des politiques nationales de création d’emplois et d’entreprenariat féminin favorise une meilleure insertion socio-économique des jeunes et des femmes</w:t>
            </w: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5.3.1</w:t>
            </w:r>
            <w:r w:rsidRPr="007C76E1">
              <w:rPr>
                <w:rFonts w:ascii="Times New Roman" w:hAnsi="Times New Roman"/>
                <w:sz w:val="20"/>
                <w:szCs w:val="20"/>
              </w:rPr>
              <w:t xml:space="preserve"> Nombre d’emplois générés pour les jeunes et les femmes dans les zones affectées par la crise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1900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22 889 </w:t>
            </w:r>
            <w:r w:rsidRPr="007C76E1">
              <w:rPr>
                <w:rFonts w:ascii="Times New Roman" w:hAnsi="Times New Roman"/>
                <w:sz w:val="20"/>
                <w:szCs w:val="20"/>
              </w:rPr>
              <w:br/>
              <w:t>( 12000 emplois pour les femmes) ;</w:t>
            </w:r>
            <w:r w:rsidRPr="007C76E1">
              <w:rPr>
                <w:rFonts w:ascii="Times New Roman" w:hAnsi="Times New Roman"/>
                <w:sz w:val="20"/>
                <w:szCs w:val="20"/>
              </w:rPr>
              <w:br/>
              <w:t xml:space="preserve"> 10500 pour les jeunes</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945%</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5.3.2</w:t>
            </w:r>
            <w:r w:rsidRPr="007C76E1">
              <w:rPr>
                <w:rFonts w:ascii="Times New Roman" w:hAnsi="Times New Roman"/>
                <w:sz w:val="20"/>
                <w:szCs w:val="20"/>
              </w:rPr>
              <w:t xml:space="preserve"> Nombre de femmes et de jeunes ayant bénéficié de l’appui financier des Structures de financements décentralisés (SFD)</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 déterminer</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3660 femmes 144h</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1954 personnes dont 1810 femmes</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5614</w:t>
            </w: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88"/>
        </w:trPr>
        <w:tc>
          <w:tcPr>
            <w:tcW w:w="176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5.4 : Les populations vulnérables bénéficient d’un meilleur cadre de vie à travers un accès durable à l’eau et un assainissement adéquat</w:t>
            </w:r>
          </w:p>
        </w:tc>
        <w:tc>
          <w:tcPr>
            <w:tcW w:w="2598"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5.4.1</w:t>
            </w:r>
            <w:r w:rsidRPr="007C76E1">
              <w:rPr>
                <w:rFonts w:ascii="Times New Roman" w:hAnsi="Times New Roman"/>
                <w:sz w:val="20"/>
                <w:szCs w:val="20"/>
              </w:rPr>
              <w:t xml:space="preserve"> Pourcentage de la population ayant accès à une source d’eau améliorée </w:t>
            </w:r>
          </w:p>
        </w:tc>
        <w:tc>
          <w:tcPr>
            <w:tcW w:w="1210"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67%</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82% urbain/</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97 %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97 %</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118%</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rPr>
          <w:trHeight w:val="53"/>
        </w:trPr>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1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rural à déterminer</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64 %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64 %</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95%</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5.4.2</w:t>
            </w:r>
            <w:r w:rsidRPr="007C76E1">
              <w:rPr>
                <w:rFonts w:ascii="Times New Roman" w:hAnsi="Times New Roman"/>
                <w:sz w:val="20"/>
                <w:szCs w:val="20"/>
              </w:rPr>
              <w:t xml:space="preserve"> Pourcentage de la population ayant accès à des infrastructures sanitaires améliorées</w:t>
            </w:r>
          </w:p>
        </w:tc>
        <w:tc>
          <w:tcPr>
            <w:tcW w:w="1210"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22%</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40% urbain</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53%</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53%</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132%</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210"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rural à déterminer</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28%</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28%</w:t>
            </w: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5.4.3</w:t>
            </w:r>
            <w:r w:rsidRPr="007C76E1">
              <w:rPr>
                <w:rFonts w:ascii="Times New Roman" w:hAnsi="Times New Roman"/>
                <w:sz w:val="20"/>
                <w:szCs w:val="20"/>
              </w:rPr>
              <w:t xml:space="preserve"> Pourcentage de la population ayant recours à la défécation à l’air libre</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 (2013)</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7,50%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7,50%</w:t>
            </w:r>
          </w:p>
        </w:tc>
        <w:tc>
          <w:tcPr>
            <w:tcW w:w="514" w:type="dxa"/>
            <w:shd w:val="clear" w:color="auto" w:fill="92D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69%</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 xml:space="preserve">Indicateur 5.4.4 </w:t>
            </w:r>
            <w:r w:rsidRPr="007C76E1">
              <w:rPr>
                <w:rFonts w:ascii="Times New Roman" w:hAnsi="Times New Roman"/>
                <w:sz w:val="20"/>
                <w:szCs w:val="20"/>
              </w:rPr>
              <w:t xml:space="preserve"> % de collecte et de traitement des déchets solides pour Bamako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45% (2006) </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1900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22 889 </w:t>
            </w:r>
            <w:r w:rsidRPr="007C76E1">
              <w:rPr>
                <w:rFonts w:ascii="Times New Roman" w:hAnsi="Times New Roman"/>
                <w:sz w:val="20"/>
                <w:szCs w:val="20"/>
              </w:rPr>
              <w:br/>
              <w:t xml:space="preserve"> (12000 emplois pour les femmes ;</w:t>
            </w:r>
            <w:r w:rsidRPr="007C76E1">
              <w:rPr>
                <w:rFonts w:ascii="Times New Roman" w:hAnsi="Times New Roman"/>
                <w:sz w:val="20"/>
                <w:szCs w:val="20"/>
              </w:rPr>
              <w:br/>
              <w:t xml:space="preserve"> 10500 pour les jeunes)</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5.4.5</w:t>
            </w:r>
            <w:r w:rsidRPr="007C76E1">
              <w:rPr>
                <w:rFonts w:ascii="Times New Roman" w:hAnsi="Times New Roman"/>
                <w:sz w:val="20"/>
                <w:szCs w:val="20"/>
              </w:rPr>
              <w:t xml:space="preserve"> % de ménages à Bamako  disposant d’un contenant pour les déchets solides</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  (2006) </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3660 femmes 144h</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1954 personnes dont 1810 femmes</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5.4.6</w:t>
            </w:r>
            <w:r w:rsidRPr="007C76E1">
              <w:rPr>
                <w:rFonts w:ascii="Times New Roman" w:hAnsi="Times New Roman"/>
                <w:sz w:val="20"/>
                <w:szCs w:val="20"/>
              </w:rPr>
              <w:t xml:space="preserve">  % de ménages disposant d’un contenant pour les déchets solides dans les régions de Gao, Tombouctou et Kidal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97 %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97 %</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242%</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5.5 : La résilience des populations face aux changements climatiques est renforcée par la mise en œuvre des politiques de promotion de l’utilisation accrue des énergies nouvelles et renouvelables, l’efficacité énergétique par des mesures d’adaptation aux changements climatiques et de réduction des risques de catastrophes</w:t>
            </w: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5.5.1</w:t>
            </w:r>
            <w:r w:rsidRPr="007C76E1">
              <w:rPr>
                <w:rFonts w:ascii="Times New Roman" w:hAnsi="Times New Roman"/>
                <w:sz w:val="20"/>
                <w:szCs w:val="20"/>
              </w:rPr>
              <w:t xml:space="preserve"> % des énergies renouvelables utilisées dans la consommation nationale d’énergie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 (2009) </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5.5.2</w:t>
            </w:r>
            <w:r w:rsidRPr="007C76E1">
              <w:rPr>
                <w:rFonts w:ascii="Times New Roman" w:hAnsi="Times New Roman"/>
                <w:sz w:val="20"/>
                <w:szCs w:val="20"/>
              </w:rPr>
              <w:t xml:space="preserve"> Nombre de villages bénéficiaires de technologies d’énergie solaire</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(2011) </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200</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5.5.3</w:t>
            </w:r>
            <w:r w:rsidRPr="007C76E1">
              <w:rPr>
                <w:rFonts w:ascii="Times New Roman" w:hAnsi="Times New Roman"/>
                <w:sz w:val="20"/>
                <w:szCs w:val="20"/>
              </w:rPr>
              <w:t xml:space="preserve"> % des producteurs agricoles utilisant des variétés adaptées aux changements climatiques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 (2014),</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35%</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228%</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5.5.4</w:t>
            </w:r>
            <w:r w:rsidRPr="007C76E1">
              <w:rPr>
                <w:rFonts w:ascii="Times New Roman" w:hAnsi="Times New Roman"/>
                <w:sz w:val="20"/>
                <w:szCs w:val="20"/>
              </w:rPr>
              <w:t xml:space="preserve"> % producteurs agricoles utilisant des techniques de maîtrise et de gestion d’eau et/ou des techniques de gestion durable des terres.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400%</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5.5.5</w:t>
            </w:r>
            <w:r w:rsidRPr="007C76E1">
              <w:rPr>
                <w:rFonts w:ascii="Times New Roman" w:hAnsi="Times New Roman"/>
                <w:sz w:val="20"/>
                <w:szCs w:val="20"/>
              </w:rPr>
              <w:t xml:space="preserve"> La plateforme de gestion des catastrophes opérationnalisée</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5.5.6</w:t>
            </w:r>
            <w:r w:rsidRPr="007C76E1">
              <w:rPr>
                <w:rFonts w:ascii="Times New Roman" w:hAnsi="Times New Roman"/>
                <w:sz w:val="20"/>
                <w:szCs w:val="20"/>
              </w:rPr>
              <w:t xml:space="preserve"> Nombre de politiques et plans sectoriels ayant intégré la Réduction des Risques de Catastrophes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w:t>
            </w: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5.5.7</w:t>
            </w:r>
            <w:r w:rsidRPr="007C76E1">
              <w:rPr>
                <w:rFonts w:ascii="Times New Roman" w:hAnsi="Times New Roman"/>
                <w:sz w:val="20"/>
                <w:szCs w:val="20"/>
              </w:rPr>
              <w:t xml:space="preserve"> Nombre de comités communaux et locaux de RRC mis en place et opérationnels</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w:t>
            </w: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FF0000"/>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val="restart"/>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Produit 5.6 : Les populations et les autres acteurs affectés par la désertification et la déforestation bénéficient de capacités accrues pour gérer de manière durable les ressources naturelles et protéger la biodiversité et les écosystèmes</w:t>
            </w: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5.6.1</w:t>
            </w:r>
            <w:r w:rsidRPr="007C76E1">
              <w:rPr>
                <w:rFonts w:ascii="Times New Roman" w:hAnsi="Times New Roman"/>
                <w:sz w:val="20"/>
                <w:szCs w:val="20"/>
              </w:rPr>
              <w:t xml:space="preserve"> Superficie des aires protégées </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100 000 ha en 2010 </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131 220 ha</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100 000 ha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100 000 ha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100 000 ha </w:t>
            </w:r>
          </w:p>
        </w:tc>
        <w:tc>
          <w:tcPr>
            <w:tcW w:w="514" w:type="dxa"/>
            <w:shd w:val="clear" w:color="auto" w:fill="92D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76%</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5.6.2</w:t>
            </w:r>
            <w:r w:rsidRPr="007C76E1">
              <w:rPr>
                <w:rFonts w:ascii="Times New Roman" w:hAnsi="Times New Roman"/>
                <w:sz w:val="20"/>
                <w:szCs w:val="20"/>
              </w:rPr>
              <w:t xml:space="preserve"> Bilan des émissions/absorptions de gaz à effet de serre dans le secteur du changement d’affectation des terres et de la foresterie (Giga grammes de CO2)</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-42 318</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-65 646</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–216152 KTéq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xml:space="preserve">–216152 KTéq </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4" w:type="dxa"/>
            <w:shd w:val="clear" w:color="auto" w:fill="00B05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329%</w:t>
            </w: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r>
      <w:tr w:rsidR="007C76E1" w:rsidRPr="007C76E1" w:rsidTr="007C76E1">
        <w:tc>
          <w:tcPr>
            <w:tcW w:w="1763" w:type="dxa"/>
            <w:vMerge/>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259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bCs/>
                <w:sz w:val="20"/>
                <w:szCs w:val="20"/>
              </w:rPr>
              <w:t>Indicateur 5.6.3</w:t>
            </w:r>
            <w:r w:rsidRPr="007C76E1">
              <w:rPr>
                <w:rFonts w:ascii="Times New Roman" w:hAnsi="Times New Roman"/>
                <w:sz w:val="20"/>
                <w:szCs w:val="20"/>
              </w:rPr>
              <w:t xml:space="preserve"> Nombre de projets mis en œuvre à travers le Fonds Climat Mali</w:t>
            </w:r>
          </w:p>
        </w:tc>
        <w:tc>
          <w:tcPr>
            <w:tcW w:w="1210"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w:t>
            </w:r>
          </w:p>
        </w:tc>
        <w:tc>
          <w:tcPr>
            <w:tcW w:w="1008"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0</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1009"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w:t>
            </w:r>
          </w:p>
        </w:tc>
        <w:tc>
          <w:tcPr>
            <w:tcW w:w="514"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auto"/>
            <w:vAlign w:val="center"/>
          </w:tcPr>
          <w:p w:rsidR="007C76E1" w:rsidRPr="007C76E1" w:rsidRDefault="007C76E1" w:rsidP="007C76E1">
            <w:pPr>
              <w:spacing w:after="0" w:line="240" w:lineRule="auto"/>
              <w:rPr>
                <w:rFonts w:ascii="Times New Roman" w:hAnsi="Times New Roman"/>
                <w:sz w:val="20"/>
                <w:szCs w:val="20"/>
              </w:rPr>
            </w:pPr>
          </w:p>
        </w:tc>
        <w:tc>
          <w:tcPr>
            <w:tcW w:w="515" w:type="dxa"/>
            <w:shd w:val="clear" w:color="auto" w:fill="FF0000"/>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w:t>
            </w:r>
          </w:p>
        </w:tc>
      </w:tr>
    </w:tbl>
    <w:p w:rsidR="007C76E1" w:rsidRPr="007C76E1" w:rsidRDefault="007C76E1" w:rsidP="007C76E1">
      <w:pPr>
        <w:spacing w:after="0" w:line="240" w:lineRule="auto"/>
        <w:rPr>
          <w:rFonts w:ascii="Times New Roman" w:hAnsi="Times New Roman"/>
          <w:bCs/>
          <w:i/>
          <w:sz w:val="20"/>
          <w:szCs w:val="20"/>
        </w:rPr>
      </w:pPr>
      <w:bookmarkStart w:id="64" w:name="_Toc502863819"/>
      <w:bookmarkStart w:id="65" w:name="_Toc502863906"/>
      <w:r w:rsidRPr="007C76E1">
        <w:rPr>
          <w:rFonts w:ascii="Times New Roman" w:hAnsi="Times New Roman"/>
          <w:bCs/>
          <w:i/>
          <w:sz w:val="20"/>
          <w:szCs w:val="20"/>
          <w:u w:val="single"/>
        </w:rPr>
        <w:t>Source</w:t>
      </w:r>
      <w:r w:rsidRPr="007C76E1">
        <w:rPr>
          <w:rFonts w:ascii="Times New Roman" w:hAnsi="Times New Roman"/>
          <w:bCs/>
          <w:i/>
          <w:sz w:val="20"/>
          <w:szCs w:val="20"/>
        </w:rPr>
        <w:t> : Rapports annuels de progrès UNDAF 2015-2016</w:t>
      </w:r>
      <w:bookmarkEnd w:id="64"/>
      <w:bookmarkEnd w:id="65"/>
    </w:p>
    <w:p w:rsidR="007C76E1" w:rsidRPr="007C76E1" w:rsidRDefault="007C76E1" w:rsidP="007C76E1">
      <w:pPr>
        <w:spacing w:after="0" w:line="240" w:lineRule="auto"/>
        <w:rPr>
          <w:rFonts w:ascii="Times New Roman" w:hAnsi="Times New Roman"/>
          <w:i/>
          <w:sz w:val="20"/>
          <w:szCs w:val="20"/>
          <w:u w:val="single"/>
        </w:rPr>
      </w:pPr>
    </w:p>
    <w:p w:rsidR="007C76E1" w:rsidRPr="007C76E1" w:rsidRDefault="007C76E1" w:rsidP="007C76E1">
      <w:pPr>
        <w:spacing w:after="0" w:line="240" w:lineRule="auto"/>
        <w:jc w:val="center"/>
        <w:rPr>
          <w:rFonts w:ascii="Times New Roman" w:hAnsi="Times New Roman"/>
          <w:bCs/>
          <w:sz w:val="20"/>
          <w:szCs w:val="20"/>
        </w:rPr>
      </w:pPr>
      <w:bookmarkStart w:id="66" w:name="_Toc502863822"/>
      <w:r w:rsidRPr="007C76E1">
        <w:rPr>
          <w:rFonts w:ascii="Times New Roman" w:hAnsi="Times New Roman"/>
          <w:bCs/>
          <w:sz w:val="20"/>
          <w:szCs w:val="20"/>
        </w:rPr>
        <w:t>Tableau 23 : Ressources : Programmation initiale vs Mobilisation</w:t>
      </w:r>
      <w:bookmarkEnd w:id="66"/>
    </w:p>
    <w:p w:rsidR="007C76E1" w:rsidRPr="007C76E1" w:rsidRDefault="007C76E1" w:rsidP="007C76E1">
      <w:pPr>
        <w:spacing w:after="0" w:line="240" w:lineRule="auto"/>
        <w:rPr>
          <w:rFonts w:ascii="Times New Roman" w:hAnsi="Times New Roman"/>
          <w:sz w:val="20"/>
          <w:szCs w:val="20"/>
        </w:rPr>
      </w:pPr>
    </w:p>
    <w:tbl>
      <w:tblPr>
        <w:tblW w:w="7374" w:type="dxa"/>
        <w:jc w:val="center"/>
        <w:tblCellMar>
          <w:left w:w="70" w:type="dxa"/>
          <w:right w:w="70" w:type="dxa"/>
        </w:tblCellMar>
        <w:tblLook w:val="04A0" w:firstRow="1" w:lastRow="0" w:firstColumn="1" w:lastColumn="0" w:noHBand="0" w:noVBand="1"/>
      </w:tblPr>
      <w:tblGrid>
        <w:gridCol w:w="1411"/>
        <w:gridCol w:w="1502"/>
        <w:gridCol w:w="1385"/>
        <w:gridCol w:w="1800"/>
        <w:gridCol w:w="1276"/>
      </w:tblGrid>
      <w:tr w:rsidR="007C76E1" w:rsidRPr="007C76E1" w:rsidTr="007C76E1">
        <w:trPr>
          <w:trHeight w:val="179"/>
          <w:jc w:val="center"/>
        </w:trPr>
        <w:tc>
          <w:tcPr>
            <w:tcW w:w="1411" w:type="dxa"/>
            <w:vMerge w:val="restart"/>
            <w:tcBorders>
              <w:top w:val="single" w:sz="8" w:space="0" w:color="000000"/>
              <w:left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Axes</w:t>
            </w:r>
          </w:p>
        </w:tc>
        <w:tc>
          <w:tcPr>
            <w:tcW w:w="1502" w:type="dxa"/>
            <w:vMerge w:val="restart"/>
            <w:tcBorders>
              <w:top w:val="single" w:sz="8" w:space="0" w:color="000000"/>
              <w:left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Effets</w:t>
            </w:r>
          </w:p>
        </w:tc>
        <w:tc>
          <w:tcPr>
            <w:tcW w:w="1385" w:type="dxa"/>
            <w:vMerge w:val="restart"/>
            <w:tcBorders>
              <w:top w:val="single" w:sz="8" w:space="0" w:color="000000"/>
              <w:left w:val="nil"/>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Initiale</w:t>
            </w:r>
          </w:p>
        </w:tc>
        <w:tc>
          <w:tcPr>
            <w:tcW w:w="3076" w:type="dxa"/>
            <w:gridSpan w:val="2"/>
            <w:tcBorders>
              <w:top w:val="single" w:sz="8" w:space="0" w:color="000000"/>
              <w:left w:val="nil"/>
              <w:bottom w:val="single" w:sz="4" w:space="0" w:color="auto"/>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Ressources Mobilisées</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(2015-2017)</w:t>
            </w:r>
          </w:p>
        </w:tc>
      </w:tr>
      <w:tr w:rsidR="007C76E1" w:rsidRPr="007C76E1" w:rsidTr="007C76E1">
        <w:trPr>
          <w:trHeight w:val="178"/>
          <w:jc w:val="center"/>
        </w:trPr>
        <w:tc>
          <w:tcPr>
            <w:tcW w:w="1411" w:type="dxa"/>
            <w:vMerge/>
            <w:tcBorders>
              <w:left w:val="single" w:sz="8" w:space="0" w:color="000000"/>
              <w:bottom w:val="single" w:sz="4" w:space="0" w:color="auto"/>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p>
        </w:tc>
        <w:tc>
          <w:tcPr>
            <w:tcW w:w="1502" w:type="dxa"/>
            <w:vMerge/>
            <w:tcBorders>
              <w:left w:val="single" w:sz="8" w:space="0" w:color="000000"/>
              <w:bottom w:val="single" w:sz="4" w:space="0" w:color="auto"/>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p>
        </w:tc>
        <w:tc>
          <w:tcPr>
            <w:tcW w:w="1385" w:type="dxa"/>
            <w:vMerge/>
            <w:tcBorders>
              <w:left w:val="nil"/>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p>
        </w:tc>
        <w:tc>
          <w:tcPr>
            <w:tcW w:w="1800" w:type="dxa"/>
            <w:tcBorders>
              <w:top w:val="single" w:sz="8" w:space="0" w:color="000000"/>
              <w:left w:val="nil"/>
              <w:bottom w:val="single" w:sz="4" w:space="0" w:color="auto"/>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Valeur</w:t>
            </w:r>
          </w:p>
        </w:tc>
        <w:tc>
          <w:tcPr>
            <w:tcW w:w="1276" w:type="dxa"/>
            <w:tcBorders>
              <w:top w:val="single" w:sz="8" w:space="0" w:color="000000"/>
              <w:left w:val="nil"/>
              <w:bottom w:val="single" w:sz="4" w:space="0" w:color="auto"/>
              <w:right w:val="single" w:sz="8" w:space="0" w:color="000000"/>
            </w:tcBorders>
            <w:shd w:val="clear" w:color="auto" w:fill="auto"/>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Taux de Mobilisation</w:t>
            </w:r>
          </w:p>
        </w:tc>
      </w:tr>
      <w:tr w:rsidR="007C76E1" w:rsidRPr="007C76E1" w:rsidTr="007C76E1">
        <w:trPr>
          <w:trHeight w:val="315"/>
          <w:jc w:val="center"/>
        </w:trPr>
        <w:tc>
          <w:tcPr>
            <w:tcW w:w="1411" w:type="dxa"/>
            <w:vMerge w:val="restart"/>
            <w:tcBorders>
              <w:top w:val="single" w:sz="4" w:space="0" w:color="auto"/>
              <w:left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1</w:t>
            </w:r>
          </w:p>
        </w:tc>
        <w:tc>
          <w:tcPr>
            <w:tcW w:w="150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1</w:t>
            </w:r>
          </w:p>
        </w:tc>
        <w:tc>
          <w:tcPr>
            <w:tcW w:w="1385"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w:t>
            </w:r>
          </w:p>
        </w:tc>
        <w:tc>
          <w:tcPr>
            <w:tcW w:w="1800"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55943948,84</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w:t>
            </w:r>
          </w:p>
        </w:tc>
      </w:tr>
      <w:tr w:rsidR="007C76E1" w:rsidRPr="007C76E1" w:rsidTr="007C76E1">
        <w:trPr>
          <w:trHeight w:val="315"/>
          <w:jc w:val="center"/>
        </w:trPr>
        <w:tc>
          <w:tcPr>
            <w:tcW w:w="1411" w:type="dxa"/>
            <w:vMerge/>
            <w:tcBorders>
              <w:left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p>
        </w:tc>
        <w:tc>
          <w:tcPr>
            <w:tcW w:w="1502"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2</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w:t>
            </w:r>
          </w:p>
        </w:tc>
        <w:tc>
          <w:tcPr>
            <w:tcW w:w="18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20846659,83</w:t>
            </w:r>
          </w:p>
        </w:tc>
        <w:tc>
          <w:tcPr>
            <w:tcW w:w="1276"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w:t>
            </w:r>
          </w:p>
        </w:tc>
      </w:tr>
      <w:tr w:rsidR="007C76E1" w:rsidRPr="007C76E1" w:rsidTr="007C76E1">
        <w:trPr>
          <w:trHeight w:val="315"/>
          <w:jc w:val="center"/>
        </w:trPr>
        <w:tc>
          <w:tcPr>
            <w:tcW w:w="1411" w:type="dxa"/>
            <w:vMerge/>
            <w:tcBorders>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p>
        </w:tc>
        <w:tc>
          <w:tcPr>
            <w:tcW w:w="1502"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Effets (1+2)</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253 700 703</w:t>
            </w:r>
          </w:p>
        </w:tc>
        <w:tc>
          <w:tcPr>
            <w:tcW w:w="18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76790608,67</w:t>
            </w:r>
          </w:p>
        </w:tc>
        <w:tc>
          <w:tcPr>
            <w:tcW w:w="1276"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30%</w:t>
            </w:r>
          </w:p>
        </w:tc>
      </w:tr>
      <w:tr w:rsidR="007C76E1" w:rsidRPr="007C76E1" w:rsidTr="007C76E1">
        <w:trPr>
          <w:trHeight w:val="315"/>
          <w:jc w:val="center"/>
        </w:trPr>
        <w:tc>
          <w:tcPr>
            <w:tcW w:w="1411" w:type="dxa"/>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2</w:t>
            </w:r>
          </w:p>
        </w:tc>
        <w:tc>
          <w:tcPr>
            <w:tcW w:w="1502"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3</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96 719 719</w:t>
            </w:r>
          </w:p>
        </w:tc>
        <w:tc>
          <w:tcPr>
            <w:tcW w:w="18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36575823,4</w:t>
            </w:r>
          </w:p>
        </w:tc>
        <w:tc>
          <w:tcPr>
            <w:tcW w:w="1276"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38%</w:t>
            </w:r>
          </w:p>
        </w:tc>
      </w:tr>
      <w:tr w:rsidR="007C76E1" w:rsidRPr="007C76E1" w:rsidTr="007C76E1">
        <w:trPr>
          <w:trHeight w:val="315"/>
          <w:jc w:val="center"/>
        </w:trPr>
        <w:tc>
          <w:tcPr>
            <w:tcW w:w="1411" w:type="dxa"/>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3</w:t>
            </w:r>
          </w:p>
        </w:tc>
        <w:tc>
          <w:tcPr>
            <w:tcW w:w="1502"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4</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197 954 046</w:t>
            </w:r>
          </w:p>
        </w:tc>
        <w:tc>
          <w:tcPr>
            <w:tcW w:w="18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199921951,3</w:t>
            </w:r>
          </w:p>
        </w:tc>
        <w:tc>
          <w:tcPr>
            <w:tcW w:w="1276"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101%</w:t>
            </w:r>
          </w:p>
        </w:tc>
      </w:tr>
      <w:tr w:rsidR="007C76E1" w:rsidRPr="007C76E1" w:rsidTr="007C76E1">
        <w:trPr>
          <w:trHeight w:val="315"/>
          <w:jc w:val="center"/>
        </w:trPr>
        <w:tc>
          <w:tcPr>
            <w:tcW w:w="1411" w:type="dxa"/>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4</w:t>
            </w:r>
          </w:p>
        </w:tc>
        <w:tc>
          <w:tcPr>
            <w:tcW w:w="1502"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5</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589 258 410</w:t>
            </w:r>
          </w:p>
        </w:tc>
        <w:tc>
          <w:tcPr>
            <w:tcW w:w="18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145 885 466</w:t>
            </w:r>
          </w:p>
        </w:tc>
        <w:tc>
          <w:tcPr>
            <w:tcW w:w="1276"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w:t>
            </w:r>
          </w:p>
        </w:tc>
      </w:tr>
      <w:tr w:rsidR="007C76E1" w:rsidRPr="007C76E1" w:rsidTr="007C76E1">
        <w:trPr>
          <w:trHeight w:val="315"/>
          <w:jc w:val="center"/>
        </w:trPr>
        <w:tc>
          <w:tcPr>
            <w:tcW w:w="2913" w:type="dxa"/>
            <w:gridSpan w:val="2"/>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UNDAF</w:t>
            </w:r>
            <w:r w:rsidRPr="007C76E1">
              <w:rPr>
                <w:rFonts w:ascii="Times New Roman" w:hAnsi="Times New Roman"/>
                <w:b/>
                <w:sz w:val="20"/>
                <w:szCs w:val="20"/>
                <w:vertAlign w:val="superscript"/>
              </w:rPr>
              <w:t>+</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1 137 632 878</w:t>
            </w:r>
          </w:p>
        </w:tc>
        <w:tc>
          <w:tcPr>
            <w:tcW w:w="18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459 173 849</w:t>
            </w:r>
          </w:p>
        </w:tc>
        <w:tc>
          <w:tcPr>
            <w:tcW w:w="1276"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40%</w:t>
            </w:r>
          </w:p>
        </w:tc>
      </w:tr>
    </w:tbl>
    <w:p w:rsidR="007C76E1" w:rsidRPr="007C76E1" w:rsidRDefault="007C76E1" w:rsidP="007C76E1">
      <w:pPr>
        <w:spacing w:after="0" w:line="240" w:lineRule="auto"/>
        <w:jc w:val="center"/>
        <w:rPr>
          <w:rFonts w:ascii="Times New Roman" w:hAnsi="Times New Roman"/>
          <w:i/>
          <w:sz w:val="20"/>
          <w:szCs w:val="20"/>
        </w:rPr>
      </w:pPr>
      <w:r w:rsidRPr="007C76E1">
        <w:rPr>
          <w:rFonts w:ascii="Times New Roman" w:hAnsi="Times New Roman"/>
          <w:i/>
          <w:sz w:val="20"/>
          <w:szCs w:val="20"/>
          <w:u w:val="single"/>
        </w:rPr>
        <w:t>Source</w:t>
      </w:r>
      <w:r w:rsidRPr="007C76E1">
        <w:rPr>
          <w:rFonts w:ascii="Times New Roman" w:hAnsi="Times New Roman"/>
          <w:i/>
          <w:sz w:val="20"/>
          <w:szCs w:val="20"/>
        </w:rPr>
        <w:t> : Rapports de progrès Groupes de résultats, UNDAF+ 2015-2017</w:t>
      </w: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jc w:val="center"/>
        <w:rPr>
          <w:rFonts w:ascii="Times New Roman" w:hAnsi="Times New Roman"/>
          <w:bCs/>
          <w:sz w:val="20"/>
          <w:szCs w:val="20"/>
        </w:rPr>
      </w:pPr>
      <w:bookmarkStart w:id="67" w:name="_Toc502863824"/>
      <w:r w:rsidRPr="007C76E1">
        <w:rPr>
          <w:rFonts w:ascii="Times New Roman" w:hAnsi="Times New Roman"/>
          <w:bCs/>
          <w:sz w:val="20"/>
          <w:szCs w:val="20"/>
        </w:rPr>
        <w:t>Tableau 24 : Ressources : Mobilisation vs Exécution</w:t>
      </w:r>
      <w:bookmarkEnd w:id="67"/>
    </w:p>
    <w:p w:rsidR="007C76E1" w:rsidRPr="007C76E1" w:rsidRDefault="007C76E1" w:rsidP="007C76E1">
      <w:pPr>
        <w:spacing w:after="0" w:line="240" w:lineRule="auto"/>
        <w:rPr>
          <w:rFonts w:ascii="Times New Roman" w:hAnsi="Times New Roman"/>
          <w:sz w:val="20"/>
          <w:szCs w:val="20"/>
        </w:rPr>
      </w:pPr>
    </w:p>
    <w:tbl>
      <w:tblPr>
        <w:tblW w:w="7438" w:type="dxa"/>
        <w:jc w:val="center"/>
        <w:tblCellMar>
          <w:left w:w="70" w:type="dxa"/>
          <w:right w:w="70" w:type="dxa"/>
        </w:tblCellMar>
        <w:tblLook w:val="04A0" w:firstRow="1" w:lastRow="0" w:firstColumn="1" w:lastColumn="0" w:noHBand="0" w:noVBand="1"/>
      </w:tblPr>
      <w:tblGrid>
        <w:gridCol w:w="1607"/>
        <w:gridCol w:w="1607"/>
        <w:gridCol w:w="1591"/>
        <w:gridCol w:w="1333"/>
        <w:gridCol w:w="1300"/>
      </w:tblGrid>
      <w:tr w:rsidR="007C76E1" w:rsidRPr="007C76E1" w:rsidTr="007C76E1">
        <w:trPr>
          <w:trHeight w:val="179"/>
          <w:jc w:val="center"/>
        </w:trPr>
        <w:tc>
          <w:tcPr>
            <w:tcW w:w="1607" w:type="dxa"/>
            <w:tcBorders>
              <w:top w:val="single" w:sz="4" w:space="0" w:color="auto"/>
              <w:left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Axes</w:t>
            </w:r>
          </w:p>
        </w:tc>
        <w:tc>
          <w:tcPr>
            <w:tcW w:w="1607" w:type="dxa"/>
            <w:vMerge w:val="restart"/>
            <w:tcBorders>
              <w:top w:val="single" w:sz="4" w:space="0" w:color="auto"/>
              <w:left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Effets</w:t>
            </w:r>
          </w:p>
        </w:tc>
        <w:tc>
          <w:tcPr>
            <w:tcW w:w="1591" w:type="dxa"/>
            <w:vMerge w:val="restart"/>
            <w:tcBorders>
              <w:top w:val="single" w:sz="4" w:space="0" w:color="auto"/>
              <w:left w:val="nil"/>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Ressources Mobilisées</w:t>
            </w:r>
          </w:p>
        </w:tc>
        <w:tc>
          <w:tcPr>
            <w:tcW w:w="2633" w:type="dxa"/>
            <w:gridSpan w:val="2"/>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Ressources Exécutées</w:t>
            </w:r>
          </w:p>
        </w:tc>
      </w:tr>
      <w:tr w:rsidR="007C76E1" w:rsidRPr="007C76E1" w:rsidTr="007C76E1">
        <w:trPr>
          <w:trHeight w:val="178"/>
          <w:jc w:val="center"/>
        </w:trPr>
        <w:tc>
          <w:tcPr>
            <w:tcW w:w="1607" w:type="dxa"/>
            <w:tcBorders>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p>
        </w:tc>
        <w:tc>
          <w:tcPr>
            <w:tcW w:w="1607" w:type="dxa"/>
            <w:vMerge/>
            <w:tcBorders>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p>
        </w:tc>
        <w:tc>
          <w:tcPr>
            <w:tcW w:w="1591" w:type="dxa"/>
            <w:vMerge/>
            <w:tcBorders>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p>
        </w:tc>
        <w:tc>
          <w:tcPr>
            <w:tcW w:w="1333"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Valeur</w:t>
            </w:r>
          </w:p>
        </w:tc>
        <w:tc>
          <w:tcPr>
            <w:tcW w:w="1300"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Tx Exécution</w:t>
            </w:r>
          </w:p>
        </w:tc>
      </w:tr>
      <w:tr w:rsidR="007C76E1" w:rsidRPr="007C76E1" w:rsidTr="007C76E1">
        <w:trPr>
          <w:trHeight w:val="315"/>
          <w:jc w:val="center"/>
        </w:trPr>
        <w:tc>
          <w:tcPr>
            <w:tcW w:w="1607" w:type="dxa"/>
            <w:vMerge w:val="restart"/>
            <w:tcBorders>
              <w:top w:val="single" w:sz="4" w:space="0" w:color="auto"/>
              <w:left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1</w:t>
            </w:r>
          </w:p>
        </w:tc>
        <w:tc>
          <w:tcPr>
            <w:tcW w:w="160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1</w:t>
            </w:r>
          </w:p>
        </w:tc>
        <w:tc>
          <w:tcPr>
            <w:tcW w:w="1591"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55943948,84</w:t>
            </w:r>
          </w:p>
        </w:tc>
        <w:tc>
          <w:tcPr>
            <w:tcW w:w="1333"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37 861 266</w:t>
            </w:r>
          </w:p>
        </w:tc>
        <w:tc>
          <w:tcPr>
            <w:tcW w:w="1300"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68%</w:t>
            </w:r>
          </w:p>
        </w:tc>
      </w:tr>
      <w:tr w:rsidR="007C76E1" w:rsidRPr="007C76E1" w:rsidTr="007C76E1">
        <w:trPr>
          <w:trHeight w:val="315"/>
          <w:jc w:val="center"/>
        </w:trPr>
        <w:tc>
          <w:tcPr>
            <w:tcW w:w="1607" w:type="dxa"/>
            <w:vMerge/>
            <w:tcBorders>
              <w:left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2</w:t>
            </w:r>
          </w:p>
        </w:tc>
        <w:tc>
          <w:tcPr>
            <w:tcW w:w="1591"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20846659,83</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12 011 154,3</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58%</w:t>
            </w:r>
          </w:p>
        </w:tc>
      </w:tr>
      <w:tr w:rsidR="007C76E1" w:rsidRPr="007C76E1" w:rsidTr="007C76E1">
        <w:trPr>
          <w:trHeight w:val="315"/>
          <w:jc w:val="center"/>
        </w:trPr>
        <w:tc>
          <w:tcPr>
            <w:tcW w:w="1607" w:type="dxa"/>
            <w:vMerge/>
            <w:tcBorders>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Effets (1+2)</w:t>
            </w:r>
          </w:p>
        </w:tc>
        <w:tc>
          <w:tcPr>
            <w:tcW w:w="1591"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76790608,67</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49 872 420,3</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65%</w:t>
            </w:r>
          </w:p>
        </w:tc>
      </w:tr>
      <w:tr w:rsidR="007C76E1" w:rsidRPr="007C76E1" w:rsidTr="007C76E1">
        <w:trPr>
          <w:trHeight w:val="315"/>
          <w:jc w:val="center"/>
        </w:trPr>
        <w:tc>
          <w:tcPr>
            <w:tcW w:w="1607" w:type="dxa"/>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2</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3</w:t>
            </w:r>
          </w:p>
        </w:tc>
        <w:tc>
          <w:tcPr>
            <w:tcW w:w="1591"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36575823,4</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18 528 228,8</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51%</w:t>
            </w:r>
          </w:p>
        </w:tc>
      </w:tr>
      <w:tr w:rsidR="007C76E1" w:rsidRPr="007C76E1" w:rsidTr="007C76E1">
        <w:trPr>
          <w:trHeight w:val="315"/>
          <w:jc w:val="center"/>
        </w:trPr>
        <w:tc>
          <w:tcPr>
            <w:tcW w:w="1607" w:type="dxa"/>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3</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4</w:t>
            </w:r>
          </w:p>
        </w:tc>
        <w:tc>
          <w:tcPr>
            <w:tcW w:w="1591"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199921951,3</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125 160 049,4</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63%</w:t>
            </w:r>
          </w:p>
        </w:tc>
      </w:tr>
      <w:tr w:rsidR="007C76E1" w:rsidRPr="007C76E1" w:rsidTr="007C76E1">
        <w:trPr>
          <w:trHeight w:val="315"/>
          <w:jc w:val="center"/>
        </w:trPr>
        <w:tc>
          <w:tcPr>
            <w:tcW w:w="1607" w:type="dxa"/>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4</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5</w:t>
            </w:r>
          </w:p>
        </w:tc>
        <w:tc>
          <w:tcPr>
            <w:tcW w:w="1591"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145 885 466</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87 894 622</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60%</w:t>
            </w:r>
          </w:p>
        </w:tc>
      </w:tr>
      <w:tr w:rsidR="007C76E1" w:rsidRPr="007C76E1" w:rsidTr="007C76E1">
        <w:trPr>
          <w:trHeight w:val="315"/>
          <w:jc w:val="center"/>
        </w:trPr>
        <w:tc>
          <w:tcPr>
            <w:tcW w:w="3214" w:type="dxa"/>
            <w:gridSpan w:val="2"/>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UNDAF</w:t>
            </w:r>
            <w:r w:rsidRPr="007C76E1">
              <w:rPr>
                <w:rFonts w:ascii="Times New Roman" w:hAnsi="Times New Roman"/>
                <w:b/>
                <w:sz w:val="20"/>
                <w:szCs w:val="20"/>
                <w:vertAlign w:val="superscript"/>
              </w:rPr>
              <w:t>+</w:t>
            </w:r>
          </w:p>
        </w:tc>
        <w:tc>
          <w:tcPr>
            <w:tcW w:w="1591"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459 173 849</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281 455 321</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61%</w:t>
            </w:r>
          </w:p>
        </w:tc>
      </w:tr>
    </w:tbl>
    <w:p w:rsidR="007C76E1" w:rsidRPr="007C76E1" w:rsidRDefault="007C76E1" w:rsidP="007C76E1">
      <w:pPr>
        <w:spacing w:after="0" w:line="240" w:lineRule="auto"/>
        <w:jc w:val="center"/>
        <w:rPr>
          <w:rFonts w:ascii="Times New Roman" w:hAnsi="Times New Roman"/>
          <w:i/>
          <w:sz w:val="20"/>
          <w:szCs w:val="20"/>
        </w:rPr>
      </w:pPr>
      <w:r w:rsidRPr="007C76E1">
        <w:rPr>
          <w:rFonts w:ascii="Times New Roman" w:hAnsi="Times New Roman"/>
          <w:i/>
          <w:sz w:val="20"/>
          <w:szCs w:val="20"/>
          <w:u w:val="single"/>
        </w:rPr>
        <w:t>Source</w:t>
      </w:r>
      <w:r w:rsidRPr="007C76E1">
        <w:rPr>
          <w:rFonts w:ascii="Times New Roman" w:hAnsi="Times New Roman"/>
          <w:i/>
          <w:sz w:val="20"/>
          <w:szCs w:val="20"/>
        </w:rPr>
        <w:t> : Rapports de progrès Groupes de résultats, UNDAF+ 2015-2017</w:t>
      </w:r>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jc w:val="center"/>
        <w:rPr>
          <w:rFonts w:ascii="Times New Roman" w:hAnsi="Times New Roman"/>
          <w:bCs/>
          <w:sz w:val="20"/>
          <w:szCs w:val="20"/>
        </w:rPr>
      </w:pPr>
      <w:bookmarkStart w:id="68" w:name="_Toc502863826"/>
      <w:r w:rsidRPr="007C76E1">
        <w:rPr>
          <w:rFonts w:ascii="Times New Roman" w:hAnsi="Times New Roman"/>
          <w:bCs/>
          <w:sz w:val="20"/>
          <w:szCs w:val="20"/>
        </w:rPr>
        <w:t>Tableau 25 : Ressources : Programmation initiale VS Exécution</w:t>
      </w:r>
      <w:bookmarkEnd w:id="68"/>
    </w:p>
    <w:p w:rsidR="007C76E1" w:rsidRPr="007C76E1" w:rsidRDefault="007C76E1" w:rsidP="007C76E1">
      <w:pPr>
        <w:spacing w:after="0" w:line="240" w:lineRule="auto"/>
        <w:rPr>
          <w:rFonts w:ascii="Times New Roman" w:hAnsi="Times New Roman"/>
          <w:b/>
          <w:sz w:val="20"/>
          <w:szCs w:val="20"/>
        </w:rPr>
      </w:pPr>
    </w:p>
    <w:tbl>
      <w:tblPr>
        <w:tblW w:w="7232" w:type="dxa"/>
        <w:jc w:val="center"/>
        <w:tblCellMar>
          <w:left w:w="70" w:type="dxa"/>
          <w:right w:w="70" w:type="dxa"/>
        </w:tblCellMar>
        <w:tblLook w:val="04A0" w:firstRow="1" w:lastRow="0" w:firstColumn="1" w:lastColumn="0" w:noHBand="0" w:noVBand="1"/>
      </w:tblPr>
      <w:tblGrid>
        <w:gridCol w:w="1607"/>
        <w:gridCol w:w="1607"/>
        <w:gridCol w:w="1385"/>
        <w:gridCol w:w="1333"/>
        <w:gridCol w:w="1300"/>
      </w:tblGrid>
      <w:tr w:rsidR="007C76E1" w:rsidRPr="007C76E1" w:rsidTr="007C76E1">
        <w:trPr>
          <w:trHeight w:val="96"/>
          <w:jc w:val="center"/>
        </w:trPr>
        <w:tc>
          <w:tcPr>
            <w:tcW w:w="1607" w:type="dxa"/>
            <w:tcBorders>
              <w:top w:val="single" w:sz="8" w:space="0" w:color="000000"/>
              <w:left w:val="single" w:sz="8" w:space="0" w:color="000000"/>
              <w:bottom w:val="single" w:sz="4" w:space="0" w:color="auto"/>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Axes</w:t>
            </w:r>
          </w:p>
        </w:tc>
        <w:tc>
          <w:tcPr>
            <w:tcW w:w="1607" w:type="dxa"/>
            <w:tcBorders>
              <w:top w:val="single" w:sz="8" w:space="0" w:color="000000"/>
              <w:left w:val="single" w:sz="8" w:space="0" w:color="000000"/>
              <w:bottom w:val="single" w:sz="4" w:space="0" w:color="auto"/>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Effets</w:t>
            </w:r>
          </w:p>
        </w:tc>
        <w:tc>
          <w:tcPr>
            <w:tcW w:w="1385" w:type="dxa"/>
            <w:tcBorders>
              <w:top w:val="single" w:sz="8" w:space="0" w:color="000000"/>
              <w:left w:val="nil"/>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Programmation</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Initiale</w:t>
            </w:r>
          </w:p>
        </w:tc>
        <w:tc>
          <w:tcPr>
            <w:tcW w:w="2633" w:type="dxa"/>
            <w:gridSpan w:val="2"/>
            <w:tcBorders>
              <w:top w:val="single" w:sz="8" w:space="0" w:color="000000"/>
              <w:left w:val="nil"/>
              <w:bottom w:val="single" w:sz="4" w:space="0" w:color="auto"/>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Exécution</w:t>
            </w:r>
          </w:p>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(2015-2017)</w:t>
            </w:r>
          </w:p>
        </w:tc>
      </w:tr>
      <w:tr w:rsidR="007C76E1" w:rsidRPr="007C76E1" w:rsidTr="007C76E1">
        <w:trPr>
          <w:trHeight w:val="315"/>
          <w:jc w:val="center"/>
        </w:trPr>
        <w:tc>
          <w:tcPr>
            <w:tcW w:w="1607" w:type="dxa"/>
            <w:vMerge w:val="restart"/>
            <w:tcBorders>
              <w:top w:val="single" w:sz="4" w:space="0" w:color="auto"/>
              <w:left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1</w:t>
            </w:r>
          </w:p>
        </w:tc>
        <w:tc>
          <w:tcPr>
            <w:tcW w:w="1607" w:type="dxa"/>
            <w:tcBorders>
              <w:top w:val="single" w:sz="4" w:space="0" w:color="auto"/>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1</w:t>
            </w:r>
          </w:p>
        </w:tc>
        <w:tc>
          <w:tcPr>
            <w:tcW w:w="1385"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ND</w:t>
            </w:r>
          </w:p>
        </w:tc>
        <w:tc>
          <w:tcPr>
            <w:tcW w:w="1333"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37 861 266</w:t>
            </w:r>
          </w:p>
        </w:tc>
        <w:tc>
          <w:tcPr>
            <w:tcW w:w="1300" w:type="dxa"/>
            <w:tcBorders>
              <w:top w:val="single" w:sz="4" w:space="0" w:color="auto"/>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r>
      <w:tr w:rsidR="007C76E1" w:rsidRPr="007C76E1" w:rsidTr="007C76E1">
        <w:trPr>
          <w:trHeight w:val="315"/>
          <w:jc w:val="center"/>
        </w:trPr>
        <w:tc>
          <w:tcPr>
            <w:tcW w:w="1607" w:type="dxa"/>
            <w:vMerge/>
            <w:tcBorders>
              <w:left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2</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 ND</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12 011 154,3</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ND</w:t>
            </w:r>
          </w:p>
        </w:tc>
      </w:tr>
      <w:tr w:rsidR="007C76E1" w:rsidRPr="007C76E1" w:rsidTr="007C76E1">
        <w:trPr>
          <w:trHeight w:val="315"/>
          <w:jc w:val="center"/>
        </w:trPr>
        <w:tc>
          <w:tcPr>
            <w:tcW w:w="1607" w:type="dxa"/>
            <w:vMerge/>
            <w:tcBorders>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Effets (1+2)</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253 700 703</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49 872 420,3</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20%</w:t>
            </w:r>
          </w:p>
        </w:tc>
      </w:tr>
      <w:tr w:rsidR="007C76E1" w:rsidRPr="007C76E1" w:rsidTr="007C76E1">
        <w:trPr>
          <w:trHeight w:val="315"/>
          <w:jc w:val="center"/>
        </w:trPr>
        <w:tc>
          <w:tcPr>
            <w:tcW w:w="1607" w:type="dxa"/>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2</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3</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96 719 719</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18 528 228,8</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w:t>
            </w:r>
          </w:p>
        </w:tc>
      </w:tr>
      <w:tr w:rsidR="007C76E1" w:rsidRPr="007C76E1" w:rsidTr="007C76E1">
        <w:trPr>
          <w:trHeight w:val="315"/>
          <w:jc w:val="center"/>
        </w:trPr>
        <w:tc>
          <w:tcPr>
            <w:tcW w:w="1607" w:type="dxa"/>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3</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4</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197 954 046</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125 160 049,4</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63%</w:t>
            </w:r>
          </w:p>
        </w:tc>
      </w:tr>
      <w:tr w:rsidR="007C76E1" w:rsidRPr="007C76E1" w:rsidTr="007C76E1">
        <w:trPr>
          <w:trHeight w:val="315"/>
          <w:jc w:val="center"/>
        </w:trPr>
        <w:tc>
          <w:tcPr>
            <w:tcW w:w="1607" w:type="dxa"/>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Axe 4</w:t>
            </w:r>
          </w:p>
        </w:tc>
        <w:tc>
          <w:tcPr>
            <w:tcW w:w="1607" w:type="dxa"/>
            <w:tcBorders>
              <w:top w:val="nil"/>
              <w:left w:val="single" w:sz="8" w:space="0" w:color="000000"/>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Effet 5</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589 258 410</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87 894 622</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15%</w:t>
            </w:r>
          </w:p>
        </w:tc>
      </w:tr>
      <w:tr w:rsidR="007C76E1" w:rsidRPr="007C76E1" w:rsidTr="007C76E1">
        <w:trPr>
          <w:trHeight w:val="315"/>
          <w:jc w:val="center"/>
        </w:trPr>
        <w:tc>
          <w:tcPr>
            <w:tcW w:w="3214" w:type="dxa"/>
            <w:gridSpan w:val="2"/>
            <w:tcBorders>
              <w:top w:val="nil"/>
              <w:left w:val="single" w:sz="8" w:space="0" w:color="000000"/>
              <w:bottom w:val="single" w:sz="8" w:space="0" w:color="000000"/>
              <w:right w:val="single" w:sz="8" w:space="0" w:color="000000"/>
            </w:tcBorders>
            <w:vAlign w:val="center"/>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UNDAF</w:t>
            </w:r>
            <w:r w:rsidRPr="007C76E1">
              <w:rPr>
                <w:rFonts w:ascii="Times New Roman" w:hAnsi="Times New Roman"/>
                <w:b/>
                <w:sz w:val="20"/>
                <w:szCs w:val="20"/>
                <w:vertAlign w:val="superscript"/>
              </w:rPr>
              <w:t>+</w:t>
            </w:r>
          </w:p>
        </w:tc>
        <w:tc>
          <w:tcPr>
            <w:tcW w:w="1385"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1 137 632 878</w:t>
            </w:r>
          </w:p>
        </w:tc>
        <w:tc>
          <w:tcPr>
            <w:tcW w:w="1333"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281 455 321</w:t>
            </w:r>
          </w:p>
        </w:tc>
        <w:tc>
          <w:tcPr>
            <w:tcW w:w="1300" w:type="dxa"/>
            <w:tcBorders>
              <w:top w:val="nil"/>
              <w:left w:val="nil"/>
              <w:bottom w:val="single" w:sz="8" w:space="0" w:color="000000"/>
              <w:right w:val="single" w:sz="8" w:space="0" w:color="000000"/>
            </w:tcBorders>
            <w:shd w:val="clear" w:color="auto" w:fill="auto"/>
            <w:vAlign w:val="center"/>
            <w:hideMark/>
          </w:tcPr>
          <w:p w:rsidR="007C76E1" w:rsidRPr="007C76E1" w:rsidRDefault="007C76E1" w:rsidP="007C76E1">
            <w:pPr>
              <w:spacing w:after="0" w:line="240" w:lineRule="auto"/>
              <w:rPr>
                <w:rFonts w:ascii="Times New Roman" w:hAnsi="Times New Roman"/>
                <w:sz w:val="20"/>
                <w:szCs w:val="20"/>
              </w:rPr>
            </w:pPr>
            <w:r w:rsidRPr="007C76E1">
              <w:rPr>
                <w:rFonts w:ascii="Times New Roman" w:hAnsi="Times New Roman"/>
                <w:sz w:val="20"/>
                <w:szCs w:val="20"/>
              </w:rPr>
              <w:t>25%</w:t>
            </w:r>
          </w:p>
        </w:tc>
      </w:tr>
    </w:tbl>
    <w:p w:rsidR="007C76E1" w:rsidRPr="007C76E1" w:rsidRDefault="007C76E1" w:rsidP="007C76E1">
      <w:pPr>
        <w:spacing w:after="0" w:line="240" w:lineRule="auto"/>
        <w:jc w:val="center"/>
        <w:rPr>
          <w:rFonts w:ascii="Times New Roman" w:hAnsi="Times New Roman"/>
          <w:i/>
          <w:sz w:val="20"/>
          <w:szCs w:val="20"/>
        </w:rPr>
      </w:pPr>
      <w:r w:rsidRPr="007C76E1">
        <w:rPr>
          <w:rFonts w:ascii="Times New Roman" w:hAnsi="Times New Roman"/>
          <w:i/>
          <w:sz w:val="20"/>
          <w:szCs w:val="20"/>
          <w:u w:val="single"/>
        </w:rPr>
        <w:t>Source</w:t>
      </w:r>
      <w:r w:rsidRPr="007C76E1">
        <w:rPr>
          <w:rFonts w:ascii="Times New Roman" w:hAnsi="Times New Roman"/>
          <w:i/>
          <w:sz w:val="20"/>
          <w:szCs w:val="20"/>
        </w:rPr>
        <w:t> : Rapports de progrès Groupes de résultats, UNDAF+ 2015-2017</w:t>
      </w:r>
    </w:p>
    <w:p w:rsidR="007C76E1" w:rsidRPr="007C76E1" w:rsidRDefault="007C76E1" w:rsidP="007C76E1">
      <w:pPr>
        <w:spacing w:after="0" w:line="240" w:lineRule="auto"/>
        <w:rPr>
          <w:rFonts w:ascii="Times New Roman" w:hAnsi="Times New Roman"/>
          <w:b/>
          <w:sz w:val="20"/>
          <w:szCs w:val="20"/>
        </w:rPr>
      </w:pPr>
    </w:p>
    <w:p w:rsidR="007C76E1" w:rsidRPr="007C76E1" w:rsidRDefault="007C76E1" w:rsidP="007C76E1">
      <w:pPr>
        <w:spacing w:after="0" w:line="240" w:lineRule="auto"/>
        <w:rPr>
          <w:rFonts w:ascii="Times New Roman" w:hAnsi="Times New Roman"/>
          <w:bCs/>
          <w:sz w:val="20"/>
          <w:szCs w:val="20"/>
        </w:rPr>
        <w:sectPr w:rsidR="007C76E1" w:rsidRPr="007C76E1" w:rsidSect="007C76E1">
          <w:footerReference w:type="default" r:id="rId15"/>
          <w:pgSz w:w="11906" w:h="16838"/>
          <w:pgMar w:top="1417" w:right="1417" w:bottom="1417" w:left="1417" w:header="708" w:footer="708" w:gutter="0"/>
          <w:cols w:space="708"/>
          <w:docGrid w:linePitch="360"/>
        </w:sectPr>
      </w:pPr>
    </w:p>
    <w:p w:rsidR="007C76E1" w:rsidRPr="007C76E1" w:rsidRDefault="007C76E1" w:rsidP="007C76E1">
      <w:pPr>
        <w:spacing w:after="0" w:line="240" w:lineRule="auto"/>
        <w:rPr>
          <w:rFonts w:ascii="Times New Roman" w:hAnsi="Times New Roman"/>
          <w:bCs/>
          <w:sz w:val="20"/>
          <w:szCs w:val="20"/>
        </w:rPr>
      </w:pPr>
      <w:bookmarkStart w:id="69" w:name="_Toc502863831"/>
      <w:r w:rsidRPr="007C76E1">
        <w:rPr>
          <w:rFonts w:ascii="Times New Roman" w:hAnsi="Times New Roman"/>
          <w:bCs/>
          <w:sz w:val="20"/>
          <w:szCs w:val="20"/>
        </w:rPr>
        <w:t>Tableau 2</w:t>
      </w:r>
      <w:r>
        <w:rPr>
          <w:rFonts w:ascii="Times New Roman" w:hAnsi="Times New Roman"/>
          <w:bCs/>
          <w:sz w:val="20"/>
          <w:szCs w:val="20"/>
        </w:rPr>
        <w:t>6</w:t>
      </w:r>
      <w:r w:rsidRPr="007C76E1">
        <w:rPr>
          <w:rFonts w:ascii="Times New Roman" w:hAnsi="Times New Roman"/>
          <w:bCs/>
          <w:sz w:val="20"/>
          <w:szCs w:val="20"/>
        </w:rPr>
        <w:t> : Synopsis sur les Programmes conjoints</w:t>
      </w:r>
      <w:bookmarkEnd w:id="69"/>
    </w:p>
    <w:p w:rsidR="007C76E1" w:rsidRPr="007C76E1" w:rsidRDefault="007C76E1" w:rsidP="007C76E1">
      <w:pPr>
        <w:spacing w:after="0" w:line="240" w:lineRule="auto"/>
        <w:rPr>
          <w:rFonts w:ascii="Times New Roman" w:hAnsi="Times New Roman"/>
          <w:bCs/>
          <w:sz w:val="20"/>
          <w:szCs w:val="20"/>
        </w:rPr>
      </w:pPr>
    </w:p>
    <w:p w:rsidR="007C76E1" w:rsidRPr="007C76E1" w:rsidRDefault="007C76E1" w:rsidP="007C76E1">
      <w:pPr>
        <w:spacing w:after="0" w:line="240" w:lineRule="auto"/>
        <w:rPr>
          <w:rFonts w:ascii="Times New Roman" w:hAnsi="Times New Roman"/>
          <w:sz w:val="20"/>
          <w:szCs w:val="20"/>
        </w:rPr>
      </w:pPr>
    </w:p>
    <w:tbl>
      <w:tblPr>
        <w:tblStyle w:val="Grilledutableau4"/>
        <w:tblW w:w="15818" w:type="dxa"/>
        <w:jc w:val="center"/>
        <w:tblLook w:val="04A0" w:firstRow="1" w:lastRow="0" w:firstColumn="1" w:lastColumn="0" w:noHBand="0" w:noVBand="1"/>
      </w:tblPr>
      <w:tblGrid>
        <w:gridCol w:w="1596"/>
        <w:gridCol w:w="1572"/>
        <w:gridCol w:w="1684"/>
        <w:gridCol w:w="1384"/>
        <w:gridCol w:w="1506"/>
        <w:gridCol w:w="1695"/>
        <w:gridCol w:w="1717"/>
        <w:gridCol w:w="2795"/>
        <w:gridCol w:w="1869"/>
      </w:tblGrid>
      <w:tr w:rsidR="007C76E1" w:rsidRPr="007C76E1" w:rsidTr="007C76E1">
        <w:trPr>
          <w:trHeight w:val="1148"/>
          <w:jc w:val="center"/>
        </w:trPr>
        <w:tc>
          <w:tcPr>
            <w:tcW w:w="1596" w:type="dxa"/>
            <w:vAlign w:val="center"/>
          </w:tcPr>
          <w:p w:rsidR="007C76E1" w:rsidRPr="007C76E1" w:rsidRDefault="007C76E1" w:rsidP="007C76E1">
            <w:pPr>
              <w:spacing w:after="0" w:line="240" w:lineRule="auto"/>
              <w:jc w:val="center"/>
              <w:rPr>
                <w:sz w:val="20"/>
                <w:szCs w:val="20"/>
              </w:rPr>
            </w:pPr>
            <w:r w:rsidRPr="007C76E1">
              <w:rPr>
                <w:sz w:val="20"/>
                <w:szCs w:val="20"/>
              </w:rPr>
              <w:t>Nom du Programme</w:t>
            </w:r>
          </w:p>
        </w:tc>
        <w:tc>
          <w:tcPr>
            <w:tcW w:w="1572" w:type="dxa"/>
            <w:vAlign w:val="center"/>
          </w:tcPr>
          <w:p w:rsidR="007C76E1" w:rsidRPr="007C76E1" w:rsidRDefault="007C76E1" w:rsidP="007C76E1">
            <w:pPr>
              <w:spacing w:after="0" w:line="240" w:lineRule="auto"/>
              <w:jc w:val="center"/>
              <w:rPr>
                <w:sz w:val="20"/>
                <w:szCs w:val="20"/>
              </w:rPr>
            </w:pPr>
            <w:r w:rsidRPr="007C76E1">
              <w:rPr>
                <w:sz w:val="20"/>
                <w:szCs w:val="20"/>
              </w:rPr>
              <w:t>Agences UN</w:t>
            </w:r>
          </w:p>
        </w:tc>
        <w:tc>
          <w:tcPr>
            <w:tcW w:w="1684" w:type="dxa"/>
            <w:vAlign w:val="center"/>
          </w:tcPr>
          <w:p w:rsidR="007C76E1" w:rsidRPr="007C76E1" w:rsidRDefault="007C76E1" w:rsidP="007C76E1">
            <w:pPr>
              <w:spacing w:after="0" w:line="240" w:lineRule="auto"/>
              <w:jc w:val="center"/>
              <w:rPr>
                <w:sz w:val="20"/>
                <w:szCs w:val="20"/>
              </w:rPr>
            </w:pPr>
            <w:r w:rsidRPr="007C76E1">
              <w:rPr>
                <w:sz w:val="20"/>
                <w:szCs w:val="20"/>
              </w:rPr>
              <w:t>Partenaires Nationaux</w:t>
            </w:r>
          </w:p>
        </w:tc>
        <w:tc>
          <w:tcPr>
            <w:tcW w:w="1384" w:type="dxa"/>
            <w:vAlign w:val="center"/>
          </w:tcPr>
          <w:p w:rsidR="007C76E1" w:rsidRPr="007C76E1" w:rsidRDefault="007C76E1" w:rsidP="007C76E1">
            <w:pPr>
              <w:spacing w:after="0" w:line="240" w:lineRule="auto"/>
              <w:jc w:val="center"/>
              <w:rPr>
                <w:sz w:val="20"/>
                <w:szCs w:val="20"/>
              </w:rPr>
            </w:pPr>
            <w:r w:rsidRPr="007C76E1">
              <w:rPr>
                <w:sz w:val="20"/>
                <w:szCs w:val="20"/>
              </w:rPr>
              <w:t>Localisation</w:t>
            </w:r>
          </w:p>
        </w:tc>
        <w:tc>
          <w:tcPr>
            <w:tcW w:w="1506" w:type="dxa"/>
            <w:vAlign w:val="center"/>
          </w:tcPr>
          <w:p w:rsidR="007C76E1" w:rsidRPr="007C76E1" w:rsidRDefault="007C76E1" w:rsidP="007C76E1">
            <w:pPr>
              <w:spacing w:after="0" w:line="240" w:lineRule="auto"/>
              <w:jc w:val="center"/>
              <w:rPr>
                <w:sz w:val="20"/>
                <w:szCs w:val="20"/>
              </w:rPr>
            </w:pPr>
            <w:r w:rsidRPr="007C76E1">
              <w:rPr>
                <w:sz w:val="20"/>
                <w:szCs w:val="20"/>
              </w:rPr>
              <w:t>Cibles</w:t>
            </w:r>
          </w:p>
        </w:tc>
        <w:tc>
          <w:tcPr>
            <w:tcW w:w="1695" w:type="dxa"/>
            <w:vAlign w:val="center"/>
          </w:tcPr>
          <w:p w:rsidR="007C76E1" w:rsidRPr="007C76E1" w:rsidRDefault="007C76E1" w:rsidP="007C76E1">
            <w:pPr>
              <w:spacing w:after="0" w:line="240" w:lineRule="auto"/>
              <w:jc w:val="center"/>
              <w:rPr>
                <w:sz w:val="20"/>
                <w:szCs w:val="20"/>
              </w:rPr>
            </w:pPr>
            <w:r w:rsidRPr="007C76E1">
              <w:rPr>
                <w:sz w:val="20"/>
                <w:szCs w:val="20"/>
              </w:rPr>
              <w:t>Nature Programmation</w:t>
            </w:r>
          </w:p>
        </w:tc>
        <w:tc>
          <w:tcPr>
            <w:tcW w:w="1717" w:type="dxa"/>
            <w:vAlign w:val="center"/>
          </w:tcPr>
          <w:p w:rsidR="007C76E1" w:rsidRPr="007C76E1" w:rsidRDefault="007C76E1" w:rsidP="007C76E1">
            <w:pPr>
              <w:spacing w:after="0" w:line="240" w:lineRule="auto"/>
              <w:jc w:val="center"/>
              <w:rPr>
                <w:sz w:val="20"/>
                <w:szCs w:val="20"/>
              </w:rPr>
            </w:pPr>
            <w:r w:rsidRPr="007C76E1">
              <w:rPr>
                <w:sz w:val="20"/>
                <w:szCs w:val="20"/>
              </w:rPr>
              <w:t>Valeur Ajoutée</w:t>
            </w:r>
          </w:p>
        </w:tc>
        <w:tc>
          <w:tcPr>
            <w:tcW w:w="2795" w:type="dxa"/>
            <w:vAlign w:val="center"/>
          </w:tcPr>
          <w:p w:rsidR="007C76E1" w:rsidRPr="007C76E1" w:rsidRDefault="007C76E1" w:rsidP="007C76E1">
            <w:pPr>
              <w:spacing w:after="0" w:line="240" w:lineRule="auto"/>
              <w:jc w:val="center"/>
              <w:rPr>
                <w:sz w:val="20"/>
                <w:szCs w:val="20"/>
              </w:rPr>
            </w:pPr>
            <w:r w:rsidRPr="007C76E1">
              <w:rPr>
                <w:sz w:val="20"/>
                <w:szCs w:val="20"/>
              </w:rPr>
              <w:t>Effets synergie</w:t>
            </w:r>
          </w:p>
        </w:tc>
        <w:tc>
          <w:tcPr>
            <w:tcW w:w="1869" w:type="dxa"/>
            <w:vAlign w:val="center"/>
          </w:tcPr>
          <w:p w:rsidR="007C76E1" w:rsidRPr="007C76E1" w:rsidRDefault="007C76E1" w:rsidP="007C76E1">
            <w:pPr>
              <w:spacing w:after="0" w:line="240" w:lineRule="auto"/>
              <w:jc w:val="center"/>
              <w:rPr>
                <w:sz w:val="20"/>
                <w:szCs w:val="20"/>
              </w:rPr>
            </w:pPr>
            <w:r w:rsidRPr="007C76E1">
              <w:rPr>
                <w:sz w:val="20"/>
                <w:szCs w:val="20"/>
              </w:rPr>
              <w:t>Défi</w:t>
            </w:r>
          </w:p>
        </w:tc>
      </w:tr>
      <w:tr w:rsidR="007C76E1" w:rsidRPr="007C76E1" w:rsidTr="007C76E1">
        <w:trPr>
          <w:trHeight w:val="283"/>
          <w:jc w:val="center"/>
        </w:trPr>
        <w:tc>
          <w:tcPr>
            <w:tcW w:w="1596" w:type="dxa"/>
            <w:vAlign w:val="center"/>
          </w:tcPr>
          <w:p w:rsidR="007C76E1" w:rsidRPr="007C76E1" w:rsidRDefault="007C76E1" w:rsidP="007C76E1">
            <w:pPr>
              <w:spacing w:after="0" w:line="240" w:lineRule="auto"/>
              <w:rPr>
                <w:sz w:val="20"/>
                <w:szCs w:val="20"/>
              </w:rPr>
            </w:pPr>
            <w:r w:rsidRPr="007C76E1">
              <w:rPr>
                <w:bCs/>
                <w:sz w:val="20"/>
                <w:szCs w:val="20"/>
              </w:rPr>
              <w:t>Autonomisation des adolescentes et des jeunes femmes par l’éducation au Mali</w:t>
            </w:r>
          </w:p>
        </w:tc>
        <w:tc>
          <w:tcPr>
            <w:tcW w:w="1572" w:type="dxa"/>
            <w:vAlign w:val="center"/>
          </w:tcPr>
          <w:p w:rsidR="007C76E1" w:rsidRPr="007C76E1" w:rsidRDefault="007C76E1" w:rsidP="007C76E1">
            <w:pPr>
              <w:spacing w:after="0" w:line="240" w:lineRule="auto"/>
              <w:rPr>
                <w:sz w:val="20"/>
                <w:szCs w:val="20"/>
              </w:rPr>
            </w:pPr>
            <w:r w:rsidRPr="007C76E1">
              <w:rPr>
                <w:bCs/>
                <w:sz w:val="20"/>
                <w:szCs w:val="20"/>
              </w:rPr>
              <w:t>UNESCO, ONUFEMMES et UNFPA</w:t>
            </w:r>
          </w:p>
        </w:tc>
        <w:tc>
          <w:tcPr>
            <w:tcW w:w="1684" w:type="dxa"/>
            <w:vAlign w:val="center"/>
          </w:tcPr>
          <w:p w:rsidR="007C76E1" w:rsidRPr="007C76E1" w:rsidRDefault="007C76E1" w:rsidP="007C76E1">
            <w:pPr>
              <w:spacing w:after="0" w:line="240" w:lineRule="auto"/>
              <w:rPr>
                <w:sz w:val="20"/>
                <w:szCs w:val="20"/>
              </w:rPr>
            </w:pPr>
            <w:r w:rsidRPr="007C76E1">
              <w:rPr>
                <w:sz w:val="20"/>
                <w:szCs w:val="20"/>
              </w:rPr>
              <w:t>Ministère de l’éducation national, Ministère de la jeunesse, Ministère de la promotion féminine</w:t>
            </w:r>
          </w:p>
        </w:tc>
        <w:tc>
          <w:tcPr>
            <w:tcW w:w="1384" w:type="dxa"/>
            <w:vAlign w:val="center"/>
          </w:tcPr>
          <w:p w:rsidR="007C76E1" w:rsidRPr="007C76E1" w:rsidRDefault="007C76E1" w:rsidP="007C76E1">
            <w:pPr>
              <w:spacing w:after="0" w:line="240" w:lineRule="auto"/>
              <w:rPr>
                <w:sz w:val="20"/>
                <w:szCs w:val="20"/>
              </w:rPr>
            </w:pPr>
            <w:r w:rsidRPr="007C76E1">
              <w:rPr>
                <w:sz w:val="20"/>
                <w:szCs w:val="20"/>
              </w:rPr>
              <w:t>Ségou, Mopti, Tombouctou, et dans le District de Bamako</w:t>
            </w:r>
          </w:p>
        </w:tc>
        <w:tc>
          <w:tcPr>
            <w:tcW w:w="1506" w:type="dxa"/>
            <w:vAlign w:val="center"/>
          </w:tcPr>
          <w:p w:rsidR="007C76E1" w:rsidRPr="007C76E1" w:rsidRDefault="007C76E1" w:rsidP="007C76E1">
            <w:pPr>
              <w:spacing w:after="0" w:line="240" w:lineRule="auto"/>
              <w:rPr>
                <w:sz w:val="20"/>
                <w:szCs w:val="20"/>
              </w:rPr>
            </w:pPr>
            <w:r w:rsidRPr="007C76E1">
              <w:rPr>
                <w:sz w:val="20"/>
                <w:szCs w:val="20"/>
              </w:rPr>
              <w:t>adolescentes et aux jeunes femmes/ même cible</w:t>
            </w:r>
          </w:p>
        </w:tc>
        <w:tc>
          <w:tcPr>
            <w:tcW w:w="1695" w:type="dxa"/>
            <w:vAlign w:val="center"/>
          </w:tcPr>
          <w:p w:rsidR="007C76E1" w:rsidRPr="007C76E1" w:rsidRDefault="007C76E1" w:rsidP="007C76E1">
            <w:pPr>
              <w:spacing w:after="0" w:line="240" w:lineRule="auto"/>
              <w:rPr>
                <w:sz w:val="20"/>
                <w:szCs w:val="20"/>
              </w:rPr>
            </w:pPr>
            <w:r w:rsidRPr="007C76E1">
              <w:rPr>
                <w:sz w:val="20"/>
                <w:szCs w:val="20"/>
              </w:rPr>
              <w:t>Programmation juxtaposée</w:t>
            </w:r>
          </w:p>
        </w:tc>
        <w:tc>
          <w:tcPr>
            <w:tcW w:w="1717" w:type="dxa"/>
            <w:vAlign w:val="center"/>
          </w:tcPr>
          <w:p w:rsidR="007C76E1" w:rsidRPr="007C76E1" w:rsidRDefault="007C76E1" w:rsidP="007C76E1">
            <w:pPr>
              <w:spacing w:after="0" w:line="240" w:lineRule="auto"/>
              <w:rPr>
                <w:sz w:val="20"/>
                <w:szCs w:val="20"/>
              </w:rPr>
            </w:pPr>
            <w:r w:rsidRPr="007C76E1">
              <w:rPr>
                <w:sz w:val="20"/>
                <w:szCs w:val="20"/>
              </w:rPr>
              <w:t>Consensus sur les critères d’identification des écoles formelles et non formelles au niveau des régions concernées</w:t>
            </w:r>
          </w:p>
        </w:tc>
        <w:tc>
          <w:tcPr>
            <w:tcW w:w="2795" w:type="dxa"/>
            <w:vAlign w:val="center"/>
          </w:tcPr>
          <w:p w:rsidR="007C76E1" w:rsidRPr="007C76E1" w:rsidRDefault="007C76E1" w:rsidP="007C76E1">
            <w:pPr>
              <w:spacing w:after="0" w:line="240" w:lineRule="auto"/>
              <w:rPr>
                <w:sz w:val="20"/>
                <w:szCs w:val="20"/>
              </w:rPr>
            </w:pPr>
            <w:r w:rsidRPr="007C76E1">
              <w:rPr>
                <w:sz w:val="20"/>
                <w:szCs w:val="20"/>
              </w:rPr>
              <w:t>Harmonisation des procédures des différentes agences en cours</w:t>
            </w:r>
          </w:p>
        </w:tc>
        <w:tc>
          <w:tcPr>
            <w:tcW w:w="1869" w:type="dxa"/>
            <w:vAlign w:val="center"/>
          </w:tcPr>
          <w:p w:rsidR="007C76E1" w:rsidRPr="007C76E1" w:rsidRDefault="007C76E1" w:rsidP="007C76E1">
            <w:pPr>
              <w:spacing w:after="0" w:line="240" w:lineRule="auto"/>
              <w:rPr>
                <w:sz w:val="20"/>
                <w:szCs w:val="20"/>
              </w:rPr>
            </w:pPr>
            <w:r w:rsidRPr="007C76E1">
              <w:rPr>
                <w:sz w:val="20"/>
                <w:szCs w:val="20"/>
              </w:rPr>
              <w:t>organisation : sur le plan procédurale les agences n’utilisent les mêmes outils</w:t>
            </w:r>
          </w:p>
          <w:p w:rsidR="007C76E1" w:rsidRPr="007C76E1" w:rsidRDefault="007C76E1" w:rsidP="007C76E1">
            <w:pPr>
              <w:spacing w:after="0" w:line="240" w:lineRule="auto"/>
              <w:rPr>
                <w:sz w:val="20"/>
                <w:szCs w:val="20"/>
              </w:rPr>
            </w:pPr>
          </w:p>
          <w:p w:rsidR="007C76E1" w:rsidRPr="007C76E1" w:rsidRDefault="007C76E1" w:rsidP="007C76E1">
            <w:pPr>
              <w:spacing w:after="0" w:line="240" w:lineRule="auto"/>
              <w:rPr>
                <w:sz w:val="20"/>
                <w:szCs w:val="20"/>
              </w:rPr>
            </w:pPr>
            <w:r w:rsidRPr="007C76E1">
              <w:rPr>
                <w:sz w:val="20"/>
                <w:szCs w:val="20"/>
              </w:rPr>
              <w:t>Diversité culturelles des zones du projet</w:t>
            </w:r>
          </w:p>
          <w:p w:rsidR="007C76E1" w:rsidRPr="007C76E1" w:rsidRDefault="007C76E1" w:rsidP="007C76E1">
            <w:pPr>
              <w:spacing w:after="0" w:line="240" w:lineRule="auto"/>
              <w:rPr>
                <w:sz w:val="20"/>
                <w:szCs w:val="20"/>
              </w:rPr>
            </w:pPr>
            <w:r w:rsidRPr="007C76E1">
              <w:rPr>
                <w:sz w:val="20"/>
                <w:szCs w:val="20"/>
              </w:rPr>
              <w:t>Ressources limitées</w:t>
            </w:r>
          </w:p>
        </w:tc>
      </w:tr>
      <w:tr w:rsidR="007C76E1" w:rsidRPr="007C76E1" w:rsidTr="007C76E1">
        <w:trPr>
          <w:trHeight w:val="283"/>
          <w:jc w:val="center"/>
        </w:trPr>
        <w:tc>
          <w:tcPr>
            <w:tcW w:w="1596" w:type="dxa"/>
            <w:vAlign w:val="center"/>
          </w:tcPr>
          <w:p w:rsidR="007C76E1" w:rsidRPr="007C76E1" w:rsidRDefault="007C76E1" w:rsidP="007C76E1">
            <w:pPr>
              <w:spacing w:after="0" w:line="240" w:lineRule="auto"/>
              <w:rPr>
                <w:sz w:val="20"/>
                <w:szCs w:val="20"/>
              </w:rPr>
            </w:pPr>
            <w:r w:rsidRPr="007C76E1">
              <w:rPr>
                <w:bCs/>
                <w:sz w:val="20"/>
                <w:szCs w:val="20"/>
              </w:rPr>
              <w:t>Initiative Pauvreté - Environnement (IPE)</w:t>
            </w:r>
          </w:p>
        </w:tc>
        <w:tc>
          <w:tcPr>
            <w:tcW w:w="1572" w:type="dxa"/>
            <w:vAlign w:val="center"/>
          </w:tcPr>
          <w:p w:rsidR="007C76E1" w:rsidRPr="007C76E1" w:rsidRDefault="007C76E1" w:rsidP="007C76E1">
            <w:pPr>
              <w:spacing w:after="0" w:line="240" w:lineRule="auto"/>
              <w:rPr>
                <w:sz w:val="20"/>
                <w:szCs w:val="20"/>
              </w:rPr>
            </w:pPr>
            <w:r w:rsidRPr="007C76E1">
              <w:rPr>
                <w:bCs/>
                <w:sz w:val="20"/>
                <w:szCs w:val="20"/>
              </w:rPr>
              <w:t>PNUD et PNUE</w:t>
            </w:r>
          </w:p>
        </w:tc>
        <w:tc>
          <w:tcPr>
            <w:tcW w:w="1684" w:type="dxa"/>
            <w:vAlign w:val="center"/>
          </w:tcPr>
          <w:p w:rsidR="007C76E1" w:rsidRPr="007C76E1" w:rsidRDefault="007C76E1" w:rsidP="007C76E1">
            <w:pPr>
              <w:spacing w:after="0" w:line="240" w:lineRule="auto"/>
              <w:rPr>
                <w:sz w:val="20"/>
                <w:szCs w:val="20"/>
              </w:rPr>
            </w:pPr>
            <w:r w:rsidRPr="007C76E1">
              <w:rPr>
                <w:sz w:val="20"/>
                <w:szCs w:val="20"/>
              </w:rPr>
              <w:t>Ministère de l’Environnement</w:t>
            </w:r>
          </w:p>
          <w:p w:rsidR="007C76E1" w:rsidRPr="007C76E1" w:rsidRDefault="007C76E1" w:rsidP="007C76E1">
            <w:pPr>
              <w:spacing w:after="0" w:line="240" w:lineRule="auto"/>
              <w:rPr>
                <w:sz w:val="20"/>
                <w:szCs w:val="20"/>
              </w:rPr>
            </w:pPr>
            <w:r w:rsidRPr="007C76E1">
              <w:rPr>
                <w:sz w:val="20"/>
                <w:szCs w:val="20"/>
              </w:rPr>
              <w:t>Ministère de l’économie et des finances</w:t>
            </w:r>
          </w:p>
          <w:p w:rsidR="007C76E1" w:rsidRPr="007C76E1" w:rsidRDefault="007C76E1" w:rsidP="007C76E1">
            <w:pPr>
              <w:spacing w:after="0" w:line="240" w:lineRule="auto"/>
              <w:rPr>
                <w:sz w:val="20"/>
                <w:szCs w:val="20"/>
              </w:rPr>
            </w:pPr>
            <w:r w:rsidRPr="007C76E1">
              <w:rPr>
                <w:sz w:val="20"/>
                <w:szCs w:val="20"/>
              </w:rPr>
              <w:t>AEDD</w:t>
            </w:r>
          </w:p>
        </w:tc>
        <w:tc>
          <w:tcPr>
            <w:tcW w:w="1384" w:type="dxa"/>
            <w:vAlign w:val="center"/>
          </w:tcPr>
          <w:p w:rsidR="007C76E1" w:rsidRPr="007C76E1" w:rsidRDefault="007C76E1" w:rsidP="007C76E1">
            <w:pPr>
              <w:spacing w:after="0" w:line="240" w:lineRule="auto"/>
              <w:rPr>
                <w:sz w:val="20"/>
                <w:szCs w:val="20"/>
              </w:rPr>
            </w:pPr>
            <w:r w:rsidRPr="007C76E1">
              <w:rPr>
                <w:sz w:val="20"/>
                <w:szCs w:val="20"/>
              </w:rPr>
              <w:t>Koulikoro, Kayes, Ségou, Sikasso</w:t>
            </w:r>
          </w:p>
        </w:tc>
        <w:tc>
          <w:tcPr>
            <w:tcW w:w="1506" w:type="dxa"/>
            <w:vAlign w:val="center"/>
          </w:tcPr>
          <w:p w:rsidR="007C76E1" w:rsidRPr="007C76E1" w:rsidRDefault="007C76E1" w:rsidP="007C76E1">
            <w:pPr>
              <w:spacing w:after="0" w:line="240" w:lineRule="auto"/>
              <w:rPr>
                <w:sz w:val="20"/>
                <w:szCs w:val="20"/>
              </w:rPr>
            </w:pPr>
            <w:r w:rsidRPr="007C76E1">
              <w:rPr>
                <w:sz w:val="20"/>
                <w:szCs w:val="20"/>
              </w:rPr>
              <w:t>Collectivités décentralisées</w:t>
            </w:r>
          </w:p>
        </w:tc>
        <w:tc>
          <w:tcPr>
            <w:tcW w:w="1695" w:type="dxa"/>
            <w:vAlign w:val="center"/>
          </w:tcPr>
          <w:p w:rsidR="007C76E1" w:rsidRPr="007C76E1" w:rsidRDefault="007C76E1" w:rsidP="007C76E1">
            <w:pPr>
              <w:spacing w:after="0" w:line="240" w:lineRule="auto"/>
              <w:rPr>
                <w:sz w:val="20"/>
                <w:szCs w:val="20"/>
              </w:rPr>
            </w:pPr>
            <w:r w:rsidRPr="007C76E1">
              <w:rPr>
                <w:sz w:val="20"/>
                <w:szCs w:val="20"/>
              </w:rPr>
              <w:t>Programmation conjointe</w:t>
            </w:r>
          </w:p>
        </w:tc>
        <w:tc>
          <w:tcPr>
            <w:tcW w:w="1717" w:type="dxa"/>
            <w:vAlign w:val="center"/>
          </w:tcPr>
          <w:p w:rsidR="007C76E1" w:rsidRPr="007C76E1" w:rsidRDefault="007C76E1" w:rsidP="007C76E1">
            <w:pPr>
              <w:spacing w:after="0" w:line="240" w:lineRule="auto"/>
              <w:rPr>
                <w:sz w:val="20"/>
                <w:szCs w:val="20"/>
              </w:rPr>
            </w:pPr>
            <w:r w:rsidRPr="007C76E1">
              <w:rPr>
                <w:sz w:val="20"/>
                <w:szCs w:val="20"/>
              </w:rPr>
              <w:t>Renforcement des capacités des collectivités</w:t>
            </w:r>
          </w:p>
          <w:p w:rsidR="007C76E1" w:rsidRPr="007C76E1" w:rsidRDefault="007C76E1" w:rsidP="007C76E1">
            <w:pPr>
              <w:spacing w:after="0" w:line="240" w:lineRule="auto"/>
              <w:rPr>
                <w:sz w:val="20"/>
                <w:szCs w:val="20"/>
              </w:rPr>
            </w:pPr>
            <w:r w:rsidRPr="007C76E1">
              <w:rPr>
                <w:sz w:val="20"/>
                <w:szCs w:val="20"/>
              </w:rPr>
              <w:t>Intégration dans les plans locaux de développement des collectivités décentralisées des questions d’adaptation et de changements climatiques</w:t>
            </w:r>
          </w:p>
        </w:tc>
        <w:tc>
          <w:tcPr>
            <w:tcW w:w="2795" w:type="dxa"/>
            <w:vAlign w:val="center"/>
          </w:tcPr>
          <w:p w:rsidR="007C76E1" w:rsidRPr="007C76E1" w:rsidRDefault="007C76E1" w:rsidP="007C76E1">
            <w:pPr>
              <w:spacing w:after="0" w:line="240" w:lineRule="auto"/>
              <w:rPr>
                <w:sz w:val="20"/>
                <w:szCs w:val="20"/>
              </w:rPr>
            </w:pPr>
            <w:r w:rsidRPr="007C76E1">
              <w:rPr>
                <w:sz w:val="20"/>
                <w:szCs w:val="20"/>
              </w:rPr>
              <w:t>Harmonisation des interventions dans le domaine du développement des outils de planification locales en lien avec les questions de l’environnement</w:t>
            </w:r>
          </w:p>
        </w:tc>
        <w:tc>
          <w:tcPr>
            <w:tcW w:w="1869" w:type="dxa"/>
            <w:vAlign w:val="center"/>
          </w:tcPr>
          <w:p w:rsidR="007C76E1" w:rsidRPr="007C76E1" w:rsidRDefault="007C76E1" w:rsidP="007C76E1">
            <w:pPr>
              <w:spacing w:after="0" w:line="240" w:lineRule="auto"/>
              <w:rPr>
                <w:sz w:val="20"/>
                <w:szCs w:val="20"/>
              </w:rPr>
            </w:pPr>
            <w:r w:rsidRPr="007C76E1">
              <w:rPr>
                <w:sz w:val="20"/>
                <w:szCs w:val="20"/>
              </w:rPr>
              <w:t>Vulgarisation des outils développés sur l’étendue du territoire</w:t>
            </w:r>
          </w:p>
          <w:p w:rsidR="007C76E1" w:rsidRPr="007C76E1" w:rsidRDefault="007C76E1" w:rsidP="007C76E1">
            <w:pPr>
              <w:spacing w:after="0" w:line="240" w:lineRule="auto"/>
              <w:rPr>
                <w:sz w:val="20"/>
                <w:szCs w:val="20"/>
              </w:rPr>
            </w:pPr>
            <w:r w:rsidRPr="007C76E1">
              <w:rPr>
                <w:sz w:val="20"/>
                <w:szCs w:val="20"/>
              </w:rPr>
              <w:t>Ressources limitées</w:t>
            </w:r>
          </w:p>
        </w:tc>
      </w:tr>
      <w:tr w:rsidR="007C76E1" w:rsidRPr="007C76E1" w:rsidTr="007C76E1">
        <w:trPr>
          <w:trHeight w:val="283"/>
          <w:jc w:val="center"/>
        </w:trPr>
        <w:tc>
          <w:tcPr>
            <w:tcW w:w="1596" w:type="dxa"/>
            <w:vAlign w:val="center"/>
          </w:tcPr>
          <w:p w:rsidR="007C76E1" w:rsidRPr="007C76E1" w:rsidRDefault="007C76E1" w:rsidP="007C76E1">
            <w:pPr>
              <w:spacing w:after="0" w:line="240" w:lineRule="auto"/>
              <w:rPr>
                <w:sz w:val="20"/>
                <w:szCs w:val="20"/>
              </w:rPr>
            </w:pPr>
            <w:r w:rsidRPr="007C76E1">
              <w:rPr>
                <w:bCs/>
                <w:sz w:val="20"/>
                <w:szCs w:val="20"/>
              </w:rPr>
              <w:t>Appui à la résilience des populations vulnérables au nord du Mali</w:t>
            </w:r>
          </w:p>
        </w:tc>
        <w:tc>
          <w:tcPr>
            <w:tcW w:w="1572" w:type="dxa"/>
            <w:vAlign w:val="center"/>
          </w:tcPr>
          <w:p w:rsidR="007C76E1" w:rsidRPr="007C76E1" w:rsidRDefault="007C76E1" w:rsidP="007C76E1">
            <w:pPr>
              <w:spacing w:after="0" w:line="240" w:lineRule="auto"/>
              <w:rPr>
                <w:sz w:val="20"/>
                <w:szCs w:val="20"/>
              </w:rPr>
            </w:pPr>
            <w:r w:rsidRPr="007C76E1">
              <w:rPr>
                <w:bCs/>
                <w:sz w:val="20"/>
                <w:szCs w:val="20"/>
              </w:rPr>
              <w:t>PAM et FAO</w:t>
            </w:r>
          </w:p>
        </w:tc>
        <w:tc>
          <w:tcPr>
            <w:tcW w:w="1684" w:type="dxa"/>
            <w:vAlign w:val="center"/>
          </w:tcPr>
          <w:p w:rsidR="007C76E1" w:rsidRPr="007C76E1" w:rsidRDefault="007C76E1" w:rsidP="007C76E1">
            <w:pPr>
              <w:spacing w:after="0" w:line="240" w:lineRule="auto"/>
              <w:rPr>
                <w:sz w:val="20"/>
                <w:szCs w:val="20"/>
              </w:rPr>
            </w:pPr>
            <w:r w:rsidRPr="007C76E1">
              <w:rPr>
                <w:sz w:val="20"/>
                <w:szCs w:val="20"/>
              </w:rPr>
              <w:t>Ministère de l’environnement, Ministère de l’agriculture, Ministère de l’économie et des finances</w:t>
            </w:r>
          </w:p>
        </w:tc>
        <w:tc>
          <w:tcPr>
            <w:tcW w:w="1384" w:type="dxa"/>
            <w:vAlign w:val="center"/>
          </w:tcPr>
          <w:p w:rsidR="007C76E1" w:rsidRPr="007C76E1" w:rsidRDefault="007C76E1" w:rsidP="007C76E1">
            <w:pPr>
              <w:spacing w:after="0" w:line="240" w:lineRule="auto"/>
              <w:rPr>
                <w:sz w:val="20"/>
                <w:szCs w:val="20"/>
              </w:rPr>
            </w:pPr>
            <w:r w:rsidRPr="007C76E1">
              <w:rPr>
                <w:sz w:val="20"/>
                <w:szCs w:val="20"/>
              </w:rPr>
              <w:t>Mopti, Gao, Ménaka et Tombouctou</w:t>
            </w:r>
          </w:p>
        </w:tc>
        <w:tc>
          <w:tcPr>
            <w:tcW w:w="1506" w:type="dxa"/>
            <w:vAlign w:val="center"/>
          </w:tcPr>
          <w:p w:rsidR="007C76E1" w:rsidRPr="007C76E1" w:rsidRDefault="007C76E1" w:rsidP="007C76E1">
            <w:pPr>
              <w:spacing w:after="0" w:line="240" w:lineRule="auto"/>
              <w:rPr>
                <w:sz w:val="20"/>
                <w:szCs w:val="20"/>
              </w:rPr>
            </w:pPr>
            <w:r w:rsidRPr="007C76E1">
              <w:rPr>
                <w:sz w:val="20"/>
                <w:szCs w:val="20"/>
              </w:rPr>
              <w:t>Ménages vulnérables vivant de l’agriculture, de l’élevage et de la pêche</w:t>
            </w:r>
          </w:p>
        </w:tc>
        <w:tc>
          <w:tcPr>
            <w:tcW w:w="1695" w:type="dxa"/>
            <w:vAlign w:val="center"/>
          </w:tcPr>
          <w:p w:rsidR="007C76E1" w:rsidRPr="007C76E1" w:rsidRDefault="007C76E1" w:rsidP="007C76E1">
            <w:pPr>
              <w:spacing w:after="0" w:line="240" w:lineRule="auto"/>
              <w:rPr>
                <w:sz w:val="20"/>
                <w:szCs w:val="20"/>
              </w:rPr>
            </w:pPr>
            <w:r w:rsidRPr="007C76E1">
              <w:rPr>
                <w:sz w:val="20"/>
                <w:szCs w:val="20"/>
              </w:rPr>
              <w:t>Programmation juxtaposée</w:t>
            </w:r>
          </w:p>
        </w:tc>
        <w:tc>
          <w:tcPr>
            <w:tcW w:w="1717" w:type="dxa"/>
            <w:vAlign w:val="center"/>
          </w:tcPr>
          <w:p w:rsidR="007C76E1" w:rsidRPr="007C76E1" w:rsidRDefault="007C76E1" w:rsidP="007C76E1">
            <w:pPr>
              <w:spacing w:after="0" w:line="240" w:lineRule="auto"/>
              <w:rPr>
                <w:sz w:val="20"/>
                <w:szCs w:val="20"/>
              </w:rPr>
            </w:pPr>
            <w:r w:rsidRPr="007C76E1">
              <w:rPr>
                <w:sz w:val="20"/>
                <w:szCs w:val="20"/>
              </w:rPr>
              <w:t>Réalisation d’infrastructures économiques dans les zones d’interventions (aménagements, forages, chenaux, marres, puits, parcs, etc.)</w:t>
            </w:r>
          </w:p>
        </w:tc>
        <w:tc>
          <w:tcPr>
            <w:tcW w:w="2795" w:type="dxa"/>
            <w:vAlign w:val="center"/>
          </w:tcPr>
          <w:p w:rsidR="007C76E1" w:rsidRPr="007C76E1" w:rsidRDefault="007C76E1" w:rsidP="007C76E1">
            <w:pPr>
              <w:spacing w:after="0" w:line="240" w:lineRule="auto"/>
              <w:rPr>
                <w:sz w:val="20"/>
                <w:szCs w:val="20"/>
              </w:rPr>
            </w:pPr>
            <w:r w:rsidRPr="007C76E1">
              <w:rPr>
                <w:sz w:val="20"/>
                <w:szCs w:val="20"/>
              </w:rPr>
              <w:t>Cadre intégré de développement local</w:t>
            </w:r>
          </w:p>
        </w:tc>
        <w:tc>
          <w:tcPr>
            <w:tcW w:w="1869" w:type="dxa"/>
            <w:vAlign w:val="center"/>
          </w:tcPr>
          <w:p w:rsidR="007C76E1" w:rsidRPr="007C76E1" w:rsidRDefault="007C76E1" w:rsidP="007C76E1">
            <w:pPr>
              <w:spacing w:after="0" w:line="240" w:lineRule="auto"/>
              <w:rPr>
                <w:sz w:val="20"/>
                <w:szCs w:val="20"/>
              </w:rPr>
            </w:pPr>
            <w:r w:rsidRPr="007C76E1">
              <w:rPr>
                <w:sz w:val="20"/>
                <w:szCs w:val="20"/>
              </w:rPr>
              <w:t>Sécuritaire : volatilité de la sécurité dans les régions du projet</w:t>
            </w:r>
          </w:p>
          <w:p w:rsidR="007C76E1" w:rsidRPr="007C76E1" w:rsidRDefault="007C76E1" w:rsidP="007C76E1">
            <w:pPr>
              <w:spacing w:after="0" w:line="240" w:lineRule="auto"/>
              <w:rPr>
                <w:sz w:val="20"/>
                <w:szCs w:val="20"/>
              </w:rPr>
            </w:pPr>
            <w:r w:rsidRPr="007C76E1">
              <w:rPr>
                <w:sz w:val="20"/>
                <w:szCs w:val="20"/>
              </w:rPr>
              <w:t>Ressources limitées.</w:t>
            </w:r>
          </w:p>
        </w:tc>
      </w:tr>
      <w:tr w:rsidR="007C76E1" w:rsidRPr="007C76E1" w:rsidTr="007C76E1">
        <w:trPr>
          <w:trHeight w:val="283"/>
          <w:jc w:val="center"/>
        </w:trPr>
        <w:tc>
          <w:tcPr>
            <w:tcW w:w="1596" w:type="dxa"/>
            <w:vAlign w:val="center"/>
          </w:tcPr>
          <w:p w:rsidR="007C76E1" w:rsidRPr="007C76E1" w:rsidRDefault="007C76E1" w:rsidP="007C76E1">
            <w:pPr>
              <w:spacing w:after="0" w:line="240" w:lineRule="auto"/>
              <w:rPr>
                <w:sz w:val="20"/>
                <w:szCs w:val="20"/>
              </w:rPr>
            </w:pPr>
            <w:r w:rsidRPr="007C76E1">
              <w:rPr>
                <w:bCs/>
                <w:sz w:val="20"/>
                <w:szCs w:val="20"/>
              </w:rPr>
              <w:t>Lutter contre les facteurs de conflit au Mali à travers l’état de droit/ Global Focal Point (GFP)</w:t>
            </w:r>
          </w:p>
        </w:tc>
        <w:tc>
          <w:tcPr>
            <w:tcW w:w="1572" w:type="dxa"/>
            <w:vAlign w:val="center"/>
          </w:tcPr>
          <w:p w:rsidR="007C76E1" w:rsidRPr="007C76E1" w:rsidRDefault="007C76E1" w:rsidP="007C76E1">
            <w:pPr>
              <w:spacing w:after="0" w:line="240" w:lineRule="auto"/>
              <w:rPr>
                <w:sz w:val="20"/>
                <w:szCs w:val="20"/>
              </w:rPr>
            </w:pPr>
            <w:r w:rsidRPr="007C76E1">
              <w:rPr>
                <w:bCs/>
                <w:sz w:val="20"/>
                <w:szCs w:val="20"/>
              </w:rPr>
              <w:t>PNUD, ONUFEMMES, UNODC, OHCHR et les sections Droits de l’Homme, Justice et Corrections, et UNPOL de la MINUSMA</w:t>
            </w:r>
          </w:p>
        </w:tc>
        <w:tc>
          <w:tcPr>
            <w:tcW w:w="1684" w:type="dxa"/>
            <w:vAlign w:val="center"/>
          </w:tcPr>
          <w:p w:rsidR="007C76E1" w:rsidRPr="007C76E1" w:rsidRDefault="007C76E1" w:rsidP="007C76E1">
            <w:pPr>
              <w:spacing w:after="0" w:line="240" w:lineRule="auto"/>
              <w:rPr>
                <w:sz w:val="20"/>
                <w:szCs w:val="20"/>
              </w:rPr>
            </w:pPr>
            <w:r w:rsidRPr="007C76E1">
              <w:rPr>
                <w:sz w:val="20"/>
                <w:szCs w:val="20"/>
              </w:rPr>
              <w:t>Ministère de la Justice et des Droits de l’Homme</w:t>
            </w:r>
          </w:p>
        </w:tc>
        <w:tc>
          <w:tcPr>
            <w:tcW w:w="1384" w:type="dxa"/>
            <w:vAlign w:val="center"/>
          </w:tcPr>
          <w:p w:rsidR="007C76E1" w:rsidRPr="007C76E1" w:rsidRDefault="007C76E1" w:rsidP="007C76E1">
            <w:pPr>
              <w:spacing w:after="0" w:line="240" w:lineRule="auto"/>
              <w:rPr>
                <w:sz w:val="20"/>
                <w:szCs w:val="20"/>
              </w:rPr>
            </w:pPr>
            <w:r w:rsidRPr="007C76E1">
              <w:rPr>
                <w:sz w:val="20"/>
                <w:szCs w:val="20"/>
              </w:rPr>
              <w:t>Ségou, Mopti, Gao, Tombouctou</w:t>
            </w:r>
          </w:p>
        </w:tc>
        <w:tc>
          <w:tcPr>
            <w:tcW w:w="1506" w:type="dxa"/>
            <w:vAlign w:val="center"/>
          </w:tcPr>
          <w:p w:rsidR="007C76E1" w:rsidRPr="007C76E1" w:rsidRDefault="007C76E1" w:rsidP="007C76E1">
            <w:pPr>
              <w:spacing w:after="0" w:line="240" w:lineRule="auto"/>
              <w:rPr>
                <w:sz w:val="20"/>
                <w:szCs w:val="20"/>
              </w:rPr>
            </w:pPr>
            <w:r w:rsidRPr="007C76E1">
              <w:rPr>
                <w:sz w:val="20"/>
                <w:szCs w:val="20"/>
              </w:rPr>
              <w:t>Agents et usagers de la justice</w:t>
            </w:r>
          </w:p>
        </w:tc>
        <w:tc>
          <w:tcPr>
            <w:tcW w:w="1695" w:type="dxa"/>
            <w:vAlign w:val="center"/>
          </w:tcPr>
          <w:p w:rsidR="007C76E1" w:rsidRPr="007C76E1" w:rsidRDefault="007C76E1" w:rsidP="007C76E1">
            <w:pPr>
              <w:spacing w:after="0" w:line="240" w:lineRule="auto"/>
              <w:rPr>
                <w:sz w:val="20"/>
                <w:szCs w:val="20"/>
              </w:rPr>
            </w:pPr>
            <w:r w:rsidRPr="007C76E1">
              <w:rPr>
                <w:sz w:val="20"/>
                <w:szCs w:val="20"/>
              </w:rPr>
              <w:t>Programmation juxtaposée</w:t>
            </w:r>
          </w:p>
        </w:tc>
        <w:tc>
          <w:tcPr>
            <w:tcW w:w="1717" w:type="dxa"/>
            <w:vAlign w:val="center"/>
          </w:tcPr>
          <w:p w:rsidR="007C76E1" w:rsidRPr="007C76E1" w:rsidRDefault="007C76E1" w:rsidP="007C76E1">
            <w:pPr>
              <w:spacing w:after="0" w:line="240" w:lineRule="auto"/>
              <w:rPr>
                <w:sz w:val="20"/>
                <w:szCs w:val="20"/>
              </w:rPr>
            </w:pPr>
            <w:r w:rsidRPr="007C76E1">
              <w:rPr>
                <w:sz w:val="20"/>
                <w:szCs w:val="20"/>
              </w:rPr>
              <w:t>Renforcement de l’état de droit</w:t>
            </w:r>
          </w:p>
        </w:tc>
        <w:tc>
          <w:tcPr>
            <w:tcW w:w="2795" w:type="dxa"/>
            <w:vAlign w:val="center"/>
          </w:tcPr>
          <w:p w:rsidR="007C76E1" w:rsidRPr="007C76E1" w:rsidRDefault="007C76E1" w:rsidP="007C76E1">
            <w:pPr>
              <w:spacing w:after="0" w:line="240" w:lineRule="auto"/>
              <w:rPr>
                <w:sz w:val="20"/>
                <w:szCs w:val="20"/>
              </w:rPr>
            </w:pPr>
            <w:r w:rsidRPr="007C76E1">
              <w:rPr>
                <w:sz w:val="20"/>
                <w:szCs w:val="20"/>
              </w:rPr>
              <w:t>Harmonisation des outils de monitoring</w:t>
            </w:r>
          </w:p>
        </w:tc>
        <w:tc>
          <w:tcPr>
            <w:tcW w:w="1869" w:type="dxa"/>
            <w:vAlign w:val="center"/>
          </w:tcPr>
          <w:p w:rsidR="007C76E1" w:rsidRPr="007C76E1" w:rsidRDefault="007C76E1" w:rsidP="007C76E1">
            <w:pPr>
              <w:spacing w:after="0" w:line="240" w:lineRule="auto"/>
              <w:rPr>
                <w:bCs/>
                <w:sz w:val="20"/>
                <w:szCs w:val="20"/>
              </w:rPr>
            </w:pPr>
            <w:r w:rsidRPr="007C76E1">
              <w:rPr>
                <w:bCs/>
                <w:sz w:val="20"/>
                <w:szCs w:val="20"/>
              </w:rPr>
              <w:t>Mise en place d’un fonds autonome de financement de l’assistance judiciaire</w:t>
            </w:r>
          </w:p>
          <w:p w:rsidR="007C76E1" w:rsidRPr="007C76E1" w:rsidRDefault="007C76E1" w:rsidP="007C76E1">
            <w:pPr>
              <w:spacing w:after="0" w:line="240" w:lineRule="auto"/>
              <w:rPr>
                <w:sz w:val="20"/>
                <w:szCs w:val="20"/>
              </w:rPr>
            </w:pPr>
            <w:r w:rsidRPr="007C76E1">
              <w:rPr>
                <w:sz w:val="20"/>
                <w:szCs w:val="20"/>
              </w:rPr>
              <w:t>Ressources limitées</w:t>
            </w:r>
          </w:p>
        </w:tc>
      </w:tr>
      <w:tr w:rsidR="007C76E1" w:rsidRPr="007C76E1" w:rsidTr="007C76E1">
        <w:trPr>
          <w:trHeight w:val="283"/>
          <w:jc w:val="center"/>
        </w:trPr>
        <w:tc>
          <w:tcPr>
            <w:tcW w:w="1596" w:type="dxa"/>
            <w:vAlign w:val="center"/>
          </w:tcPr>
          <w:p w:rsidR="007C76E1" w:rsidRPr="007C76E1" w:rsidRDefault="007C76E1" w:rsidP="007C76E1">
            <w:pPr>
              <w:spacing w:after="0" w:line="240" w:lineRule="auto"/>
              <w:rPr>
                <w:sz w:val="20"/>
                <w:szCs w:val="20"/>
              </w:rPr>
            </w:pPr>
            <w:r w:rsidRPr="007C76E1">
              <w:rPr>
                <w:bCs/>
                <w:sz w:val="20"/>
                <w:szCs w:val="20"/>
              </w:rPr>
              <w:t>Pôle Judiciaire Spécialisé (PJS) en matière de lutte contre le terrorisme et le crime transnational organisé</w:t>
            </w:r>
          </w:p>
        </w:tc>
        <w:tc>
          <w:tcPr>
            <w:tcW w:w="1572" w:type="dxa"/>
            <w:vAlign w:val="center"/>
          </w:tcPr>
          <w:p w:rsidR="007C76E1" w:rsidRPr="007C76E1" w:rsidRDefault="007C76E1" w:rsidP="007C76E1">
            <w:pPr>
              <w:spacing w:after="0" w:line="240" w:lineRule="auto"/>
              <w:rPr>
                <w:sz w:val="20"/>
                <w:szCs w:val="20"/>
              </w:rPr>
            </w:pPr>
            <w:r w:rsidRPr="007C76E1">
              <w:rPr>
                <w:bCs/>
                <w:sz w:val="20"/>
                <w:szCs w:val="20"/>
              </w:rPr>
              <w:t>PNUD, UNDOC, UNMAS et MINUSMA</w:t>
            </w:r>
          </w:p>
        </w:tc>
        <w:tc>
          <w:tcPr>
            <w:tcW w:w="1684" w:type="dxa"/>
            <w:vAlign w:val="center"/>
          </w:tcPr>
          <w:p w:rsidR="007C76E1" w:rsidRPr="007C76E1" w:rsidRDefault="007C76E1" w:rsidP="007C76E1">
            <w:pPr>
              <w:spacing w:after="0" w:line="240" w:lineRule="auto"/>
              <w:rPr>
                <w:sz w:val="20"/>
                <w:szCs w:val="20"/>
              </w:rPr>
            </w:pPr>
            <w:r w:rsidRPr="007C76E1">
              <w:rPr>
                <w:sz w:val="20"/>
                <w:szCs w:val="20"/>
              </w:rPr>
              <w:t>Ministère de la Justice et des Droits de l’Homme</w:t>
            </w:r>
          </w:p>
        </w:tc>
        <w:tc>
          <w:tcPr>
            <w:tcW w:w="1384" w:type="dxa"/>
            <w:vAlign w:val="center"/>
          </w:tcPr>
          <w:p w:rsidR="007C76E1" w:rsidRPr="007C76E1" w:rsidRDefault="007C76E1" w:rsidP="007C76E1">
            <w:pPr>
              <w:spacing w:after="0" w:line="240" w:lineRule="auto"/>
              <w:rPr>
                <w:sz w:val="20"/>
                <w:szCs w:val="20"/>
              </w:rPr>
            </w:pPr>
            <w:r w:rsidRPr="007C76E1">
              <w:rPr>
                <w:sz w:val="20"/>
                <w:szCs w:val="20"/>
              </w:rPr>
              <w:t>Ségou, Mopti, Gao, Tombouctou</w:t>
            </w:r>
          </w:p>
        </w:tc>
        <w:tc>
          <w:tcPr>
            <w:tcW w:w="1506" w:type="dxa"/>
            <w:vAlign w:val="center"/>
          </w:tcPr>
          <w:p w:rsidR="007C76E1" w:rsidRPr="007C76E1" w:rsidRDefault="007C76E1" w:rsidP="007C76E1">
            <w:pPr>
              <w:spacing w:after="0" w:line="240" w:lineRule="auto"/>
              <w:rPr>
                <w:sz w:val="20"/>
                <w:szCs w:val="20"/>
              </w:rPr>
            </w:pPr>
            <w:r w:rsidRPr="007C76E1">
              <w:rPr>
                <w:sz w:val="20"/>
                <w:szCs w:val="20"/>
              </w:rPr>
              <w:t>Personnel du pôle judiciaire spécialisé</w:t>
            </w:r>
          </w:p>
        </w:tc>
        <w:tc>
          <w:tcPr>
            <w:tcW w:w="1695" w:type="dxa"/>
            <w:vAlign w:val="center"/>
          </w:tcPr>
          <w:p w:rsidR="007C76E1" w:rsidRPr="007C76E1" w:rsidRDefault="007C76E1" w:rsidP="007C76E1">
            <w:pPr>
              <w:spacing w:after="0" w:line="240" w:lineRule="auto"/>
              <w:rPr>
                <w:sz w:val="20"/>
                <w:szCs w:val="20"/>
              </w:rPr>
            </w:pPr>
            <w:r w:rsidRPr="007C76E1">
              <w:rPr>
                <w:sz w:val="20"/>
                <w:szCs w:val="20"/>
              </w:rPr>
              <w:t>Programmation juxtaposée</w:t>
            </w:r>
          </w:p>
        </w:tc>
        <w:tc>
          <w:tcPr>
            <w:tcW w:w="1717" w:type="dxa"/>
            <w:vAlign w:val="center"/>
          </w:tcPr>
          <w:p w:rsidR="007C76E1" w:rsidRPr="007C76E1" w:rsidRDefault="007C76E1" w:rsidP="007C76E1">
            <w:pPr>
              <w:spacing w:after="0" w:line="240" w:lineRule="auto"/>
              <w:rPr>
                <w:sz w:val="20"/>
                <w:szCs w:val="20"/>
              </w:rPr>
            </w:pPr>
            <w:r w:rsidRPr="007C76E1">
              <w:rPr>
                <w:sz w:val="20"/>
                <w:szCs w:val="20"/>
              </w:rPr>
              <w:t>Renforcement des capacités des services locaux en lutte contre le terrorisme et la criminalité organisée</w:t>
            </w:r>
          </w:p>
        </w:tc>
        <w:tc>
          <w:tcPr>
            <w:tcW w:w="2795" w:type="dxa"/>
            <w:vAlign w:val="center"/>
          </w:tcPr>
          <w:p w:rsidR="007C76E1" w:rsidRPr="007C76E1" w:rsidRDefault="007C76E1" w:rsidP="007C76E1">
            <w:pPr>
              <w:spacing w:after="0" w:line="240" w:lineRule="auto"/>
              <w:rPr>
                <w:sz w:val="20"/>
                <w:szCs w:val="20"/>
              </w:rPr>
            </w:pPr>
            <w:r w:rsidRPr="007C76E1">
              <w:rPr>
                <w:sz w:val="20"/>
                <w:szCs w:val="20"/>
              </w:rPr>
              <w:t>Harmonisation des approches</w:t>
            </w:r>
          </w:p>
        </w:tc>
        <w:tc>
          <w:tcPr>
            <w:tcW w:w="1869" w:type="dxa"/>
            <w:vAlign w:val="center"/>
          </w:tcPr>
          <w:p w:rsidR="007C76E1" w:rsidRPr="007C76E1" w:rsidRDefault="007C76E1" w:rsidP="007C76E1">
            <w:pPr>
              <w:spacing w:after="0" w:line="240" w:lineRule="auto"/>
              <w:rPr>
                <w:sz w:val="20"/>
                <w:szCs w:val="20"/>
              </w:rPr>
            </w:pPr>
            <w:r w:rsidRPr="007C76E1">
              <w:rPr>
                <w:sz w:val="20"/>
                <w:szCs w:val="20"/>
              </w:rPr>
              <w:t>Centralisation des efforts communs</w:t>
            </w:r>
          </w:p>
          <w:p w:rsidR="007C76E1" w:rsidRPr="007C76E1" w:rsidRDefault="007C76E1" w:rsidP="007C76E1">
            <w:pPr>
              <w:spacing w:after="0" w:line="240" w:lineRule="auto"/>
              <w:rPr>
                <w:sz w:val="20"/>
                <w:szCs w:val="20"/>
              </w:rPr>
            </w:pPr>
            <w:r w:rsidRPr="007C76E1">
              <w:rPr>
                <w:sz w:val="20"/>
                <w:szCs w:val="20"/>
              </w:rPr>
              <w:t>Ressources limitées</w:t>
            </w:r>
          </w:p>
        </w:tc>
      </w:tr>
      <w:tr w:rsidR="007C76E1" w:rsidRPr="007C76E1" w:rsidTr="007C76E1">
        <w:trPr>
          <w:trHeight w:val="283"/>
          <w:jc w:val="center"/>
        </w:trPr>
        <w:tc>
          <w:tcPr>
            <w:tcW w:w="1596" w:type="dxa"/>
            <w:vAlign w:val="center"/>
          </w:tcPr>
          <w:p w:rsidR="007C76E1" w:rsidRPr="007C76E1" w:rsidRDefault="007C76E1" w:rsidP="007C76E1">
            <w:pPr>
              <w:spacing w:after="0" w:line="240" w:lineRule="auto"/>
              <w:rPr>
                <w:sz w:val="20"/>
                <w:szCs w:val="20"/>
              </w:rPr>
            </w:pPr>
            <w:r w:rsidRPr="007C76E1">
              <w:rPr>
                <w:bCs/>
                <w:sz w:val="20"/>
                <w:szCs w:val="20"/>
              </w:rPr>
              <w:t>Appui à la sécurité humaine au Nord Mali à travers le renforcement de la résilience des jeunes et des femmes</w:t>
            </w:r>
          </w:p>
        </w:tc>
        <w:tc>
          <w:tcPr>
            <w:tcW w:w="1572" w:type="dxa"/>
            <w:vAlign w:val="center"/>
          </w:tcPr>
          <w:p w:rsidR="007C76E1" w:rsidRPr="007C76E1" w:rsidRDefault="007C76E1" w:rsidP="007C76E1">
            <w:pPr>
              <w:spacing w:after="0" w:line="240" w:lineRule="auto"/>
              <w:rPr>
                <w:sz w:val="20"/>
                <w:szCs w:val="20"/>
              </w:rPr>
            </w:pPr>
            <w:r w:rsidRPr="007C76E1">
              <w:rPr>
                <w:bCs/>
                <w:sz w:val="20"/>
                <w:szCs w:val="20"/>
              </w:rPr>
              <w:t>BIT, FAO, OMS, PNUD, UNFPA, UNICEF</w:t>
            </w:r>
          </w:p>
        </w:tc>
        <w:tc>
          <w:tcPr>
            <w:tcW w:w="1684" w:type="dxa"/>
            <w:vAlign w:val="center"/>
          </w:tcPr>
          <w:p w:rsidR="007C76E1" w:rsidRPr="007C76E1" w:rsidRDefault="007C76E1" w:rsidP="007C76E1">
            <w:pPr>
              <w:spacing w:after="0" w:line="240" w:lineRule="auto"/>
              <w:rPr>
                <w:sz w:val="20"/>
                <w:szCs w:val="20"/>
              </w:rPr>
            </w:pPr>
            <w:r w:rsidRPr="007C76E1">
              <w:rPr>
                <w:sz w:val="20"/>
                <w:szCs w:val="20"/>
              </w:rPr>
              <w:t>Ministère de l’Agriculture, Ministère de l’environnement</w:t>
            </w:r>
          </w:p>
          <w:p w:rsidR="007C76E1" w:rsidRPr="007C76E1" w:rsidRDefault="007C76E1" w:rsidP="007C76E1">
            <w:pPr>
              <w:spacing w:after="0" w:line="240" w:lineRule="auto"/>
              <w:rPr>
                <w:sz w:val="20"/>
                <w:szCs w:val="20"/>
              </w:rPr>
            </w:pPr>
            <w:r w:rsidRPr="007C76E1">
              <w:rPr>
                <w:sz w:val="20"/>
                <w:szCs w:val="20"/>
              </w:rPr>
              <w:t>Ministère des affaires étrangères</w:t>
            </w:r>
          </w:p>
        </w:tc>
        <w:tc>
          <w:tcPr>
            <w:tcW w:w="1384" w:type="dxa"/>
            <w:vAlign w:val="center"/>
          </w:tcPr>
          <w:p w:rsidR="007C76E1" w:rsidRPr="007C76E1" w:rsidRDefault="007C76E1" w:rsidP="007C76E1">
            <w:pPr>
              <w:spacing w:after="0" w:line="240" w:lineRule="auto"/>
              <w:rPr>
                <w:sz w:val="20"/>
                <w:szCs w:val="20"/>
              </w:rPr>
            </w:pPr>
            <w:r w:rsidRPr="007C76E1">
              <w:rPr>
                <w:sz w:val="20"/>
                <w:szCs w:val="20"/>
              </w:rPr>
              <w:t>Mopti, Gao, Tombouctou</w:t>
            </w:r>
          </w:p>
        </w:tc>
        <w:tc>
          <w:tcPr>
            <w:tcW w:w="1506" w:type="dxa"/>
            <w:vAlign w:val="center"/>
          </w:tcPr>
          <w:p w:rsidR="007C76E1" w:rsidRPr="007C76E1" w:rsidRDefault="007C76E1" w:rsidP="007C76E1">
            <w:pPr>
              <w:spacing w:after="0" w:line="240" w:lineRule="auto"/>
              <w:rPr>
                <w:sz w:val="20"/>
                <w:szCs w:val="20"/>
              </w:rPr>
            </w:pPr>
            <w:r w:rsidRPr="007C76E1">
              <w:rPr>
                <w:sz w:val="20"/>
                <w:szCs w:val="20"/>
              </w:rPr>
              <w:t>Jeunes et femmes</w:t>
            </w:r>
          </w:p>
        </w:tc>
        <w:tc>
          <w:tcPr>
            <w:tcW w:w="1695" w:type="dxa"/>
            <w:vAlign w:val="center"/>
          </w:tcPr>
          <w:p w:rsidR="007C76E1" w:rsidRPr="007C76E1" w:rsidRDefault="007C76E1" w:rsidP="007C76E1">
            <w:pPr>
              <w:spacing w:after="0" w:line="240" w:lineRule="auto"/>
              <w:rPr>
                <w:sz w:val="20"/>
                <w:szCs w:val="20"/>
              </w:rPr>
            </w:pPr>
            <w:r w:rsidRPr="007C76E1">
              <w:rPr>
                <w:sz w:val="20"/>
                <w:szCs w:val="20"/>
              </w:rPr>
              <w:t>Programmation juxtaposée</w:t>
            </w:r>
          </w:p>
        </w:tc>
        <w:tc>
          <w:tcPr>
            <w:tcW w:w="1717" w:type="dxa"/>
            <w:vAlign w:val="center"/>
          </w:tcPr>
          <w:p w:rsidR="007C76E1" w:rsidRPr="007C76E1" w:rsidRDefault="007C76E1" w:rsidP="007C76E1">
            <w:pPr>
              <w:spacing w:after="0" w:line="240" w:lineRule="auto"/>
              <w:rPr>
                <w:sz w:val="20"/>
                <w:szCs w:val="20"/>
              </w:rPr>
            </w:pPr>
            <w:r w:rsidRPr="007C76E1">
              <w:rPr>
                <w:sz w:val="20"/>
                <w:szCs w:val="20"/>
              </w:rPr>
              <w:t>Renforcement de la résilience des jeunes et femmes (plus de 1000 personnes) à travers des activités génératrices de revenus</w:t>
            </w:r>
          </w:p>
        </w:tc>
        <w:tc>
          <w:tcPr>
            <w:tcW w:w="2795" w:type="dxa"/>
            <w:vAlign w:val="center"/>
          </w:tcPr>
          <w:p w:rsidR="007C76E1" w:rsidRPr="007C76E1" w:rsidRDefault="007C76E1" w:rsidP="007C76E1">
            <w:pPr>
              <w:spacing w:after="0" w:line="240" w:lineRule="auto"/>
              <w:rPr>
                <w:sz w:val="20"/>
                <w:szCs w:val="20"/>
              </w:rPr>
            </w:pPr>
            <w:r w:rsidRPr="007C76E1">
              <w:rPr>
                <w:sz w:val="20"/>
                <w:szCs w:val="20"/>
              </w:rPr>
              <w:t>La synergie d’action établie entre une multitude d’acteurs (Agences SNU, Acteurs étatiques du gouvernement et de la société civile) à travers la mise en œuvre du projet UNTFHS pour renforcer la sécurité humaine au Nord du Mali dans un contexte de post-conflit est à même de résoudre les défis portés à l’attention des groupes vulnérables, notamment les femmes, les jeunes ainsi que les adolescents</w:t>
            </w:r>
          </w:p>
        </w:tc>
        <w:tc>
          <w:tcPr>
            <w:tcW w:w="1869" w:type="dxa"/>
            <w:vAlign w:val="center"/>
          </w:tcPr>
          <w:p w:rsidR="007C76E1" w:rsidRPr="007C76E1" w:rsidRDefault="007C76E1" w:rsidP="007C76E1">
            <w:pPr>
              <w:spacing w:after="0" w:line="240" w:lineRule="auto"/>
              <w:rPr>
                <w:sz w:val="20"/>
                <w:szCs w:val="20"/>
              </w:rPr>
            </w:pPr>
            <w:r w:rsidRPr="007C76E1">
              <w:rPr>
                <w:sz w:val="20"/>
                <w:szCs w:val="20"/>
              </w:rPr>
              <w:t>Multiplicité des partenaires (agences et services étatiques) et chacun avec son agenda, ce qui ne favorise pas l’efficience dans la coordination de la mise en œuvre du projet</w:t>
            </w:r>
          </w:p>
          <w:p w:rsidR="007C76E1" w:rsidRPr="007C76E1" w:rsidRDefault="007C76E1" w:rsidP="007C76E1">
            <w:pPr>
              <w:spacing w:after="0" w:line="240" w:lineRule="auto"/>
              <w:rPr>
                <w:sz w:val="20"/>
                <w:szCs w:val="20"/>
              </w:rPr>
            </w:pPr>
            <w:r w:rsidRPr="007C76E1">
              <w:rPr>
                <w:sz w:val="20"/>
                <w:szCs w:val="20"/>
              </w:rPr>
              <w:t>Ressources limitées</w:t>
            </w:r>
          </w:p>
        </w:tc>
      </w:tr>
    </w:tbl>
    <w:p w:rsidR="007C76E1" w:rsidRPr="007C76E1" w:rsidRDefault="007C76E1" w:rsidP="007C76E1">
      <w:pPr>
        <w:spacing w:after="0" w:line="240" w:lineRule="auto"/>
        <w:rPr>
          <w:rFonts w:ascii="Times New Roman" w:hAnsi="Times New Roman"/>
          <w:sz w:val="20"/>
          <w:szCs w:val="20"/>
        </w:rPr>
        <w:sectPr w:rsidR="007C76E1" w:rsidRPr="007C76E1" w:rsidSect="007C76E1">
          <w:pgSz w:w="16838" w:h="11906" w:orient="landscape"/>
          <w:pgMar w:top="1418" w:right="1418" w:bottom="1418" w:left="1418" w:header="709" w:footer="709" w:gutter="0"/>
          <w:cols w:space="708"/>
          <w:docGrid w:linePitch="360"/>
        </w:sectPr>
      </w:pPr>
    </w:p>
    <w:p w:rsidR="00B04B1D" w:rsidRPr="006B309F" w:rsidRDefault="00B04B1D" w:rsidP="0089432A">
      <w:pPr>
        <w:pStyle w:val="Titre2"/>
        <w:numPr>
          <w:ilvl w:val="0"/>
          <w:numId w:val="16"/>
        </w:numPr>
        <w:spacing w:before="0"/>
        <w:rPr>
          <w:rFonts w:ascii="Times New Roman" w:hAnsi="Times New Roman"/>
          <w:color w:val="auto"/>
          <w:sz w:val="24"/>
          <w:szCs w:val="24"/>
        </w:rPr>
      </w:pPr>
      <w:bookmarkStart w:id="70" w:name="_Toc500974562"/>
      <w:bookmarkStart w:id="71" w:name="_Toc502863922"/>
      <w:bookmarkStart w:id="72" w:name="_Toc505757920"/>
      <w:bookmarkStart w:id="73" w:name="_Toc506220147"/>
      <w:r w:rsidRPr="006B309F">
        <w:rPr>
          <w:rFonts w:ascii="Times New Roman" w:hAnsi="Times New Roman"/>
          <w:color w:val="auto"/>
          <w:sz w:val="24"/>
          <w:szCs w:val="24"/>
        </w:rPr>
        <w:t>Matrice</w:t>
      </w:r>
      <w:r>
        <w:rPr>
          <w:rFonts w:ascii="Times New Roman" w:hAnsi="Times New Roman"/>
          <w:color w:val="auto"/>
          <w:sz w:val="24"/>
          <w:szCs w:val="24"/>
        </w:rPr>
        <w:t>s</w:t>
      </w:r>
      <w:r w:rsidRPr="006B309F">
        <w:rPr>
          <w:rFonts w:ascii="Times New Roman" w:hAnsi="Times New Roman"/>
          <w:color w:val="auto"/>
          <w:sz w:val="24"/>
          <w:szCs w:val="24"/>
        </w:rPr>
        <w:t xml:space="preserve"> d’évaluation</w:t>
      </w:r>
      <w:bookmarkEnd w:id="70"/>
      <w:bookmarkEnd w:id="71"/>
      <w:bookmarkEnd w:id="72"/>
      <w:bookmarkEnd w:id="73"/>
    </w:p>
    <w:p w:rsidR="00BA3DC6" w:rsidRPr="006B309F" w:rsidRDefault="00BA3DC6" w:rsidP="005B22B2">
      <w:pPr>
        <w:pStyle w:val="Titre2"/>
        <w:spacing w:before="0"/>
        <w:ind w:left="360"/>
        <w:rPr>
          <w:rFonts w:ascii="Times New Roman" w:hAnsi="Times New Roman"/>
          <w:color w:val="auto"/>
          <w:sz w:val="24"/>
          <w:szCs w:val="24"/>
        </w:rPr>
      </w:pPr>
    </w:p>
    <w:tbl>
      <w:tblPr>
        <w:tblW w:w="27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1559"/>
        <w:gridCol w:w="1509"/>
        <w:gridCol w:w="1629"/>
        <w:gridCol w:w="122"/>
        <w:gridCol w:w="1921"/>
        <w:gridCol w:w="3180"/>
        <w:gridCol w:w="2207"/>
        <w:gridCol w:w="2207"/>
        <w:gridCol w:w="2207"/>
        <w:gridCol w:w="2207"/>
        <w:gridCol w:w="2207"/>
        <w:gridCol w:w="2207"/>
        <w:gridCol w:w="2207"/>
      </w:tblGrid>
      <w:tr w:rsidR="00AF261E" w:rsidRPr="00AF261E" w:rsidTr="00AF261E">
        <w:trPr>
          <w:gridAfter w:val="6"/>
          <w:wAfter w:w="13242" w:type="dxa"/>
        </w:trPr>
        <w:tc>
          <w:tcPr>
            <w:tcW w:w="568"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N°</w:t>
            </w:r>
          </w:p>
        </w:tc>
        <w:tc>
          <w:tcPr>
            <w:tcW w:w="1701"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Critères</w:t>
            </w:r>
          </w:p>
        </w:tc>
        <w:tc>
          <w:tcPr>
            <w:tcW w:w="155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Questions principales</w:t>
            </w: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Questions intermédiaires</w:t>
            </w:r>
          </w:p>
        </w:tc>
        <w:tc>
          <w:tcPr>
            <w:tcW w:w="162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Sources de données</w:t>
            </w:r>
          </w:p>
        </w:tc>
        <w:tc>
          <w:tcPr>
            <w:tcW w:w="2043" w:type="dxa"/>
            <w:gridSpan w:val="2"/>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Méthodes/Outils de collecte de données</w:t>
            </w:r>
          </w:p>
        </w:tc>
        <w:tc>
          <w:tcPr>
            <w:tcW w:w="3180"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Indicateurs/Normes de réussite</w:t>
            </w:r>
          </w:p>
        </w:tc>
        <w:tc>
          <w:tcPr>
            <w:tcW w:w="2207"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Méthodes d’analyse des données</w:t>
            </w:r>
          </w:p>
        </w:tc>
      </w:tr>
      <w:tr w:rsidR="00AF261E" w:rsidRPr="00AF261E" w:rsidTr="00AF261E">
        <w:trPr>
          <w:gridAfter w:val="6"/>
          <w:wAfter w:w="13242" w:type="dxa"/>
          <w:trHeight w:val="319"/>
        </w:trPr>
        <w:tc>
          <w:tcPr>
            <w:tcW w:w="568"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1.</w:t>
            </w:r>
          </w:p>
        </w:tc>
        <w:tc>
          <w:tcPr>
            <w:tcW w:w="13828" w:type="dxa"/>
            <w:gridSpan w:val="8"/>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Cadre de revue des performances du Cycle 2015-2019 de l’UNDAF+ SNU/MALI</w:t>
            </w:r>
          </w:p>
        </w:tc>
      </w:tr>
      <w:tr w:rsidR="00AF261E" w:rsidRPr="00AF261E" w:rsidTr="00AF261E">
        <w:trPr>
          <w:gridAfter w:val="6"/>
          <w:wAfter w:w="13242" w:type="dxa"/>
        </w:trPr>
        <w:tc>
          <w:tcPr>
            <w:tcW w:w="568"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1.1.</w:t>
            </w:r>
          </w:p>
        </w:tc>
        <w:tc>
          <w:tcPr>
            <w:tcW w:w="1701"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Pertinence</w:t>
            </w:r>
          </w:p>
        </w:tc>
        <w:tc>
          <w:tcPr>
            <w:tcW w:w="1559"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a-t-il un bon niveau d’ancrage dans le double contexte de développement du Mali et des stratégies de coopération du SNU?</w:t>
            </w: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contribue-t-il à résoudre une ou plusieurs problématiques de développement  du Mali ?</w:t>
            </w:r>
          </w:p>
        </w:tc>
        <w:tc>
          <w:tcPr>
            <w:tcW w:w="1751" w:type="dxa"/>
            <w:gridSpan w:val="2"/>
            <w:shd w:val="clear" w:color="auto" w:fill="auto"/>
            <w:vAlign w:val="center"/>
          </w:tcPr>
          <w:p w:rsidR="00AF261E" w:rsidRPr="00AF261E" w:rsidRDefault="00AF261E" w:rsidP="0089432A">
            <w:pPr>
              <w:numPr>
                <w:ilvl w:val="0"/>
                <w:numId w:val="50"/>
              </w:numPr>
              <w:spacing w:after="0" w:line="240" w:lineRule="auto"/>
              <w:rPr>
                <w:rFonts w:ascii="Times New Roman" w:hAnsi="Times New Roman"/>
                <w:sz w:val="16"/>
                <w:szCs w:val="16"/>
              </w:rPr>
            </w:pPr>
            <w:r w:rsidRPr="00AF261E">
              <w:rPr>
                <w:rFonts w:ascii="Times New Roman" w:hAnsi="Times New Roman"/>
                <w:sz w:val="16"/>
                <w:szCs w:val="16"/>
              </w:rPr>
              <w:t>Rapports et documents de diagnostic de développement du pays</w:t>
            </w:r>
          </w:p>
          <w:p w:rsidR="00AF261E" w:rsidRPr="00AF261E" w:rsidRDefault="00AF261E" w:rsidP="0089432A">
            <w:pPr>
              <w:numPr>
                <w:ilvl w:val="0"/>
                <w:numId w:val="50"/>
              </w:numPr>
              <w:spacing w:after="0" w:line="240" w:lineRule="auto"/>
              <w:rPr>
                <w:rFonts w:ascii="Times New Roman" w:hAnsi="Times New Roman"/>
                <w:sz w:val="16"/>
                <w:szCs w:val="16"/>
              </w:rPr>
            </w:pPr>
            <w:r w:rsidRPr="00AF261E">
              <w:rPr>
                <w:rFonts w:ascii="Times New Roman" w:hAnsi="Times New Roman"/>
                <w:sz w:val="16"/>
                <w:szCs w:val="16"/>
              </w:rPr>
              <w:t>Personnes ressources</w:t>
            </w:r>
          </w:p>
        </w:tc>
        <w:tc>
          <w:tcPr>
            <w:tcW w:w="1921"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Recherche documentaire</w:t>
            </w:r>
          </w:p>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Interviews de personnes ressources et de bénéficiaires</w:t>
            </w:r>
          </w:p>
        </w:tc>
        <w:tc>
          <w:tcPr>
            <w:tcW w:w="3180"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 xml:space="preserve">Objectifs et stratégies de l’UNDAF+ effectivement visés dans les cadres de programmation de l’Etat et des Agences du SNU </w:t>
            </w:r>
          </w:p>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Faire ressortir la cohérence entre les objectifs de l’UNDAF+ et les différents référentiels en matière de politiques de développement, du pays et du SNU</w:t>
            </w: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est-il en phase avec les priorités et stratégies de développement du pays (PRSP, notamment) ?</w:t>
            </w:r>
          </w:p>
        </w:tc>
        <w:tc>
          <w:tcPr>
            <w:tcW w:w="1751" w:type="dxa"/>
            <w:gridSpan w:val="2"/>
            <w:shd w:val="clear" w:color="auto" w:fill="auto"/>
            <w:vAlign w:val="center"/>
          </w:tcPr>
          <w:p w:rsidR="00AF261E" w:rsidRPr="00AF261E" w:rsidRDefault="00AF261E" w:rsidP="0089432A">
            <w:pPr>
              <w:numPr>
                <w:ilvl w:val="0"/>
                <w:numId w:val="50"/>
              </w:numPr>
              <w:spacing w:after="0" w:line="240" w:lineRule="auto"/>
              <w:rPr>
                <w:rFonts w:ascii="Times New Roman" w:hAnsi="Times New Roman"/>
                <w:sz w:val="16"/>
                <w:szCs w:val="16"/>
              </w:rPr>
            </w:pPr>
            <w:r w:rsidRPr="00AF261E">
              <w:rPr>
                <w:rFonts w:ascii="Times New Roman" w:hAnsi="Times New Roman"/>
                <w:sz w:val="16"/>
                <w:szCs w:val="16"/>
              </w:rPr>
              <w:t>Rapports et documents de diagnostic de développement du pays</w:t>
            </w:r>
          </w:p>
          <w:p w:rsidR="00AF261E" w:rsidRPr="00AF261E" w:rsidRDefault="00AF261E" w:rsidP="0089432A">
            <w:pPr>
              <w:numPr>
                <w:ilvl w:val="0"/>
                <w:numId w:val="50"/>
              </w:numPr>
              <w:spacing w:after="0" w:line="240" w:lineRule="auto"/>
              <w:rPr>
                <w:rFonts w:ascii="Times New Roman" w:hAnsi="Times New Roman"/>
                <w:sz w:val="16"/>
                <w:szCs w:val="16"/>
              </w:rPr>
            </w:pPr>
            <w:r w:rsidRPr="00AF261E">
              <w:rPr>
                <w:rFonts w:ascii="Times New Roman" w:hAnsi="Times New Roman"/>
                <w:sz w:val="16"/>
                <w:szCs w:val="16"/>
              </w:rPr>
              <w:t>Personnes ressources</w:t>
            </w:r>
          </w:p>
        </w:tc>
        <w:tc>
          <w:tcPr>
            <w:tcW w:w="1921"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Recherche documentaire</w:t>
            </w:r>
          </w:p>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Interviews de personnes ressources et de bénéficiaires</w:t>
            </w:r>
          </w:p>
        </w:tc>
        <w:tc>
          <w:tcPr>
            <w:tcW w:w="3180"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 xml:space="preserve">Objectifs et stratégies de l’UNDAF+ effectivement visés dans les cadres de programmation de l’Etat et des Agences du SNU </w:t>
            </w:r>
          </w:p>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Faire ressortir la cohérence entre les objectifs de l’UNDAF+ et les différents référentiels en matière de politiques de développement, du pays et du SNU</w:t>
            </w: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est-il en phase avec les cadres de programmation du SNU, notamment des Agences contributrices ?</w:t>
            </w:r>
          </w:p>
        </w:tc>
        <w:tc>
          <w:tcPr>
            <w:tcW w:w="1751" w:type="dxa"/>
            <w:gridSpan w:val="2"/>
            <w:shd w:val="clear" w:color="auto" w:fill="auto"/>
            <w:vAlign w:val="center"/>
          </w:tcPr>
          <w:p w:rsidR="00AF261E" w:rsidRPr="00AF261E" w:rsidRDefault="00AF261E" w:rsidP="0089432A">
            <w:pPr>
              <w:numPr>
                <w:ilvl w:val="0"/>
                <w:numId w:val="50"/>
              </w:numPr>
              <w:spacing w:after="0" w:line="240" w:lineRule="auto"/>
              <w:rPr>
                <w:rFonts w:ascii="Times New Roman" w:hAnsi="Times New Roman"/>
                <w:sz w:val="16"/>
                <w:szCs w:val="16"/>
              </w:rPr>
            </w:pPr>
            <w:r w:rsidRPr="00AF261E">
              <w:rPr>
                <w:rFonts w:ascii="Times New Roman" w:hAnsi="Times New Roman"/>
                <w:sz w:val="16"/>
                <w:szCs w:val="16"/>
              </w:rPr>
              <w:t>Rapports et documents de diagnostic de développement du pays</w:t>
            </w:r>
          </w:p>
          <w:p w:rsidR="00AF261E" w:rsidRPr="00AF261E" w:rsidRDefault="00AF261E" w:rsidP="0089432A">
            <w:pPr>
              <w:numPr>
                <w:ilvl w:val="0"/>
                <w:numId w:val="50"/>
              </w:numPr>
              <w:spacing w:after="0" w:line="240" w:lineRule="auto"/>
              <w:rPr>
                <w:rFonts w:ascii="Times New Roman" w:hAnsi="Times New Roman"/>
                <w:sz w:val="16"/>
                <w:szCs w:val="16"/>
              </w:rPr>
            </w:pPr>
            <w:r w:rsidRPr="00AF261E">
              <w:rPr>
                <w:rFonts w:ascii="Times New Roman" w:hAnsi="Times New Roman"/>
                <w:sz w:val="16"/>
                <w:szCs w:val="16"/>
              </w:rPr>
              <w:t>Personnes ressources</w:t>
            </w:r>
          </w:p>
        </w:tc>
        <w:tc>
          <w:tcPr>
            <w:tcW w:w="1921"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Recherche documentaire</w:t>
            </w:r>
          </w:p>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Interviews de personnes ressources et de bénéficiaires</w:t>
            </w:r>
          </w:p>
        </w:tc>
        <w:tc>
          <w:tcPr>
            <w:tcW w:w="3180"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 xml:space="preserve">Objectifs et stratégies de l’UNDAF+ effectivement visés dans les cadres de programmation de l’Etat et des Agences du SNU </w:t>
            </w:r>
          </w:p>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Faire ressortir la cohérence entre les objectifs de l’UNDAF+ et les différents référentiels en matière de politiques de développement, du pays et du SNU</w:t>
            </w: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est-il en phase avec les préoccupations des bénéficiaires institutionnels (Ministères et segments utilisateurs) et des  populations ciblées au niveau opérationnel ?</w:t>
            </w:r>
          </w:p>
        </w:tc>
        <w:tc>
          <w:tcPr>
            <w:tcW w:w="1751" w:type="dxa"/>
            <w:gridSpan w:val="2"/>
            <w:shd w:val="clear" w:color="auto" w:fill="auto"/>
            <w:vAlign w:val="center"/>
          </w:tcPr>
          <w:p w:rsidR="00AF261E" w:rsidRPr="00AF261E" w:rsidRDefault="00AF261E" w:rsidP="0089432A">
            <w:pPr>
              <w:numPr>
                <w:ilvl w:val="0"/>
                <w:numId w:val="50"/>
              </w:numPr>
              <w:spacing w:after="0" w:line="240" w:lineRule="auto"/>
              <w:rPr>
                <w:rFonts w:ascii="Times New Roman" w:hAnsi="Times New Roman"/>
                <w:sz w:val="16"/>
                <w:szCs w:val="16"/>
              </w:rPr>
            </w:pPr>
            <w:r w:rsidRPr="00AF261E">
              <w:rPr>
                <w:rFonts w:ascii="Times New Roman" w:hAnsi="Times New Roman"/>
                <w:sz w:val="16"/>
                <w:szCs w:val="16"/>
              </w:rPr>
              <w:t>Rapports et documents de diagnostic de développement du pays</w:t>
            </w:r>
          </w:p>
          <w:p w:rsidR="00AF261E" w:rsidRPr="00AF261E" w:rsidRDefault="00AF261E" w:rsidP="0089432A">
            <w:pPr>
              <w:numPr>
                <w:ilvl w:val="0"/>
                <w:numId w:val="50"/>
              </w:numPr>
              <w:spacing w:after="0" w:line="240" w:lineRule="auto"/>
              <w:rPr>
                <w:rFonts w:ascii="Times New Roman" w:hAnsi="Times New Roman"/>
                <w:sz w:val="16"/>
                <w:szCs w:val="16"/>
              </w:rPr>
            </w:pPr>
            <w:r w:rsidRPr="00AF261E">
              <w:rPr>
                <w:rFonts w:ascii="Times New Roman" w:hAnsi="Times New Roman"/>
                <w:sz w:val="16"/>
                <w:szCs w:val="16"/>
              </w:rPr>
              <w:t>Personnes ressources</w:t>
            </w:r>
          </w:p>
        </w:tc>
        <w:tc>
          <w:tcPr>
            <w:tcW w:w="1921"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Recherche documentaire</w:t>
            </w:r>
          </w:p>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Interviews de personnes ressources et de bénéficiaires</w:t>
            </w:r>
          </w:p>
        </w:tc>
        <w:tc>
          <w:tcPr>
            <w:tcW w:w="3180"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 xml:space="preserve">Objectifs et stratégies de l’UNDAF+ effectivement visés dans les cadres de programmation de l’Etat et des Agences du SNU </w:t>
            </w:r>
          </w:p>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Objectifs reconnus pertinents par les personnes ressources et bénéficiaires interrogées</w:t>
            </w:r>
          </w:p>
        </w:tc>
        <w:tc>
          <w:tcPr>
            <w:tcW w:w="2207" w:type="dxa"/>
            <w:shd w:val="clear" w:color="auto" w:fill="auto"/>
            <w:vAlign w:val="center"/>
          </w:tcPr>
          <w:p w:rsidR="00AF261E" w:rsidRPr="00AF261E" w:rsidRDefault="00AF261E" w:rsidP="0089432A">
            <w:pPr>
              <w:numPr>
                <w:ilvl w:val="0"/>
                <w:numId w:val="49"/>
              </w:numPr>
              <w:spacing w:after="0" w:line="240" w:lineRule="auto"/>
              <w:rPr>
                <w:rFonts w:ascii="Times New Roman" w:hAnsi="Times New Roman"/>
                <w:sz w:val="16"/>
                <w:szCs w:val="16"/>
              </w:rPr>
            </w:pPr>
            <w:r w:rsidRPr="00AF261E">
              <w:rPr>
                <w:rFonts w:ascii="Times New Roman" w:hAnsi="Times New Roman"/>
                <w:sz w:val="16"/>
                <w:szCs w:val="16"/>
              </w:rPr>
              <w:t>Faire ressortir la cohérence entre les objectifs de l’UNDAF+ et les différents référentiels en matière de politiques de développement, du pays et du SNU</w:t>
            </w:r>
          </w:p>
        </w:tc>
      </w:tr>
      <w:tr w:rsidR="00AF261E" w:rsidRPr="00AF261E" w:rsidTr="00AF261E">
        <w:trPr>
          <w:gridAfter w:val="6"/>
          <w:wAfter w:w="13242" w:type="dxa"/>
        </w:trPr>
        <w:tc>
          <w:tcPr>
            <w:tcW w:w="568"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1.2.</w:t>
            </w:r>
          </w:p>
        </w:tc>
        <w:tc>
          <w:tcPr>
            <w:tcW w:w="1701"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Efficacité</w:t>
            </w:r>
          </w:p>
        </w:tc>
        <w:tc>
          <w:tcPr>
            <w:tcW w:w="1559"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Quels ont été les niveaux quantitatifs et qualitatifs de réalisation des objectifs de l’UNDAF+ (produits et effets) tels qu’ils ressortent de son cadre de résultats ?</w:t>
            </w: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a-t-il pu mettre en place les produits qu’il devait délivrer ?</w:t>
            </w:r>
          </w:p>
          <w:p w:rsidR="00AF261E" w:rsidRPr="00AF261E" w:rsidRDefault="00AF261E" w:rsidP="00AF261E">
            <w:pPr>
              <w:spacing w:after="0" w:line="240" w:lineRule="auto"/>
              <w:rPr>
                <w:rFonts w:ascii="Times New Roman" w:hAnsi="Times New Roman"/>
                <w:sz w:val="16"/>
                <w:szCs w:val="16"/>
              </w:rPr>
            </w:pPr>
          </w:p>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Ces produits ont-ils engendré les résultats/effets qui en étaient attendus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Produits constatés, par la mission, ou des sources autorisées, ou consignés dans des documents autorisés (généralement des rapports validés)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Changements dus aux produits constatés dans l’environnement, par la mission ou des sources autorisées, ou encore consignés dans des documents autorisés (généralement des rapports validés)</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l’existence et l’opérationnalité de ce cadre de production de ces produits, ainsi que leur contribution aux effets attendus.</w:t>
            </w: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a-t-il pu mettre en place un cadre institutionnel fonctionnel pour sa gestion et sa mise en œuvre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Cadre institutionnel de mise en œuvre effectivement en place et fonctionnel</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l’existence et le niveau de fonctionnalité et d’utilité du cadre institutionnel créé</w:t>
            </w:r>
          </w:p>
          <w:p w:rsidR="00AF261E" w:rsidRPr="00AF261E" w:rsidRDefault="00AF261E" w:rsidP="00AF261E">
            <w:pPr>
              <w:spacing w:after="0" w:line="240" w:lineRule="auto"/>
              <w:rPr>
                <w:rFonts w:ascii="Times New Roman" w:hAnsi="Times New Roman"/>
                <w:sz w:val="16"/>
                <w:szCs w:val="16"/>
              </w:rPr>
            </w:pP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met-il en œuvre les principes de programmation conjointe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Principes effectivement appliqués</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le niveau de mise en œuvre des principes  et leur valeur ajoutée</w:t>
            </w: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est-il efficace en matière de partenariats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Niveau d’engagement des différents types de partenaires (les PTF et institutionnels nationaux) dans L’UNDAF+ :</w:t>
            </w:r>
          </w:p>
          <w:p w:rsidR="00AF261E" w:rsidRPr="00AF261E" w:rsidRDefault="00AF261E" w:rsidP="0089432A">
            <w:pPr>
              <w:numPr>
                <w:ilvl w:val="1"/>
                <w:numId w:val="52"/>
              </w:numPr>
              <w:spacing w:after="0" w:line="240" w:lineRule="auto"/>
              <w:rPr>
                <w:rFonts w:ascii="Times New Roman" w:hAnsi="Times New Roman"/>
                <w:sz w:val="16"/>
                <w:szCs w:val="16"/>
              </w:rPr>
            </w:pPr>
            <w:r w:rsidRPr="00AF261E">
              <w:rPr>
                <w:rFonts w:ascii="Times New Roman" w:hAnsi="Times New Roman"/>
                <w:sz w:val="16"/>
                <w:szCs w:val="16"/>
              </w:rPr>
              <w:t>Cofinancements</w:t>
            </w:r>
          </w:p>
          <w:p w:rsidR="00AF261E" w:rsidRPr="00AF261E" w:rsidRDefault="00AF261E" w:rsidP="0089432A">
            <w:pPr>
              <w:numPr>
                <w:ilvl w:val="1"/>
                <w:numId w:val="52"/>
              </w:numPr>
              <w:spacing w:after="0" w:line="240" w:lineRule="auto"/>
              <w:rPr>
                <w:rFonts w:ascii="Times New Roman" w:hAnsi="Times New Roman"/>
                <w:sz w:val="16"/>
                <w:szCs w:val="16"/>
              </w:rPr>
            </w:pPr>
            <w:r w:rsidRPr="00AF261E">
              <w:rPr>
                <w:rFonts w:ascii="Times New Roman" w:hAnsi="Times New Roman"/>
                <w:sz w:val="16"/>
                <w:szCs w:val="16"/>
              </w:rPr>
              <w:t>Participation aux organes de pilotage</w:t>
            </w:r>
          </w:p>
          <w:p w:rsidR="00AF261E" w:rsidRPr="00AF261E" w:rsidRDefault="00AF261E" w:rsidP="0089432A">
            <w:pPr>
              <w:numPr>
                <w:ilvl w:val="1"/>
                <w:numId w:val="52"/>
              </w:numPr>
              <w:spacing w:after="0" w:line="240" w:lineRule="auto"/>
              <w:rPr>
                <w:rFonts w:ascii="Times New Roman" w:hAnsi="Times New Roman"/>
                <w:sz w:val="16"/>
                <w:szCs w:val="16"/>
              </w:rPr>
            </w:pPr>
            <w:r w:rsidRPr="00AF261E">
              <w:rPr>
                <w:rFonts w:ascii="Times New Roman" w:hAnsi="Times New Roman"/>
                <w:sz w:val="16"/>
                <w:szCs w:val="16"/>
              </w:rPr>
              <w:t>Accompagnement du suivi-évaluation, etc. ?</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la plus-value des partenaires dans le fonctionnement et les résultats de l’UNDAF+</w:t>
            </w: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est-il efficace en matière de mobilisation de ressources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Niveau des financements mobilisés auprès des partenaires : les PTF et la partie nationale ?</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Faire ressortir l’impact des ressources des partenaires extérieurs et  nationaux dans le financement de l’UNDAF+</w:t>
            </w: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dispose-t-il d’une stratégie de communication et l’a-t-il dûment déroulée (avec quelle efficace ?)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Un document de stratégie de communication dédié à l’UNDAF</w:t>
            </w:r>
            <w:r w:rsidRPr="00AF261E">
              <w:rPr>
                <w:rFonts w:ascii="Times New Roman" w:hAnsi="Times New Roman"/>
                <w:sz w:val="16"/>
                <w:szCs w:val="16"/>
                <w:vertAlign w:val="superscript"/>
              </w:rPr>
              <w:t>+</w:t>
            </w:r>
            <w:r w:rsidRPr="00AF261E">
              <w:rPr>
                <w:rFonts w:ascii="Times New Roman" w:hAnsi="Times New Roman"/>
                <w:sz w:val="16"/>
                <w:szCs w:val="16"/>
              </w:rPr>
              <w:t xml:space="preserve"> est élaboré, validé et mis en œuvre</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la qualité de la communication sur L’UNDAF+ et sa plus-value en termes d’image, d’insertion dans l’environnement national et de coopération, ainsi que du point de vue des résultats stratégiques</w:t>
            </w: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dispose-t-il d’une stratégie de suivi-évaluation opérationnelle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Documents de formulation/programmation, Rapports d’étape ou d’achèvement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 à l’UNDAF</w:t>
            </w:r>
            <w:r w:rsidRPr="00AF261E">
              <w:rPr>
                <w:rFonts w:ascii="Times New Roman" w:hAnsi="Times New Roman"/>
                <w:sz w:val="16"/>
                <w:szCs w:val="16"/>
                <w:vertAlign w:val="superscript"/>
              </w:rPr>
              <w: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 dans le cadre de l’UNDAF+</w:t>
            </w: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Un document de Suivi-évaluation est annexé à l’UNDAF</w:t>
            </w:r>
            <w:r w:rsidRPr="00AF261E">
              <w:rPr>
                <w:rFonts w:ascii="Times New Roman" w:hAnsi="Times New Roman"/>
                <w:sz w:val="16"/>
                <w:szCs w:val="16"/>
                <w:vertAlign w:val="superscript"/>
              </w:rPr>
              <w:t>+</w:t>
            </w:r>
            <w:r w:rsidRPr="00AF261E">
              <w:rPr>
                <w:rFonts w:ascii="Times New Roman" w:hAnsi="Times New Roman"/>
                <w:sz w:val="16"/>
                <w:szCs w:val="16"/>
              </w:rPr>
              <w:t xml:space="preserve"> ou existe séparément mais est dûment validé et mis en œuvre.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Nombre de missions et de rapports de suivi et d’évaluation réalisés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Faits documentés et décisions induites par des observations et analyses faites dans le cadre du suivi-évaluation</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le degré d’opérationnalité du suivi-évaluation et sa plus-value dans l’efficacité de l’UNDAF+</w:t>
            </w:r>
          </w:p>
        </w:tc>
      </w:tr>
      <w:tr w:rsidR="00AF261E" w:rsidRPr="00AF261E" w:rsidTr="00AF261E">
        <w:trPr>
          <w:gridAfter w:val="6"/>
          <w:wAfter w:w="13242" w:type="dxa"/>
          <w:trHeight w:val="333"/>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contribue-t-il à la promotion des thématiques transversales et des valeurs du SNU ?</w:t>
            </w: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intègre-t-il systématiquement  l’approche genre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Existence d’outils et de stratégies de promotion du genre au niveau de l’UNDAF+</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Nombre femmes dans les recrutements liés à l’UNDAF</w:t>
            </w:r>
            <w:r w:rsidRPr="00AF261E">
              <w:rPr>
                <w:rFonts w:ascii="Times New Roman" w:hAnsi="Times New Roman"/>
                <w:sz w:val="16"/>
                <w:szCs w:val="16"/>
                <w:vertAlign w:val="superscript"/>
              </w:rPr>
              <w:t>+</w:t>
            </w:r>
          </w:p>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 xml:space="preserve"> </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ce qui a été dans le cadre de l’UNDAF+ en matière de genre</w:t>
            </w:r>
          </w:p>
        </w:tc>
      </w:tr>
      <w:tr w:rsidR="00AF261E" w:rsidRPr="00AF261E" w:rsidTr="00AF261E">
        <w:trPr>
          <w:gridAfter w:val="6"/>
          <w:wAfter w:w="13242" w:type="dxa"/>
          <w:trHeight w:val="693"/>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intégre-t-il systématiquement une approche droits humains ?</w:t>
            </w:r>
          </w:p>
        </w:tc>
        <w:tc>
          <w:tcPr>
            <w:tcW w:w="1751" w:type="dxa"/>
            <w:gridSpan w:val="2"/>
            <w:vMerge w:val="restart"/>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vMerge w:val="restart"/>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Existence d’outils et de stratégies de promotion des droits humains au niveau de l’UDAF</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Nombre de personnes formées/sensibilisé aux droits humains dans le cadre de l’UNDAF+</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ce qui a été fait dans le cadre de l’UNDAF+ en matière de droits humains</w:t>
            </w:r>
          </w:p>
        </w:tc>
      </w:tr>
      <w:tr w:rsidR="00AF261E" w:rsidRPr="00AF261E" w:rsidTr="00AF261E">
        <w:trPr>
          <w:gridAfter w:val="6"/>
          <w:wAfter w:w="13242" w:type="dxa"/>
          <w:trHeight w:val="539"/>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intégre-t-il systématiquement une approche de développement de capacités aux niveaux national et local ?</w:t>
            </w:r>
          </w:p>
        </w:tc>
        <w:tc>
          <w:tcPr>
            <w:tcW w:w="1751" w:type="dxa"/>
            <w:gridSpan w:val="2"/>
            <w:vMerge/>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p>
        </w:tc>
        <w:tc>
          <w:tcPr>
            <w:tcW w:w="1921" w:type="dxa"/>
            <w:vMerge/>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Existence d’outils et de stratégies de développement de capacités, au niveau de l’UNDAF+</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Nombre de bénéficiaires (personnes et institutions)  aidés à développer leurs capacités dans le cadre de l’UNDAF+ ?</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ce qui a été fait dans le cadre de l’UNDAF+ en matière de développement de capacités</w:t>
            </w:r>
          </w:p>
        </w:tc>
      </w:tr>
      <w:tr w:rsidR="00AF261E" w:rsidRPr="00AF261E" w:rsidTr="00AF261E">
        <w:trPr>
          <w:gridAfter w:val="6"/>
          <w:wAfter w:w="13242" w:type="dxa"/>
          <w:trHeight w:val="538"/>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intègre-t-il systématiquement une stratégie de  renforcement de l’appropriation nationale et locale ?</w:t>
            </w:r>
          </w:p>
        </w:tc>
        <w:tc>
          <w:tcPr>
            <w:tcW w:w="1751" w:type="dxa"/>
            <w:gridSpan w:val="2"/>
            <w:vMerge/>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p>
        </w:tc>
        <w:tc>
          <w:tcPr>
            <w:tcW w:w="1921" w:type="dxa"/>
            <w:vMerge/>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Existence d’outils et de stratégies de développement de l’appropriation nationale et locale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Nombre de bénéficiaires (personnes et institutions)  aidés à renforcer leur appropriation dans le cadre de l’UNDAF+ ?</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ce qui a été fait dans le cadre de l’UNDAF+ en matière d’appropriation nationale et locale</w:t>
            </w:r>
          </w:p>
        </w:tc>
      </w:tr>
      <w:tr w:rsidR="00AF261E" w:rsidRPr="00AF261E" w:rsidTr="00AF261E">
        <w:trPr>
          <w:gridAfter w:val="6"/>
          <w:wAfter w:w="13242" w:type="dxa"/>
          <w:trHeight w:val="333"/>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Quels facteurs ont affecté la réalisation des objectifs de l’UNDAF+ (niveau produits, et niveau effets) ?</w:t>
            </w: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Quels facteurs ont favorisé la livraison des produits de l’UNDAF+, ainsi que leurs contributions aux effets et résultats attendus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Nombre et nature des facteurs ayant facilité la mise en œuvre de l’UNDAF+</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Analyser et faire ressortir les facteurs propices à la mise en œuvre et à l’efficacité de l’UNDAF+</w:t>
            </w:r>
          </w:p>
        </w:tc>
      </w:tr>
      <w:tr w:rsidR="00AF261E" w:rsidRPr="00AF261E" w:rsidTr="00AF261E">
        <w:trPr>
          <w:gridAfter w:val="6"/>
          <w:wAfter w:w="13242" w:type="dxa"/>
          <w:trHeight w:val="841"/>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Quels facteurs ont contrarié la livraison des produits de l’UNDAF+, ainsi que leurs contributions aux effets et résultats attendus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Nombre et nature des entraves à la mise en œuvre de l’UNDAF+</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89432A">
            <w:pPr>
              <w:numPr>
                <w:ilvl w:val="0"/>
                <w:numId w:val="51"/>
              </w:numPr>
              <w:spacing w:after="0" w:line="240" w:lineRule="auto"/>
              <w:rPr>
                <w:rFonts w:ascii="Times New Roman" w:hAnsi="Times New Roman"/>
                <w:sz w:val="16"/>
                <w:szCs w:val="16"/>
              </w:rPr>
            </w:pPr>
            <w:r w:rsidRPr="00AF261E">
              <w:rPr>
                <w:rFonts w:ascii="Times New Roman" w:hAnsi="Times New Roman"/>
                <w:sz w:val="16"/>
                <w:szCs w:val="16"/>
              </w:rPr>
              <w:t>Analyser et faire ressortir les facteurs défavorables à la mise en œuvre et à l’efficacité de l’UNDAF+</w:t>
            </w:r>
          </w:p>
        </w:tc>
      </w:tr>
      <w:tr w:rsidR="00AF261E" w:rsidRPr="00AF261E" w:rsidTr="00AF261E">
        <w:trPr>
          <w:gridAfter w:val="6"/>
          <w:wAfter w:w="13242" w:type="dxa"/>
          <w:trHeight w:val="841"/>
        </w:trPr>
        <w:tc>
          <w:tcPr>
            <w:tcW w:w="568"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1.3.</w:t>
            </w:r>
          </w:p>
        </w:tc>
        <w:tc>
          <w:tcPr>
            <w:tcW w:w="1701"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Efficience</w:t>
            </w:r>
          </w:p>
        </w:tc>
        <w:tc>
          <w:tcPr>
            <w:tcW w:w="1559"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Quelles ont été les conditions économiques (moyens humains, matériels et financiers) d’acquisition et de livraison de ses produits et de réalisations des effets subséquents, par L’UNDAF+ ?</w:t>
            </w: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L’UNDAF+,  à travers ses projets contributeurs notamment, a-t-il livré ses produits et générés ses effets sur la base des meilleurs rapports coûts-avantages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du Programme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Niveau des Coûts comparés à la qualité des produits et des acquisitions dans le cadre du Programme</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Croisement/comparaison des coûts d’acquisition et de livraison des produits, d’une part, et de la qualité de ce qui est acquis et livré, d’autre part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Mise en exergue de la qualité des procédures d’acquisition</w:t>
            </w:r>
          </w:p>
          <w:p w:rsidR="00AF261E" w:rsidRPr="00AF261E" w:rsidRDefault="00AF261E" w:rsidP="00AF261E">
            <w:pPr>
              <w:spacing w:after="0" w:line="240" w:lineRule="auto"/>
              <w:rPr>
                <w:rFonts w:ascii="Times New Roman" w:hAnsi="Times New Roman"/>
                <w:sz w:val="16"/>
                <w:szCs w:val="16"/>
              </w:rPr>
            </w:pPr>
          </w:p>
        </w:tc>
      </w:tr>
      <w:tr w:rsidR="00AF261E" w:rsidRPr="00AF261E" w:rsidTr="00AF261E">
        <w:trPr>
          <w:gridAfter w:val="6"/>
          <w:wAfter w:w="13242" w:type="dxa"/>
          <w:trHeight w:val="841"/>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Les procédures d’acquisition dans le cadre du Programme et de ses projets contributeurs ont-elles été transparentes, sincères et rationnelles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du programme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89432A">
            <w:pPr>
              <w:numPr>
                <w:ilvl w:val="0"/>
                <w:numId w:val="47"/>
              </w:num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Niveaux des coûts d’acquisition et de livraison des produits comparés à des standards (s’il y’en a)</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Qualité des procédures d’acquisition et de livraison, en comparaison avec les standards du SNU en la matière (s’il y en a)</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Croisement/comparaison des coûts d’acquisition et de livraison des produits, d’une part, et de la qualité de ce qui est acquis et livré, d’autre part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Mise en exergue de la qualité des procédures d’acquisition</w:t>
            </w:r>
          </w:p>
          <w:p w:rsidR="00AF261E" w:rsidRPr="00AF261E" w:rsidRDefault="00AF261E" w:rsidP="0089432A">
            <w:pPr>
              <w:numPr>
                <w:ilvl w:val="0"/>
                <w:numId w:val="51"/>
              </w:numPr>
              <w:spacing w:after="0" w:line="240" w:lineRule="auto"/>
              <w:rPr>
                <w:rFonts w:ascii="Times New Roman" w:hAnsi="Times New Roman"/>
                <w:sz w:val="16"/>
                <w:szCs w:val="16"/>
              </w:rPr>
            </w:pPr>
          </w:p>
        </w:tc>
      </w:tr>
      <w:tr w:rsidR="00AF261E" w:rsidRPr="00AF261E" w:rsidTr="00AF261E">
        <w:trPr>
          <w:gridAfter w:val="6"/>
          <w:wAfter w:w="13242" w:type="dxa"/>
          <w:trHeight w:val="841"/>
        </w:trPr>
        <w:tc>
          <w:tcPr>
            <w:tcW w:w="568"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1.4.</w:t>
            </w:r>
          </w:p>
        </w:tc>
        <w:tc>
          <w:tcPr>
            <w:tcW w:w="1701"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Durabilité</w:t>
            </w:r>
          </w:p>
        </w:tc>
        <w:tc>
          <w:tcPr>
            <w:tcW w:w="1559"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A quelle durabilité les acquis de l’UNDAF+ (produits et effets sur ses différentes dimensions, y compris sur les thématiques transversales) peuvent-ils prétendre ?</w:t>
            </w: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Dans quelle mesure et de quelle façon  les capacités nationales ont-elles été renforcées au sein du gouvernement et de la société civile pour assurer la durabilité des acquis du Programme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du Programme et des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Existences de réalisations et de comportements de la partie nationale dus au soutien reçu du programme</w:t>
            </w:r>
          </w:p>
        </w:tc>
        <w:tc>
          <w:tcPr>
            <w:tcW w:w="2207" w:type="dxa"/>
            <w:shd w:val="clear" w:color="auto" w:fill="auto"/>
            <w:vAlign w:val="center"/>
          </w:tcPr>
          <w:p w:rsidR="00AF261E" w:rsidRPr="00AF261E" w:rsidRDefault="00AF261E" w:rsidP="0089432A">
            <w:pPr>
              <w:numPr>
                <w:ilvl w:val="0"/>
                <w:numId w:val="51"/>
              </w:numPr>
              <w:spacing w:after="0" w:line="240" w:lineRule="auto"/>
              <w:rPr>
                <w:rFonts w:ascii="Times New Roman" w:hAnsi="Times New Roman"/>
                <w:sz w:val="16"/>
                <w:szCs w:val="16"/>
              </w:rPr>
            </w:pPr>
            <w:r w:rsidRPr="00AF261E">
              <w:rPr>
                <w:rFonts w:ascii="Times New Roman" w:hAnsi="Times New Roman"/>
                <w:sz w:val="16"/>
                <w:szCs w:val="16"/>
              </w:rPr>
              <w:t>Mise en exergue des résultats des activités de développement de capacités : ce que la partie nationale sait mieux faire qu’avant le programme</w:t>
            </w:r>
          </w:p>
        </w:tc>
      </w:tr>
      <w:tr w:rsidR="00AF261E" w:rsidRPr="00AF261E" w:rsidTr="00AF261E">
        <w:trPr>
          <w:gridAfter w:val="6"/>
          <w:wAfter w:w="13242" w:type="dxa"/>
          <w:trHeight w:val="841"/>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Quelles sont les  complémentarités, la collaboration et les synergies favorisées par la mise en œuvre du Programme et qui ont  contribué à une plus grande durabilité de ses résultats ?</w:t>
            </w:r>
          </w:p>
        </w:tc>
        <w:tc>
          <w:tcPr>
            <w:tcW w:w="1751" w:type="dxa"/>
            <w:gridSpan w:val="2"/>
            <w:vMerge w:val="restart"/>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du Programme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Existence de phénomènes de levier à l’actif du programme</w:t>
            </w:r>
          </w:p>
        </w:tc>
        <w:tc>
          <w:tcPr>
            <w:tcW w:w="2207"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Mise en exergue des complémentarités et autres effets de levier induits par L’UNDAF+</w:t>
            </w:r>
          </w:p>
        </w:tc>
      </w:tr>
      <w:tr w:rsidR="00AF261E" w:rsidRPr="00AF261E" w:rsidTr="00AF261E">
        <w:trPr>
          <w:gridAfter w:val="6"/>
          <w:wAfter w:w="13242" w:type="dxa"/>
          <w:trHeight w:val="841"/>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tcBorders>
              <w:bottom w:val="single" w:sz="4" w:space="0" w:color="auto"/>
            </w:tcBorders>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tcBorders>
              <w:bottom w:val="single" w:sz="4" w:space="0" w:color="auto"/>
            </w:tcBorders>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tcBorders>
              <w:bottom w:val="single" w:sz="4" w:space="0" w:color="auto"/>
            </w:tcBorders>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Quelles sont  les interventions clés du Programme qui pourraient se poursuivre sans  le soutien de l’UNDAF+ et des autres programmes de coopération ?</w:t>
            </w:r>
          </w:p>
        </w:tc>
        <w:tc>
          <w:tcPr>
            <w:tcW w:w="1751" w:type="dxa"/>
            <w:gridSpan w:val="2"/>
            <w:vMerge/>
            <w:tcBorders>
              <w:bottom w:val="single" w:sz="4" w:space="0" w:color="auto"/>
            </w:tcBorders>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p>
        </w:tc>
        <w:tc>
          <w:tcPr>
            <w:tcW w:w="1921" w:type="dxa"/>
            <w:tcBorders>
              <w:bottom w:val="single" w:sz="4" w:space="0" w:color="auto"/>
            </w:tcBorders>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tcBorders>
              <w:bottom w:val="single" w:sz="4" w:space="0" w:color="auto"/>
            </w:tcBorders>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Existence de zones d’autonomie en matière de développement, du fait du programme</w:t>
            </w:r>
          </w:p>
        </w:tc>
        <w:tc>
          <w:tcPr>
            <w:tcW w:w="2207" w:type="dxa"/>
            <w:tcBorders>
              <w:bottom w:val="single" w:sz="4" w:space="0" w:color="auto"/>
            </w:tcBorders>
            <w:shd w:val="clear" w:color="auto" w:fill="auto"/>
            <w:vAlign w:val="center"/>
          </w:tcPr>
          <w:p w:rsidR="00AF261E" w:rsidRPr="00AF261E" w:rsidRDefault="00AF261E" w:rsidP="0089432A">
            <w:pPr>
              <w:numPr>
                <w:ilvl w:val="0"/>
                <w:numId w:val="51"/>
              </w:numPr>
              <w:spacing w:after="0" w:line="240" w:lineRule="auto"/>
              <w:rPr>
                <w:rFonts w:ascii="Times New Roman" w:hAnsi="Times New Roman"/>
                <w:sz w:val="16"/>
                <w:szCs w:val="16"/>
              </w:rPr>
            </w:pPr>
            <w:r w:rsidRPr="00AF261E">
              <w:rPr>
                <w:rFonts w:ascii="Times New Roman" w:hAnsi="Times New Roman"/>
                <w:sz w:val="16"/>
                <w:szCs w:val="16"/>
              </w:rPr>
              <w:t>Mise en exergue des lieux de compétences om l’accompagnement du programme permet désormais à la partie nationale de les investir seule.</w:t>
            </w:r>
          </w:p>
        </w:tc>
      </w:tr>
      <w:tr w:rsidR="00AF261E" w:rsidRPr="00AF261E" w:rsidTr="00AF261E">
        <w:trPr>
          <w:trHeight w:val="189"/>
        </w:trPr>
        <w:tc>
          <w:tcPr>
            <w:tcW w:w="568"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2.</w:t>
            </w:r>
          </w:p>
        </w:tc>
        <w:tc>
          <w:tcPr>
            <w:tcW w:w="13828" w:type="dxa"/>
            <w:gridSpan w:val="8"/>
            <w:tcBorders>
              <w:right w:val="single" w:sz="4" w:space="0" w:color="auto"/>
            </w:tcBorders>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Au-delà des performances de l’UNDAF+ : Capitalisation &amp; Recommandations de contenus de révision pour la 2</w:t>
            </w:r>
            <w:r w:rsidRPr="00AF261E">
              <w:rPr>
                <w:rFonts w:ascii="Times New Roman" w:hAnsi="Times New Roman"/>
                <w:sz w:val="16"/>
                <w:szCs w:val="16"/>
                <w:vertAlign w:val="superscript"/>
              </w:rPr>
              <w:t>ème</w:t>
            </w:r>
            <w:r w:rsidRPr="00AF261E">
              <w:rPr>
                <w:rFonts w:ascii="Times New Roman" w:hAnsi="Times New Roman"/>
                <w:sz w:val="16"/>
                <w:szCs w:val="16"/>
              </w:rPr>
              <w:t xml:space="preserve"> Phase du Cycle de vie</w:t>
            </w:r>
          </w:p>
        </w:tc>
        <w:tc>
          <w:tcPr>
            <w:tcW w:w="2207" w:type="dxa"/>
            <w:tcBorders>
              <w:top w:val="nil"/>
              <w:left w:val="single" w:sz="4" w:space="0" w:color="auto"/>
              <w:bottom w:val="nil"/>
              <w:right w:val="nil"/>
            </w:tcBorders>
            <w:vAlign w:val="center"/>
          </w:tcPr>
          <w:p w:rsidR="00AF261E" w:rsidRPr="00AF261E" w:rsidRDefault="00AF261E" w:rsidP="00AF261E">
            <w:pPr>
              <w:spacing w:after="0" w:line="240" w:lineRule="auto"/>
              <w:rPr>
                <w:rFonts w:ascii="Times New Roman" w:hAnsi="Times New Roman"/>
                <w:sz w:val="16"/>
                <w:szCs w:val="16"/>
              </w:rPr>
            </w:pPr>
          </w:p>
        </w:tc>
        <w:tc>
          <w:tcPr>
            <w:tcW w:w="2207" w:type="dxa"/>
            <w:tcBorders>
              <w:left w:val="nil"/>
            </w:tcBorders>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Quels sont les domaines d'intervention qui pourrait être mis à l'échelle par le</w:t>
            </w:r>
            <w:r w:rsidRPr="00AF261E">
              <w:rPr>
                <w:rFonts w:ascii="Times New Roman" w:hAnsi="Times New Roman"/>
                <w:sz w:val="16"/>
                <w:szCs w:val="16"/>
              </w:rPr>
              <w:br/>
              <w:t>Gouvernement ?</w:t>
            </w:r>
          </w:p>
          <w:p w:rsidR="00AF261E" w:rsidRPr="00AF261E" w:rsidRDefault="00AF261E" w:rsidP="00AF261E">
            <w:pPr>
              <w:spacing w:after="0" w:line="240" w:lineRule="auto"/>
              <w:rPr>
                <w:rFonts w:ascii="Times New Roman" w:hAnsi="Times New Roman"/>
                <w:sz w:val="16"/>
                <w:szCs w:val="16"/>
              </w:rPr>
            </w:pPr>
          </w:p>
        </w:tc>
        <w:tc>
          <w:tcPr>
            <w:tcW w:w="2207" w:type="dxa"/>
            <w:vAlign w:val="center"/>
          </w:tcPr>
          <w:p w:rsidR="00AF261E" w:rsidRPr="00AF261E" w:rsidRDefault="00AF261E" w:rsidP="0089432A">
            <w:pPr>
              <w:numPr>
                <w:ilvl w:val="0"/>
                <w:numId w:val="47"/>
              </w:numPr>
              <w:spacing w:after="0" w:line="240" w:lineRule="auto"/>
              <w:rPr>
                <w:rFonts w:ascii="Times New Roman" w:hAnsi="Times New Roman"/>
                <w:sz w:val="16"/>
                <w:szCs w:val="16"/>
              </w:rPr>
            </w:pPr>
          </w:p>
        </w:tc>
        <w:tc>
          <w:tcPr>
            <w:tcW w:w="2207" w:type="dxa"/>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2207" w:type="dxa"/>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Existence de segments pilotes réussis dans le programme : réplicables à plus grnade échelle</w:t>
            </w:r>
          </w:p>
        </w:tc>
        <w:tc>
          <w:tcPr>
            <w:tcW w:w="2207" w:type="dxa"/>
            <w:vAlign w:val="center"/>
          </w:tcPr>
          <w:p w:rsidR="00AF261E" w:rsidRPr="00AF261E" w:rsidRDefault="00AF261E" w:rsidP="0089432A">
            <w:pPr>
              <w:numPr>
                <w:ilvl w:val="0"/>
                <w:numId w:val="51"/>
              </w:numPr>
              <w:spacing w:after="0" w:line="240" w:lineRule="auto"/>
              <w:rPr>
                <w:rFonts w:ascii="Times New Roman" w:hAnsi="Times New Roman"/>
                <w:sz w:val="16"/>
                <w:szCs w:val="16"/>
              </w:rPr>
            </w:pPr>
            <w:r w:rsidRPr="00AF261E">
              <w:rPr>
                <w:rFonts w:ascii="Times New Roman" w:hAnsi="Times New Roman"/>
                <w:sz w:val="16"/>
                <w:szCs w:val="16"/>
              </w:rPr>
              <w:t>Mise en exergue des modalités de mise à l’échelle des segments pilotes que le programme a réussi</w:t>
            </w:r>
          </w:p>
        </w:tc>
      </w:tr>
      <w:tr w:rsidR="00AF261E" w:rsidRPr="00AF261E" w:rsidTr="00AF261E">
        <w:trPr>
          <w:gridAfter w:val="6"/>
          <w:wAfter w:w="13242" w:type="dxa"/>
        </w:trPr>
        <w:tc>
          <w:tcPr>
            <w:tcW w:w="568"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2.1.</w:t>
            </w:r>
          </w:p>
        </w:tc>
        <w:tc>
          <w:tcPr>
            <w:tcW w:w="1701"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Capitalisation</w:t>
            </w:r>
          </w:p>
        </w:tc>
        <w:tc>
          <w:tcPr>
            <w:tcW w:w="1559"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Quels enseignements pourraient être tirés des bonnes et des mauvaises pratiques dans le cadre de la formulation et de la mise en œuvre de l’UNDAF+ ?</w:t>
            </w: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 xml:space="preserve">Y-a-t-il dans L’UNDAF+, des méthodes et actions ayant un intérêt pédagogique marqué pour la mise en œuvre du prochain de  programmation ?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Réussites majeures de l’UNDAF+</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89432A">
            <w:pPr>
              <w:numPr>
                <w:ilvl w:val="0"/>
                <w:numId w:val="48"/>
              </w:numPr>
              <w:spacing w:after="0" w:line="240" w:lineRule="auto"/>
              <w:rPr>
                <w:rFonts w:ascii="Times New Roman" w:hAnsi="Times New Roman"/>
                <w:sz w:val="16"/>
                <w:szCs w:val="16"/>
              </w:rPr>
            </w:pPr>
            <w:r w:rsidRPr="00AF261E">
              <w:rPr>
                <w:rFonts w:ascii="Times New Roman" w:hAnsi="Times New Roman"/>
                <w:sz w:val="16"/>
                <w:szCs w:val="16"/>
              </w:rPr>
              <w:t>Analyse et conceptualisation/modélisation des réussites majeures observées dans le cadre de l’UNDAF+, et détermination des modalités de leur transférabilité</w:t>
            </w:r>
          </w:p>
          <w:p w:rsidR="00AF261E" w:rsidRPr="00AF261E" w:rsidRDefault="00AF261E" w:rsidP="00AF261E">
            <w:pPr>
              <w:spacing w:after="0" w:line="240" w:lineRule="auto"/>
              <w:rPr>
                <w:rFonts w:ascii="Times New Roman" w:hAnsi="Times New Roman"/>
                <w:sz w:val="16"/>
                <w:szCs w:val="16"/>
              </w:rPr>
            </w:pPr>
          </w:p>
        </w:tc>
      </w:tr>
      <w:tr w:rsidR="00AF261E" w:rsidRPr="00AF261E" w:rsidTr="00AF261E">
        <w:trPr>
          <w:gridAfter w:val="6"/>
          <w:wAfter w:w="13242" w:type="dxa"/>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Y-a-il eu dans L’UNDAF+ des méthodes et actions  à éviter pour une bonne mise en œuvre du prochain cycle de programmation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Situations d’échec manifeste dans le cadre de l’UNDAF+</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89432A">
            <w:pPr>
              <w:numPr>
                <w:ilvl w:val="0"/>
                <w:numId w:val="48"/>
              </w:numPr>
              <w:spacing w:after="0" w:line="240" w:lineRule="auto"/>
              <w:rPr>
                <w:rFonts w:ascii="Times New Roman" w:hAnsi="Times New Roman"/>
                <w:sz w:val="16"/>
                <w:szCs w:val="16"/>
              </w:rPr>
            </w:pPr>
            <w:r w:rsidRPr="00AF261E">
              <w:rPr>
                <w:rFonts w:ascii="Times New Roman" w:hAnsi="Times New Roman"/>
                <w:sz w:val="16"/>
                <w:szCs w:val="16"/>
              </w:rPr>
              <w:t>Analyse des échecs observés dans le cadre de l’UNDAF+, et conceptualisation des voies et moyens de les éviter dans l’avenir</w:t>
            </w:r>
          </w:p>
          <w:p w:rsidR="00AF261E" w:rsidRPr="00AF261E" w:rsidRDefault="00AF261E" w:rsidP="00AF261E">
            <w:pPr>
              <w:spacing w:after="0" w:line="240" w:lineRule="auto"/>
              <w:rPr>
                <w:rFonts w:ascii="Times New Roman" w:hAnsi="Times New Roman"/>
                <w:sz w:val="16"/>
                <w:szCs w:val="16"/>
              </w:rPr>
            </w:pPr>
          </w:p>
        </w:tc>
      </w:tr>
      <w:tr w:rsidR="00AF261E" w:rsidRPr="00AF261E" w:rsidTr="00AF261E">
        <w:trPr>
          <w:gridAfter w:val="6"/>
          <w:wAfter w:w="13242" w:type="dxa"/>
          <w:trHeight w:val="268"/>
        </w:trPr>
        <w:tc>
          <w:tcPr>
            <w:tcW w:w="568"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2.2.</w:t>
            </w:r>
          </w:p>
        </w:tc>
        <w:tc>
          <w:tcPr>
            <w:tcW w:w="1701"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Orientations de Révision</w:t>
            </w:r>
          </w:p>
        </w:tc>
        <w:tc>
          <w:tcPr>
            <w:tcW w:w="1559" w:type="dxa"/>
            <w:vMerge w:val="restart"/>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A partir des constations clés sur la formulation et l’exécution de l’UNDAF+, quels ajustements et réorientations sont envisageables, et réalisables en direction d’un nouveau cycle du programmation ?</w:t>
            </w: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Sur la base des observations de l’évaluation, quelles recommandations peut-on faire sur la formulation et le cadre des résultats de l’UNDAF+ (effets, produits, ressources dédiées, indicateurs de suivi)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Recommandations sur la formulation et le cadre des résultats (effets, produits, ressources dédiées et indicateurs de suivi)</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Partir des problèmes clairement identifiés par l’évaluation de l’UNDAF+ pour en inférer des recommandations pertinentes, réalisables à des coûts raisonnables et dont les modalités de mise en œuvre sont précisées (moyens, acteurs, délais)</w:t>
            </w:r>
          </w:p>
          <w:p w:rsidR="00AF261E" w:rsidRPr="00AF261E" w:rsidRDefault="00AF261E" w:rsidP="00AF261E">
            <w:pPr>
              <w:spacing w:after="0" w:line="240" w:lineRule="auto"/>
              <w:rPr>
                <w:rFonts w:ascii="Times New Roman" w:hAnsi="Times New Roman"/>
                <w:sz w:val="16"/>
                <w:szCs w:val="16"/>
              </w:rPr>
            </w:pPr>
          </w:p>
        </w:tc>
      </w:tr>
      <w:tr w:rsidR="00AF261E" w:rsidRPr="00AF261E" w:rsidTr="00AF261E">
        <w:trPr>
          <w:gridAfter w:val="6"/>
          <w:wAfter w:w="13242" w:type="dxa"/>
          <w:trHeight w:val="633"/>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Sur la base des observations de l’évaluation, quelles recommandations peut-on faire en relation avec le cadre  et l’architecture institutionnelle de pilotage de l’UNDAF+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Recommandations sur l’architecture de l’UNDAF+ et la structure de ses projets contributeurs</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Partir des problèmes clairement identifiés par l’évaluation de l’UNDAF+ pour en inférer des recommandations pertinentes, réalisables à des coûts raisonnables et dont les modalités de mise en œuvre sont précisées (moyens, acteurs, délais)</w:t>
            </w:r>
          </w:p>
          <w:p w:rsidR="00AF261E" w:rsidRPr="00AF261E" w:rsidRDefault="00AF261E" w:rsidP="00AF261E">
            <w:pPr>
              <w:spacing w:after="0" w:line="240" w:lineRule="auto"/>
              <w:rPr>
                <w:rFonts w:ascii="Times New Roman" w:hAnsi="Times New Roman"/>
                <w:sz w:val="16"/>
                <w:szCs w:val="16"/>
              </w:rPr>
            </w:pPr>
          </w:p>
        </w:tc>
      </w:tr>
      <w:tr w:rsidR="00AF261E" w:rsidRPr="00AF261E" w:rsidTr="00AF261E">
        <w:trPr>
          <w:gridAfter w:val="6"/>
          <w:wAfter w:w="13242" w:type="dxa"/>
          <w:trHeight w:val="423"/>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Sur la base des observations de l’évaluation, quelles recommandations peut-on faire sur les arrangements institutionnels et le cadre de mise en œuvre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Recommandations sur les arrangements institutionnels et le cadre de mise en œuvre de l’UNDAF+</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Partir des problèmes clairement identifiés par l’évaluation de l’UNDAF+ pour en inférer des recommandations pertinentes, réalisables à des coûts raisonnables et dont les modalités de mise en œuvre sont précisées (moyens, acteurs, délais)</w:t>
            </w:r>
          </w:p>
          <w:p w:rsidR="00AF261E" w:rsidRPr="00AF261E" w:rsidRDefault="00AF261E" w:rsidP="00AF261E">
            <w:pPr>
              <w:spacing w:after="0" w:line="240" w:lineRule="auto"/>
              <w:rPr>
                <w:rFonts w:ascii="Times New Roman" w:hAnsi="Times New Roman"/>
                <w:sz w:val="16"/>
                <w:szCs w:val="16"/>
              </w:rPr>
            </w:pPr>
          </w:p>
        </w:tc>
      </w:tr>
      <w:tr w:rsidR="00AF261E" w:rsidRPr="00AF261E" w:rsidTr="00AF261E">
        <w:trPr>
          <w:gridAfter w:val="6"/>
          <w:wAfter w:w="13242" w:type="dxa"/>
          <w:trHeight w:val="423"/>
        </w:trPr>
        <w:tc>
          <w:tcPr>
            <w:tcW w:w="568"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Sur la base des observations de l’évaluation, quelles recommandations peut-on faire sur les contenus stratégiques opérationnels de mise en œuvre de l’UNDAF+ ?</w:t>
            </w:r>
          </w:p>
        </w:tc>
        <w:tc>
          <w:tcPr>
            <w:tcW w:w="1751" w:type="dxa"/>
            <w:gridSpan w:val="2"/>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Partie diagnostic et analyse dans le rapport d’évaluation des effets  produit par la mission</w:t>
            </w:r>
          </w:p>
        </w:tc>
        <w:tc>
          <w:tcPr>
            <w:tcW w:w="1921"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Recommandations sur les stratégies de mise en œuvre de l’UNDAF+</w:t>
            </w:r>
          </w:p>
          <w:p w:rsidR="00AF261E" w:rsidRPr="00AF261E" w:rsidRDefault="00AF261E" w:rsidP="00AF261E">
            <w:pPr>
              <w:spacing w:after="0" w:line="240" w:lineRule="auto"/>
              <w:rPr>
                <w:rFonts w:ascii="Times New Roman" w:hAnsi="Times New Roman"/>
                <w:sz w:val="16"/>
                <w:szCs w:val="16"/>
              </w:rPr>
            </w:pPr>
          </w:p>
        </w:tc>
        <w:tc>
          <w:tcPr>
            <w:tcW w:w="2207" w:type="dxa"/>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Partir des problèmes clairement identifiés par l’évaluation de l’UNDAF+ pour en inférer des recommandations pertinentes, réalisables à des coûts raisonnables et dont les modalités de mise en œuvre sont précisées (moyens, acteurs, délais)</w:t>
            </w:r>
          </w:p>
          <w:p w:rsidR="00AF261E" w:rsidRPr="00AF261E" w:rsidRDefault="00AF261E" w:rsidP="00AF261E">
            <w:pPr>
              <w:spacing w:after="0" w:line="240" w:lineRule="auto"/>
              <w:rPr>
                <w:rFonts w:ascii="Times New Roman" w:hAnsi="Times New Roman"/>
                <w:sz w:val="16"/>
                <w:szCs w:val="16"/>
              </w:rPr>
            </w:pPr>
          </w:p>
        </w:tc>
      </w:tr>
      <w:tr w:rsidR="00AF261E" w:rsidRPr="00AF261E" w:rsidTr="00AF261E">
        <w:trPr>
          <w:gridAfter w:val="6"/>
          <w:wAfter w:w="13242" w:type="dxa"/>
          <w:trHeight w:val="2392"/>
        </w:trPr>
        <w:tc>
          <w:tcPr>
            <w:tcW w:w="568" w:type="dxa"/>
            <w:vMerge/>
            <w:tcBorders>
              <w:bottom w:val="single" w:sz="4" w:space="0" w:color="auto"/>
            </w:tcBorders>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701" w:type="dxa"/>
            <w:vMerge/>
            <w:tcBorders>
              <w:bottom w:val="single" w:sz="4" w:space="0" w:color="auto"/>
            </w:tcBorders>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59" w:type="dxa"/>
            <w:vMerge/>
            <w:tcBorders>
              <w:bottom w:val="single" w:sz="4" w:space="0" w:color="auto"/>
            </w:tcBorders>
            <w:shd w:val="clear" w:color="auto" w:fill="auto"/>
            <w:vAlign w:val="center"/>
          </w:tcPr>
          <w:p w:rsidR="00AF261E" w:rsidRPr="00AF261E" w:rsidRDefault="00AF261E" w:rsidP="00AF261E">
            <w:pPr>
              <w:spacing w:after="0" w:line="240" w:lineRule="auto"/>
              <w:rPr>
                <w:rFonts w:ascii="Times New Roman" w:hAnsi="Times New Roman"/>
                <w:sz w:val="16"/>
                <w:szCs w:val="16"/>
              </w:rPr>
            </w:pPr>
          </w:p>
        </w:tc>
        <w:tc>
          <w:tcPr>
            <w:tcW w:w="1509" w:type="dxa"/>
            <w:tcBorders>
              <w:bottom w:val="single" w:sz="4" w:space="0" w:color="auto"/>
            </w:tcBorders>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Sur la base des observations de l’évaluation, quelles recommandations peut-on faire sur tous autres aspects ressortis de l’évaluation comme étant importants à prendre en compte pour le prochain cycle de programmation  ?</w:t>
            </w:r>
          </w:p>
        </w:tc>
        <w:tc>
          <w:tcPr>
            <w:tcW w:w="1751" w:type="dxa"/>
            <w:gridSpan w:val="2"/>
            <w:tcBorders>
              <w:bottom w:val="single" w:sz="4" w:space="0" w:color="auto"/>
            </w:tcBorders>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Rapports d’étape ou d’achèvement des interventions dans le cadre de l’UNDAF+ et de ses projets contributeurs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ressources parties prenantes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Personnes et institutions bénéficiaires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Tous autres observateurs pertinents présents dans l’environnement</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Observations sur sites d’exécution et ouvrages réalisés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Partie diagnostic et analyse dans le rapport d’évaluation des effets  produit par la mission</w:t>
            </w:r>
          </w:p>
        </w:tc>
        <w:tc>
          <w:tcPr>
            <w:tcW w:w="1921" w:type="dxa"/>
            <w:tcBorders>
              <w:bottom w:val="single" w:sz="4" w:space="0" w:color="auto"/>
            </w:tcBorders>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Revue documentaire</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Entretiens individuels et ou collectifs</w:t>
            </w:r>
          </w:p>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Visites de sites d’exécution et d’ouvrages réalisés</w:t>
            </w:r>
          </w:p>
          <w:p w:rsidR="00AF261E" w:rsidRPr="00AF261E" w:rsidRDefault="00AF261E" w:rsidP="00AF261E">
            <w:pPr>
              <w:spacing w:after="0" w:line="240" w:lineRule="auto"/>
              <w:rPr>
                <w:rFonts w:ascii="Times New Roman" w:hAnsi="Times New Roman"/>
                <w:sz w:val="16"/>
                <w:szCs w:val="16"/>
              </w:rPr>
            </w:pPr>
          </w:p>
        </w:tc>
        <w:tc>
          <w:tcPr>
            <w:tcW w:w="3180" w:type="dxa"/>
            <w:tcBorders>
              <w:bottom w:val="single" w:sz="4" w:space="0" w:color="auto"/>
            </w:tcBorders>
            <w:shd w:val="clear" w:color="auto" w:fill="auto"/>
            <w:vAlign w:val="center"/>
          </w:tcPr>
          <w:p w:rsidR="00AF261E" w:rsidRPr="00AF261E" w:rsidRDefault="00AF261E" w:rsidP="0089432A">
            <w:pPr>
              <w:numPr>
                <w:ilvl w:val="0"/>
                <w:numId w:val="47"/>
              </w:numPr>
              <w:spacing w:after="0" w:line="240" w:lineRule="auto"/>
              <w:rPr>
                <w:rFonts w:ascii="Times New Roman" w:hAnsi="Times New Roman"/>
                <w:sz w:val="16"/>
                <w:szCs w:val="16"/>
              </w:rPr>
            </w:pPr>
            <w:r w:rsidRPr="00AF261E">
              <w:rPr>
                <w:rFonts w:ascii="Times New Roman" w:hAnsi="Times New Roman"/>
                <w:sz w:val="16"/>
                <w:szCs w:val="16"/>
              </w:rPr>
              <w:t>Recommandations sur tous autres aspects ressortis de l’évaluation comme ayant de l’importance en direction de tout nouveau cycle de programmation</w:t>
            </w:r>
          </w:p>
          <w:p w:rsidR="00AF261E" w:rsidRPr="00AF261E" w:rsidRDefault="00AF261E" w:rsidP="00AF261E">
            <w:pPr>
              <w:spacing w:after="0" w:line="240" w:lineRule="auto"/>
              <w:rPr>
                <w:rFonts w:ascii="Times New Roman" w:hAnsi="Times New Roman"/>
                <w:sz w:val="16"/>
                <w:szCs w:val="16"/>
              </w:rPr>
            </w:pPr>
          </w:p>
        </w:tc>
        <w:tc>
          <w:tcPr>
            <w:tcW w:w="2207" w:type="dxa"/>
            <w:tcBorders>
              <w:bottom w:val="single" w:sz="4" w:space="0" w:color="auto"/>
            </w:tcBorders>
            <w:shd w:val="clear" w:color="auto" w:fill="auto"/>
            <w:vAlign w:val="center"/>
          </w:tcPr>
          <w:p w:rsidR="00AF261E" w:rsidRPr="00AF261E" w:rsidRDefault="00AF261E" w:rsidP="00AF261E">
            <w:pPr>
              <w:spacing w:after="0" w:line="240" w:lineRule="auto"/>
              <w:rPr>
                <w:rFonts w:ascii="Times New Roman" w:hAnsi="Times New Roman"/>
                <w:sz w:val="16"/>
                <w:szCs w:val="16"/>
              </w:rPr>
            </w:pPr>
            <w:r w:rsidRPr="00AF261E">
              <w:rPr>
                <w:rFonts w:ascii="Times New Roman" w:hAnsi="Times New Roman"/>
                <w:sz w:val="16"/>
                <w:szCs w:val="16"/>
              </w:rPr>
              <w:t>Partir des problèmes clairement identifiés par l’évaluation de l’UNDAF+ pour en inférer des recommandations pertinentes, réalisables à des coûts raisonnables et dont les modalités de mise en œuvre sont précisées (moyens, acteurs, délais)</w:t>
            </w:r>
          </w:p>
          <w:p w:rsidR="00AF261E" w:rsidRPr="00AF261E" w:rsidRDefault="00AF261E" w:rsidP="00AF261E">
            <w:pPr>
              <w:spacing w:after="0" w:line="240" w:lineRule="auto"/>
              <w:rPr>
                <w:rFonts w:ascii="Times New Roman" w:hAnsi="Times New Roman"/>
                <w:sz w:val="16"/>
                <w:szCs w:val="16"/>
              </w:rPr>
            </w:pPr>
          </w:p>
        </w:tc>
      </w:tr>
    </w:tbl>
    <w:p w:rsidR="00CE3F26" w:rsidRPr="00CE3F26" w:rsidRDefault="00CE3F26" w:rsidP="005B22B2">
      <w:pPr>
        <w:spacing w:after="0" w:line="240" w:lineRule="auto"/>
        <w:rPr>
          <w:b/>
        </w:rPr>
      </w:pPr>
    </w:p>
    <w:p w:rsidR="00CE3F26" w:rsidRPr="00CE3F26" w:rsidRDefault="00CE3F26" w:rsidP="005B22B2">
      <w:pPr>
        <w:spacing w:after="0" w:line="240" w:lineRule="auto"/>
      </w:pPr>
    </w:p>
    <w:p w:rsidR="00CE3F26" w:rsidRPr="00CE3F26" w:rsidRDefault="00CE3F26" w:rsidP="005B22B2">
      <w:pPr>
        <w:spacing w:after="0" w:line="240" w:lineRule="auto"/>
      </w:pPr>
    </w:p>
    <w:p w:rsidR="00CE3F26" w:rsidRPr="00CE3F26" w:rsidRDefault="00CE3F26" w:rsidP="005B22B2">
      <w:pPr>
        <w:spacing w:after="0" w:line="240" w:lineRule="auto"/>
      </w:pPr>
    </w:p>
    <w:p w:rsidR="00CE3F26" w:rsidRPr="00CE3F26" w:rsidRDefault="00CE3F26" w:rsidP="005B22B2">
      <w:pPr>
        <w:spacing w:after="0" w:line="240" w:lineRule="auto"/>
      </w:pPr>
    </w:p>
    <w:p w:rsidR="00CE3F26" w:rsidRPr="00CE3F26" w:rsidRDefault="00CE3F26" w:rsidP="005B22B2">
      <w:pPr>
        <w:spacing w:after="0" w:line="240" w:lineRule="auto"/>
      </w:pPr>
    </w:p>
    <w:p w:rsidR="00CE3F26" w:rsidRPr="00CE3F26" w:rsidRDefault="00CE3F26" w:rsidP="005B22B2">
      <w:pPr>
        <w:spacing w:after="0" w:line="240" w:lineRule="auto"/>
      </w:pPr>
    </w:p>
    <w:p w:rsidR="00CE3F26" w:rsidRPr="00CE3F26" w:rsidRDefault="00CE3F26" w:rsidP="005B22B2">
      <w:pPr>
        <w:spacing w:after="0" w:line="240" w:lineRule="auto"/>
      </w:pPr>
    </w:p>
    <w:p w:rsidR="00CE3F26" w:rsidRPr="00CE3F26" w:rsidRDefault="00CE3F26" w:rsidP="005B22B2">
      <w:pPr>
        <w:spacing w:after="0" w:line="240" w:lineRule="auto"/>
      </w:pPr>
    </w:p>
    <w:p w:rsidR="00CE3F26" w:rsidRPr="00CE3F26" w:rsidRDefault="00CE3F26" w:rsidP="005B22B2">
      <w:pPr>
        <w:spacing w:after="0" w:line="240" w:lineRule="auto"/>
      </w:pPr>
    </w:p>
    <w:p w:rsidR="00CE3F26" w:rsidRPr="00CE3F26" w:rsidRDefault="00CE3F26" w:rsidP="005B22B2">
      <w:pPr>
        <w:spacing w:after="0" w:line="240" w:lineRule="auto"/>
      </w:pPr>
    </w:p>
    <w:p w:rsidR="00CE3F26" w:rsidRPr="00CE3F26" w:rsidRDefault="00CE3F26" w:rsidP="005B22B2">
      <w:pPr>
        <w:spacing w:after="0" w:line="240" w:lineRule="auto"/>
      </w:pPr>
    </w:p>
    <w:p w:rsidR="005F2B28" w:rsidRDefault="005F2B28" w:rsidP="005B22B2">
      <w:pPr>
        <w:pStyle w:val="Titre2"/>
        <w:spacing w:before="0"/>
        <w:rPr>
          <w:b w:val="0"/>
          <w:color w:val="auto"/>
        </w:rPr>
        <w:sectPr w:rsidR="005F2B28" w:rsidSect="003C6847">
          <w:footnotePr>
            <w:numRestart w:val="eachPage"/>
          </w:footnotePr>
          <w:pgSz w:w="16838" w:h="11906" w:orient="landscape"/>
          <w:pgMar w:top="1418" w:right="1418" w:bottom="1418" w:left="1418" w:header="709" w:footer="709" w:gutter="0"/>
          <w:cols w:space="708"/>
          <w:docGrid w:linePitch="360"/>
        </w:sectPr>
      </w:pPr>
    </w:p>
    <w:p w:rsidR="00BA3DC6" w:rsidRPr="006B309F" w:rsidRDefault="00BA3DC6" w:rsidP="0089432A">
      <w:pPr>
        <w:pStyle w:val="Titre2"/>
        <w:numPr>
          <w:ilvl w:val="0"/>
          <w:numId w:val="16"/>
        </w:numPr>
        <w:spacing w:before="0"/>
        <w:rPr>
          <w:rFonts w:ascii="Times New Roman" w:hAnsi="Times New Roman"/>
          <w:color w:val="auto"/>
          <w:sz w:val="24"/>
          <w:szCs w:val="24"/>
        </w:rPr>
      </w:pPr>
      <w:bookmarkStart w:id="74" w:name="_Toc499211635"/>
      <w:bookmarkStart w:id="75" w:name="_Toc500974563"/>
      <w:bookmarkStart w:id="76" w:name="_Toc502863923"/>
      <w:bookmarkStart w:id="77" w:name="_Toc505757921"/>
      <w:bookmarkStart w:id="78" w:name="_Toc506220148"/>
      <w:r w:rsidRPr="006B309F">
        <w:rPr>
          <w:rFonts w:ascii="Times New Roman" w:hAnsi="Times New Roman"/>
          <w:color w:val="auto"/>
          <w:sz w:val="24"/>
          <w:szCs w:val="24"/>
        </w:rPr>
        <w:t>Bibliographie</w:t>
      </w:r>
      <w:bookmarkEnd w:id="74"/>
      <w:bookmarkEnd w:id="75"/>
      <w:bookmarkEnd w:id="76"/>
      <w:bookmarkEnd w:id="77"/>
      <w:bookmarkEnd w:id="78"/>
    </w:p>
    <w:p w:rsidR="00C75122" w:rsidRPr="00C75122" w:rsidRDefault="0054026A" w:rsidP="005B22B2">
      <w:pPr>
        <w:spacing w:after="0" w:line="240" w:lineRule="auto"/>
        <w:ind w:left="720"/>
        <w:rPr>
          <w:rFonts w:ascii="Times New Roman" w:hAnsi="Times New Roman"/>
          <w:sz w:val="24"/>
          <w:szCs w:val="24"/>
        </w:rPr>
      </w:pPr>
      <w:r>
        <w:rPr>
          <w:rFonts w:ascii="Times New Roman" w:hAnsi="Times New Roman"/>
          <w:sz w:val="24"/>
          <w:szCs w:val="24"/>
        </w:rPr>
        <w:t>(Provisoire)</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note de la première réunion du groupe de référence de la revue mi-parcours de l’UNDAF+, Décembre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Plan de travail Groupe de travail résultat 1 de l’UNDAF+ 2015 – 2019,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Plan de travail Groupe de travail résultat 2 de l’UNDAF+ 2015 – 2019,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Plan de travail Groupe de travail résultat 3 de l’UNDAF+ 2015 – 2019,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Plan de travail Groupe de travail résultat 3 de l’UNDAF+ 2015 – 2019,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Note de suivi sur les programmes conjoints de l’UNDAF+ 2015 – 2019, Novembre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Rapport Axe 4 groupe de référence résultat 4 de l’UNDAF+ 2015 – 2019, Avril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Plan de travail Groupe de travail résultat « Croissance Inclusive et Développement Durable» 2017 de l’UNDAF+ 2015 – 2019,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Rapport annuel de résultat 2015 de l’UNDAF+ 2015 – 2019,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Rapport annuel de résultat 2016 de l’UNDAF+ 2015 – 2019,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liste des Présidents de groupe de résultats 2016 de l’UNDAF+ 2015 – 2019,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Mali/MINUSMA, Fiche synthétique sur le Fonds pour la Consolidation de la Paix au Mali, 2015.</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Mali/MINUSMA, Fiche synthétique en quelques chiffres sur le Fonds fiduciaire en soutien à la Paix et la Sécurité au Mali, Juin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Mali/MINUSMA, Fiche sur les mandats de la division stabilisation et relèvement de la MINUSMA, Octobre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Rapport revue projets PNUD, FAO, HCR, UNICEF, PAM, ONUFEMMES, OMS, UNFPA 2015-2016.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Plan de travail groupe d’effets 2015 et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PNUD-Mali, Programme Pays 2015-2019</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SNU-Mali, Cadre des Nations Unies pour l’Assistance au Développement UNDAF+ 2015-2019</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République du Mali, Bamako, Plan pour la Relance Durable du Mali PRED 2013-2014</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République du Mali, Bamako, Cadre Stratégique pour la Croissance et la Réduction de la Pauvreté CSCRP (2012-2017)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République du Mali, Bamako, Documents de revue annuelle 2017 du Cadre Stratégique pour la Croissance et la Réduction de la Pauvreté CSCRP (2012-2017)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République du Mali, Bamako, Programme d’Action du Gouvernement, PAG (2013-2018)</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 xml:space="preserve">République du Mali, Bamako, Programme de Développement Accéléré des Régions du Nord PDARN, APRM Juin 2014, </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République du Mali, Bamako, Cadre Stratégique pour la Relance Economique et le Développement Durable du Mali CREDD 2016-2018</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du Coordinateur Résident, Note d’information sur les Programmes Conjoints au Mali, « unis dans l’action » à travers les Programmes Conjoints, juin 2016 ;</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 xml:space="preserve">Ministère de la Décentralisation et de la Réforme de l’Etat, Document Cadre de la Politique Nationale de Décentralisation, 2015-2024 ; </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PNUD/AEDD, Document de Projet : Programme d’Appui à l’Adaptation aux changements climatiques dans les communes le plus vulnérables des régions de Mopti et de Tombouctou, Décembre 2015 ;</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PNUD/AEDD, Document de Projet : Programme de Réduction des effets néfastes des changements climatiques dans le Delta intérieur du Niger (PRENCC), Décembre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PNUD/Ministère de l’Environnement et de l’Assainissement, Document de Projet : Appui à l’Amélioration de l’Environnement à travers les actions communautaires, Août 2010.</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PNUD/Ministère de l’Environnement, de l’Assainissement et du Développement Durable, Document de Projet : Programme d’Appui à la mise en œuvre de la stratégie nationale du Mali sur les changements climatiques, Juillet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PNUD-Mali, Document de Projet pour les projets financés par le FPMA du FEM exécutés au niveau national, octobre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PNUD-Mali, Document de Projet : Améliorer la capacité d’adaptation et de résilience face aux changements climatiques dans le secteur Agricole, juin 2010 ;</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PNUD-Mali, Programme Pays (CPD) pour le Mali, 2015-2019.</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 xml:space="preserve">Fall Y/ ONUFEMMES,  </w:t>
      </w:r>
      <w:r w:rsidRPr="00C75122">
        <w:rPr>
          <w:rFonts w:ascii="Times New Roman" w:hAnsi="Times New Roman"/>
          <w:bCs/>
          <w:sz w:val="24"/>
          <w:szCs w:val="24"/>
        </w:rPr>
        <w:t>Stratégie Commune du Système des Nations Unies pour la Promotion de l’Egalite des droits et l’Autonomisation des Femmes au Mali, 2016.</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 xml:space="preserve">ONUFEMMES,  </w:t>
      </w:r>
      <w:r w:rsidRPr="00C75122">
        <w:rPr>
          <w:rFonts w:ascii="Times New Roman" w:hAnsi="Times New Roman"/>
          <w:bCs/>
          <w:sz w:val="24"/>
          <w:szCs w:val="24"/>
        </w:rPr>
        <w:t>Les Femmes et les Filles dans les conflits au Mali, analyse factuelle et recommandations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PNUD, BOS Mali, 2017.</w:t>
      </w:r>
    </w:p>
    <w:p w:rsidR="00C75122" w:rsidRPr="00C75122" w:rsidRDefault="00C75122" w:rsidP="0089432A">
      <w:pPr>
        <w:numPr>
          <w:ilvl w:val="0"/>
          <w:numId w:val="44"/>
        </w:numPr>
        <w:spacing w:after="0" w:line="240" w:lineRule="auto"/>
        <w:rPr>
          <w:rFonts w:ascii="Times New Roman" w:hAnsi="Times New Roman"/>
          <w:sz w:val="24"/>
          <w:szCs w:val="24"/>
        </w:rPr>
      </w:pPr>
      <w:r w:rsidRPr="00C75122">
        <w:rPr>
          <w:rFonts w:ascii="Times New Roman" w:hAnsi="Times New Roman"/>
          <w:sz w:val="24"/>
          <w:szCs w:val="24"/>
        </w:rPr>
        <w:t>Bureau de Coordination NU Mali, note de Présentation ISF et Undaf+, 2017.</w:t>
      </w:r>
    </w:p>
    <w:p w:rsidR="00C75122" w:rsidRPr="00C75122" w:rsidRDefault="00C75122" w:rsidP="005B22B2">
      <w:pPr>
        <w:spacing w:after="0" w:line="240" w:lineRule="auto"/>
        <w:rPr>
          <w:rFonts w:ascii="Times New Roman" w:hAnsi="Times New Roman"/>
          <w:sz w:val="24"/>
          <w:szCs w:val="24"/>
        </w:rPr>
      </w:pPr>
    </w:p>
    <w:p w:rsidR="00AC6BA8" w:rsidRPr="00C75122" w:rsidRDefault="00BA3DC6" w:rsidP="005B22B2">
      <w:pPr>
        <w:spacing w:after="0" w:line="240" w:lineRule="auto"/>
        <w:rPr>
          <w:rFonts w:ascii="Times New Roman" w:eastAsia="Times New Roman" w:hAnsi="Times New Roman"/>
          <w:b/>
          <w:bCs/>
          <w:color w:val="4F81BD"/>
          <w:sz w:val="24"/>
          <w:szCs w:val="24"/>
        </w:rPr>
      </w:pPr>
      <w:r w:rsidRPr="00C75122">
        <w:rPr>
          <w:rFonts w:ascii="Times New Roman" w:hAnsi="Times New Roman"/>
          <w:sz w:val="24"/>
          <w:szCs w:val="24"/>
        </w:rPr>
        <w:t xml:space="preserve">   </w:t>
      </w:r>
      <w:r w:rsidRPr="00C75122">
        <w:rPr>
          <w:rFonts w:ascii="Times New Roman" w:eastAsia="Times New Roman" w:hAnsi="Times New Roman"/>
          <w:b/>
          <w:bCs/>
          <w:color w:val="4F81BD"/>
          <w:sz w:val="24"/>
          <w:szCs w:val="24"/>
        </w:rPr>
        <w:t xml:space="preserve"> </w:t>
      </w:r>
    </w:p>
    <w:p w:rsidR="00C75122" w:rsidRPr="00C75122" w:rsidRDefault="00C75122" w:rsidP="005B22B2">
      <w:pPr>
        <w:spacing w:after="0" w:line="240" w:lineRule="auto"/>
        <w:rPr>
          <w:rFonts w:ascii="Times New Roman" w:eastAsia="Times New Roman" w:hAnsi="Times New Roman"/>
          <w:b/>
          <w:bCs/>
          <w:color w:val="4F81BD"/>
          <w:sz w:val="24"/>
          <w:szCs w:val="24"/>
        </w:rPr>
      </w:pPr>
    </w:p>
    <w:p w:rsidR="005F2B28" w:rsidRPr="005F2B28" w:rsidRDefault="005F2B28" w:rsidP="005B22B2">
      <w:pPr>
        <w:pStyle w:val="Titre2"/>
        <w:spacing w:before="0"/>
        <w:rPr>
          <w:rFonts w:ascii="Times New Roman" w:hAnsi="Times New Roman"/>
          <w:sz w:val="24"/>
          <w:szCs w:val="24"/>
        </w:rPr>
      </w:pPr>
    </w:p>
    <w:p w:rsidR="005F2B28" w:rsidRPr="005F2B28" w:rsidRDefault="005F2B28" w:rsidP="005B22B2">
      <w:pPr>
        <w:pStyle w:val="Titre2"/>
        <w:spacing w:before="0"/>
        <w:rPr>
          <w:rFonts w:ascii="Times New Roman" w:hAnsi="Times New Roman"/>
          <w:sz w:val="24"/>
          <w:szCs w:val="24"/>
        </w:rPr>
      </w:pPr>
    </w:p>
    <w:p w:rsidR="00596DD8" w:rsidRPr="00006C7E" w:rsidRDefault="00596DD8" w:rsidP="005B22B2">
      <w:pPr>
        <w:pStyle w:val="Titre2"/>
        <w:spacing w:before="0"/>
        <w:rPr>
          <w:rFonts w:ascii="Times New Roman" w:hAnsi="Times New Roman"/>
          <w:b w:val="0"/>
          <w:color w:val="auto"/>
          <w:sz w:val="24"/>
          <w:szCs w:val="24"/>
        </w:rPr>
        <w:sectPr w:rsidR="00596DD8" w:rsidRPr="00006C7E" w:rsidSect="00632A47">
          <w:footnotePr>
            <w:numRestart w:val="eachPage"/>
          </w:footnotePr>
          <w:pgSz w:w="11906" w:h="16838"/>
          <w:pgMar w:top="1418" w:right="1418" w:bottom="1418" w:left="1418" w:header="709" w:footer="709" w:gutter="0"/>
          <w:cols w:space="708"/>
          <w:docGrid w:linePitch="360"/>
        </w:sectPr>
      </w:pPr>
    </w:p>
    <w:p w:rsidR="00BA3DC6" w:rsidRDefault="00BA3DC6" w:rsidP="0089432A">
      <w:pPr>
        <w:pStyle w:val="Titre2"/>
        <w:numPr>
          <w:ilvl w:val="0"/>
          <w:numId w:val="19"/>
        </w:numPr>
        <w:spacing w:before="0"/>
        <w:rPr>
          <w:rFonts w:ascii="Times New Roman" w:hAnsi="Times New Roman"/>
          <w:color w:val="auto"/>
          <w:sz w:val="24"/>
          <w:szCs w:val="24"/>
        </w:rPr>
      </w:pPr>
      <w:bookmarkStart w:id="79" w:name="_Toc499211636"/>
      <w:bookmarkStart w:id="80" w:name="_Toc500974581"/>
      <w:bookmarkStart w:id="81" w:name="_Toc502863924"/>
      <w:bookmarkStart w:id="82" w:name="_Toc505757922"/>
      <w:bookmarkStart w:id="83" w:name="_Toc506220149"/>
      <w:r w:rsidRPr="006B309F">
        <w:rPr>
          <w:rFonts w:ascii="Times New Roman" w:hAnsi="Times New Roman"/>
          <w:color w:val="auto"/>
          <w:sz w:val="24"/>
          <w:szCs w:val="24"/>
        </w:rPr>
        <w:t xml:space="preserve">Liste des </w:t>
      </w:r>
      <w:r w:rsidR="00C75122">
        <w:rPr>
          <w:rFonts w:ascii="Times New Roman" w:hAnsi="Times New Roman"/>
          <w:color w:val="auto"/>
          <w:sz w:val="24"/>
          <w:szCs w:val="24"/>
        </w:rPr>
        <w:t>structures/</w:t>
      </w:r>
      <w:r w:rsidRPr="006B309F">
        <w:rPr>
          <w:rFonts w:ascii="Times New Roman" w:hAnsi="Times New Roman"/>
          <w:color w:val="auto"/>
          <w:sz w:val="24"/>
          <w:szCs w:val="24"/>
        </w:rPr>
        <w:t>personnes rencontré</w:t>
      </w:r>
      <w:bookmarkEnd w:id="79"/>
      <w:bookmarkEnd w:id="80"/>
      <w:r w:rsidR="00C75122">
        <w:rPr>
          <w:rFonts w:ascii="Times New Roman" w:hAnsi="Times New Roman"/>
          <w:color w:val="auto"/>
          <w:sz w:val="24"/>
          <w:szCs w:val="24"/>
        </w:rPr>
        <w:t>es</w:t>
      </w:r>
      <w:bookmarkEnd w:id="81"/>
      <w:bookmarkEnd w:id="82"/>
      <w:bookmarkEnd w:id="83"/>
      <w:r w:rsidR="0054026A">
        <w:rPr>
          <w:rFonts w:ascii="Times New Roman" w:hAnsi="Times New Roman"/>
          <w:color w:val="auto"/>
          <w:sz w:val="24"/>
          <w:szCs w:val="24"/>
        </w:rPr>
        <w:t xml:space="preserve"> </w:t>
      </w:r>
    </w:p>
    <w:p w:rsidR="0054026A" w:rsidRPr="0054026A" w:rsidRDefault="0054026A" w:rsidP="005B22B2">
      <w:pPr>
        <w:spacing w:after="0" w:line="240" w:lineRule="auto"/>
        <w:ind w:left="360"/>
        <w:rPr>
          <w:rFonts w:ascii="Times New Roman" w:hAnsi="Times New Roman"/>
          <w:sz w:val="24"/>
          <w:szCs w:val="24"/>
        </w:rPr>
      </w:pPr>
      <w:r>
        <w:rPr>
          <w:rFonts w:ascii="Times New Roman" w:hAnsi="Times New Roman"/>
          <w:sz w:val="24"/>
          <w:szCs w:val="24"/>
        </w:rPr>
        <w:tab/>
      </w:r>
      <w:r w:rsidRPr="0054026A">
        <w:rPr>
          <w:rFonts w:ascii="Times New Roman" w:hAnsi="Times New Roman"/>
          <w:sz w:val="24"/>
          <w:szCs w:val="24"/>
        </w:rPr>
        <w:t>(Provisoire)</w:t>
      </w:r>
    </w:p>
    <w:p w:rsidR="0054026A" w:rsidRPr="0054026A" w:rsidRDefault="0054026A" w:rsidP="005B22B2">
      <w:pPr>
        <w:spacing w:after="0" w:line="240" w:lineRule="auto"/>
      </w:pPr>
    </w:p>
    <w:tbl>
      <w:tblPr>
        <w:tblpPr w:leftFromText="141" w:rightFromText="141" w:vertAnchor="text" w:tblpXSpec="center" w:tblpY="1"/>
        <w:tblOverlap w:val="never"/>
        <w:tblW w:w="13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43"/>
        <w:gridCol w:w="2552"/>
        <w:gridCol w:w="4252"/>
        <w:gridCol w:w="3499"/>
      </w:tblGrid>
      <w:tr w:rsidR="0054026A" w:rsidRPr="0054026A" w:rsidTr="0054026A">
        <w:trPr>
          <w:trHeight w:val="733"/>
        </w:trPr>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
                <w:bCs/>
                <w:sz w:val="20"/>
                <w:szCs w:val="20"/>
              </w:rPr>
            </w:pPr>
            <w:r w:rsidRPr="0054026A">
              <w:rPr>
                <w:rFonts w:ascii="Times New Roman" w:hAnsi="Times New Roman"/>
                <w:b/>
                <w:bCs/>
                <w:sz w:val="20"/>
                <w:szCs w:val="20"/>
              </w:rPr>
              <w:t>Date</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b/>
                <w:bCs/>
                <w:sz w:val="20"/>
                <w:szCs w:val="20"/>
              </w:rPr>
            </w:pPr>
            <w:r w:rsidRPr="0054026A">
              <w:rPr>
                <w:rFonts w:ascii="Times New Roman" w:hAnsi="Times New Roman"/>
                <w:b/>
                <w:bCs/>
                <w:sz w:val="20"/>
                <w:szCs w:val="20"/>
              </w:rPr>
              <w:t>Structures</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b/>
                <w:bCs/>
                <w:sz w:val="20"/>
                <w:szCs w:val="20"/>
              </w:rPr>
            </w:pPr>
            <w:r w:rsidRPr="0054026A">
              <w:rPr>
                <w:rFonts w:ascii="Times New Roman" w:hAnsi="Times New Roman"/>
                <w:b/>
                <w:bCs/>
                <w:sz w:val="20"/>
                <w:szCs w:val="20"/>
              </w:rPr>
              <w:t>Personnes rencontrées</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b/>
                <w:bCs/>
                <w:sz w:val="20"/>
                <w:szCs w:val="20"/>
              </w:rPr>
            </w:pPr>
            <w:r w:rsidRPr="0054026A">
              <w:rPr>
                <w:rFonts w:ascii="Times New Roman" w:hAnsi="Times New Roman"/>
                <w:b/>
                <w:bCs/>
                <w:sz w:val="20"/>
                <w:szCs w:val="20"/>
              </w:rPr>
              <w:t>Fonctions</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30/11/2017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PNUD</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Maleye DIOP</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Directeur Pays Adjoint</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05/12/2017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PNUD</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COULIBALY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Directeur Pays Adjoint</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05/12/2017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OMS</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Dr Kouadio Théodore YAO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Expert international en systèmes de santé</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Mme Fatoumata DIANE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Santé maternelle</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05/12/2017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UNICEF</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Lucia ELMI</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Représente Résidente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Christine GAIGNEBET</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M&amp;E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Felix Ackebo</w:t>
            </w:r>
          </w:p>
          <w:p w:rsidR="0054026A" w:rsidRPr="0054026A" w:rsidRDefault="0054026A" w:rsidP="005B22B2">
            <w:pPr>
              <w:spacing w:after="0" w:line="240" w:lineRule="auto"/>
              <w:jc w:val="center"/>
              <w:rPr>
                <w:rFonts w:ascii="Times New Roman" w:hAnsi="Times New Roman"/>
                <w:sz w:val="20"/>
                <w:szCs w:val="20"/>
              </w:rPr>
            </w:pP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Représentant Adjoint</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05/12/2017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PAM</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Silvia CARUSO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Directrice Pays</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William NALL</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Chef du  Programme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Karim DIARRA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Suivi - évaluation</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05/12/2017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FAO</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Amadou Allahoury DIALLO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Représentant résident</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05/12/2017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Division Affaires Civiles / MINUSMA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Jonssen Therese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Chef de division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Assitan COULIBALY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Membre de la division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Yvan PROSPERINI</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Membre de la division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Omaru MUTORO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Membre de la division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Rolin Blaise Sila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Membre de la division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Christophe SIVILLON</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Membre de la division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Hammadoun BOCOUM</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Membre de la division</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06/12/2017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Direction de la Coopération Multilatérale/Ministère des Affaires étrangères</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Seydou COULIBALY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Directeur Adjoint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Adama DIAKITE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Membre de la Direction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Sidi Ag</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Membre de la Direction</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06/12/2017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HCR</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Elisabath</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Représentante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Djouma KONTE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Aly Sala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Suivi - évalaution</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06-15/12/2017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UNESCO</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Hervé HUOT MARCHAND</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Représentant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Elmehdi Ag Muphtah</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Coordinateur de projets UNESCO</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Pierre SAYE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Chargé de  programmes</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Modo SOUMARE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Chef de division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Hawa TRAORE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Assistante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Clarisse Njikan</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Chargé de communication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Aly DAOU</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Chargé de programme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Abdramane COULIBALY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Coordinateur de projet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Amadou GUITTEYE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Chargé de programmes adjoint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Mme SYLLA Fatoumata CISSE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Fadima GOLOGO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Programme Assistant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Mme LY Rokiatou TRAORE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Chargé de programme</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06/12/2017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ONUSIDA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iCs/>
                <w:sz w:val="20"/>
                <w:szCs w:val="20"/>
              </w:rPr>
              <w:t>Félicité NSABIMANA NDIMIRA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Représentante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bCs/>
                <w:iCs/>
                <w:sz w:val="20"/>
                <w:szCs w:val="20"/>
              </w:rPr>
            </w:pPr>
            <w:r w:rsidRPr="0054026A">
              <w:rPr>
                <w:rFonts w:ascii="Times New Roman" w:hAnsi="Times New Roman"/>
                <w:sz w:val="20"/>
                <w:szCs w:val="20"/>
              </w:rPr>
              <w:t>Bassirou DIALLO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Suivi - évaluation</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06/12/2017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ONUFEMMES</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bCs/>
                <w:iCs/>
                <w:sz w:val="20"/>
                <w:szCs w:val="20"/>
              </w:rPr>
            </w:pPr>
            <w:r w:rsidRPr="0054026A">
              <w:rPr>
                <w:rFonts w:ascii="Times New Roman" w:hAnsi="Times New Roman"/>
                <w:bCs/>
                <w:iCs/>
                <w:sz w:val="20"/>
                <w:szCs w:val="20"/>
              </w:rPr>
              <w:t>Maxime HOUINATO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Représentant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bCs/>
                <w:iCs/>
                <w:sz w:val="20"/>
                <w:szCs w:val="20"/>
              </w:rPr>
            </w:pPr>
            <w:r w:rsidRPr="0054026A">
              <w:rPr>
                <w:rFonts w:ascii="Times New Roman" w:hAnsi="Times New Roman"/>
                <w:bCs/>
                <w:iCs/>
                <w:sz w:val="20"/>
                <w:szCs w:val="20"/>
              </w:rPr>
              <w:t>Adama DIALLO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suivi - évaluation</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07/12/2017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Division Stabilisation et relèvement /MINUSMA</w:t>
            </w:r>
          </w:p>
        </w:tc>
        <w:tc>
          <w:tcPr>
            <w:tcW w:w="4252"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Loubna BENHAYOUNE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Directrice de la section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Moïse KODIO</w:t>
            </w:r>
          </w:p>
          <w:p w:rsidR="0054026A" w:rsidRPr="0054026A" w:rsidRDefault="0054026A" w:rsidP="005B22B2">
            <w:pPr>
              <w:pStyle w:val="Paragraphedeliste"/>
              <w:spacing w:after="0" w:line="240" w:lineRule="auto"/>
              <w:ind w:left="0"/>
              <w:jc w:val="center"/>
              <w:rPr>
                <w:rFonts w:ascii="Times New Roman" w:hAnsi="Times New Roman"/>
                <w:sz w:val="20"/>
                <w:szCs w:val="20"/>
              </w:rPr>
            </w:pP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Chargé de Suivi – évaluation de la section</w:t>
            </w:r>
          </w:p>
          <w:p w:rsidR="0054026A" w:rsidRPr="0054026A" w:rsidRDefault="0054026A" w:rsidP="005B22B2">
            <w:pPr>
              <w:spacing w:after="0" w:line="240" w:lineRule="auto"/>
              <w:jc w:val="center"/>
              <w:rPr>
                <w:rFonts w:ascii="Times New Roman" w:hAnsi="Times New Roman"/>
                <w:sz w:val="20"/>
                <w:szCs w:val="20"/>
              </w:rPr>
            </w:pP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07/12/2017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Division affaires politiques /MINUSMA</w:t>
            </w:r>
          </w:p>
        </w:tc>
        <w:tc>
          <w:tcPr>
            <w:tcW w:w="4252"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Alexandre</w:t>
            </w: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Chef de division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lang w:val="en-US"/>
              </w:rPr>
            </w:pPr>
            <w:r w:rsidRPr="0054026A">
              <w:rPr>
                <w:rFonts w:ascii="Times New Roman" w:hAnsi="Times New Roman"/>
                <w:bCs/>
                <w:sz w:val="20"/>
                <w:szCs w:val="20"/>
                <w:lang w:val="en-US"/>
              </w:rPr>
              <w:t>Babacar Thiam</w:t>
            </w:r>
          </w:p>
          <w:p w:rsidR="0054026A" w:rsidRPr="0054026A" w:rsidRDefault="0054026A" w:rsidP="005B22B2">
            <w:pPr>
              <w:spacing w:after="0" w:line="240" w:lineRule="auto"/>
              <w:jc w:val="center"/>
              <w:rPr>
                <w:rFonts w:ascii="Times New Roman" w:hAnsi="Times New Roman"/>
                <w:bCs/>
                <w:sz w:val="20"/>
                <w:szCs w:val="20"/>
                <w:lang w:val="en-US"/>
              </w:rPr>
            </w:pPr>
          </w:p>
          <w:p w:rsidR="0054026A" w:rsidRPr="0054026A" w:rsidRDefault="0054026A" w:rsidP="005B22B2">
            <w:pPr>
              <w:spacing w:after="0" w:line="240" w:lineRule="auto"/>
              <w:jc w:val="center"/>
              <w:rPr>
                <w:rFonts w:ascii="Times New Roman" w:hAnsi="Times New Roman"/>
                <w:bCs/>
                <w:sz w:val="20"/>
                <w:szCs w:val="20"/>
                <w:lang w:val="en-US"/>
              </w:rPr>
            </w:pPr>
            <w:r w:rsidRPr="0054026A">
              <w:rPr>
                <w:rFonts w:ascii="Times New Roman" w:hAnsi="Times New Roman"/>
                <w:bCs/>
                <w:sz w:val="20"/>
                <w:szCs w:val="20"/>
                <w:lang w:val="en-US"/>
              </w:rPr>
              <w:t>Souleymane BEYE</w:t>
            </w:r>
          </w:p>
          <w:p w:rsidR="0054026A" w:rsidRPr="0054026A" w:rsidRDefault="0054026A" w:rsidP="005B22B2">
            <w:pPr>
              <w:pStyle w:val="Paragraphedeliste"/>
              <w:spacing w:after="0" w:line="240" w:lineRule="auto"/>
              <w:ind w:left="0"/>
              <w:jc w:val="center"/>
              <w:rPr>
                <w:rFonts w:ascii="Times New Roman" w:hAnsi="Times New Roman"/>
                <w:sz w:val="20"/>
                <w:szCs w:val="20"/>
              </w:rPr>
            </w:pP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Chef de division Adjoint</w:t>
            </w:r>
          </w:p>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Chargé des affaires politiques</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07/12/2017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Division stabilisation et relèvement /MINUSMA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lang w:val="en-US"/>
              </w:rPr>
            </w:pPr>
            <w:r w:rsidRPr="0054026A">
              <w:rPr>
                <w:rFonts w:ascii="Times New Roman" w:hAnsi="Times New Roman"/>
                <w:bCs/>
                <w:sz w:val="20"/>
                <w:szCs w:val="20"/>
                <w:lang w:val="en-US"/>
              </w:rPr>
              <w:t>Samba TALL</w:t>
            </w: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Chef de division</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07/12/2017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Division Aff électorales /MINUSMA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Frantz Mesidor</w:t>
            </w:r>
          </w:p>
          <w:p w:rsidR="0054026A" w:rsidRPr="0054026A" w:rsidRDefault="0054026A" w:rsidP="005B22B2">
            <w:pPr>
              <w:spacing w:after="0" w:line="240" w:lineRule="auto"/>
              <w:jc w:val="center"/>
              <w:rPr>
                <w:rFonts w:ascii="Times New Roman" w:hAnsi="Times New Roman"/>
                <w:sz w:val="20"/>
                <w:szCs w:val="20"/>
              </w:rPr>
            </w:pPr>
          </w:p>
          <w:p w:rsidR="0054026A" w:rsidRPr="0054026A" w:rsidRDefault="0054026A" w:rsidP="005B22B2">
            <w:pPr>
              <w:spacing w:after="0" w:line="240" w:lineRule="auto"/>
              <w:jc w:val="center"/>
              <w:rPr>
                <w:rFonts w:ascii="Times New Roman" w:hAnsi="Times New Roman"/>
                <w:bCs/>
                <w:sz w:val="20"/>
                <w:szCs w:val="20"/>
                <w:lang w:val="en-US"/>
              </w:rPr>
            </w:pPr>
            <w:r w:rsidRPr="0054026A">
              <w:rPr>
                <w:rFonts w:ascii="Times New Roman" w:hAnsi="Times New Roman"/>
                <w:sz w:val="20"/>
                <w:szCs w:val="20"/>
              </w:rPr>
              <w:t>Mamadou Yaya</w:t>
            </w: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Chef de division</w:t>
            </w:r>
          </w:p>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Assistant</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07/12/2017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Division Aff. juridiques et pénitentiaires /MINUSMA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Frantz Mesidor</w:t>
            </w:r>
          </w:p>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Anna GAY</w:t>
            </w:r>
          </w:p>
          <w:p w:rsidR="0054026A" w:rsidRPr="0054026A" w:rsidRDefault="0054026A" w:rsidP="005B22B2">
            <w:pPr>
              <w:spacing w:after="0" w:line="240" w:lineRule="auto"/>
              <w:jc w:val="center"/>
              <w:rPr>
                <w:rFonts w:ascii="Times New Roman" w:hAnsi="Times New Roman"/>
                <w:sz w:val="20"/>
                <w:szCs w:val="20"/>
              </w:rPr>
            </w:pPr>
          </w:p>
          <w:p w:rsidR="0054026A" w:rsidRPr="0054026A" w:rsidRDefault="0054026A" w:rsidP="005B22B2">
            <w:pPr>
              <w:spacing w:after="0" w:line="240" w:lineRule="auto"/>
              <w:jc w:val="center"/>
              <w:rPr>
                <w:rFonts w:ascii="Times New Roman" w:hAnsi="Times New Roman"/>
                <w:bCs/>
                <w:sz w:val="20"/>
                <w:szCs w:val="20"/>
                <w:lang w:val="en-US"/>
              </w:rPr>
            </w:pPr>
            <w:r w:rsidRPr="0054026A">
              <w:rPr>
                <w:rFonts w:ascii="Times New Roman" w:hAnsi="Times New Roman"/>
                <w:sz w:val="20"/>
                <w:szCs w:val="20"/>
              </w:rPr>
              <w:t>Guillaume NGEFA ANDALI</w:t>
            </w: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Chef de division</w:t>
            </w:r>
          </w:p>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Assistant</w:t>
            </w:r>
          </w:p>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Directeur de division</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07/12/2017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Division SPU /MINUSMA</w:t>
            </w:r>
          </w:p>
        </w:tc>
        <w:tc>
          <w:tcPr>
            <w:tcW w:w="4252"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Anne Czichos,</w:t>
            </w:r>
          </w:p>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Sophie</w:t>
            </w:r>
          </w:p>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Etienne Tremblaye</w:t>
            </w: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Chef de division</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07/12/2017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Coordination Résidente</w:t>
            </w:r>
          </w:p>
        </w:tc>
        <w:tc>
          <w:tcPr>
            <w:tcW w:w="4252"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M’BARANGA GASARABWE</w:t>
            </w: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Coordinatrice Résidente</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11/12/2017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Ministère de la Solidarité</w:t>
            </w:r>
          </w:p>
        </w:tc>
        <w:tc>
          <w:tcPr>
            <w:tcW w:w="4252"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lang w:val="en-US"/>
              </w:rPr>
            </w:pPr>
            <w:r w:rsidRPr="0054026A">
              <w:rPr>
                <w:rFonts w:ascii="Times New Roman" w:hAnsi="Times New Roman"/>
                <w:sz w:val="20"/>
                <w:szCs w:val="20"/>
                <w:lang w:val="en-US"/>
              </w:rPr>
              <w:t>Dr Halidou SIDIBE</w:t>
            </w:r>
          </w:p>
          <w:p w:rsidR="0054026A" w:rsidRPr="0054026A" w:rsidRDefault="0054026A" w:rsidP="005B22B2">
            <w:pPr>
              <w:pStyle w:val="Paragraphedeliste"/>
              <w:spacing w:after="0" w:line="240" w:lineRule="auto"/>
              <w:ind w:left="0"/>
              <w:jc w:val="center"/>
              <w:rPr>
                <w:rFonts w:ascii="Times New Roman" w:hAnsi="Times New Roman"/>
                <w:sz w:val="20"/>
                <w:szCs w:val="20"/>
                <w:lang w:val="en-US"/>
              </w:rPr>
            </w:pPr>
            <w:r w:rsidRPr="0054026A">
              <w:rPr>
                <w:rFonts w:ascii="Times New Roman" w:hAnsi="Times New Roman"/>
                <w:sz w:val="20"/>
                <w:szCs w:val="20"/>
                <w:lang w:val="en-US"/>
              </w:rPr>
              <w:t>Samba BABY,</w:t>
            </w:r>
          </w:p>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Abdoulaye Ibrahima MAIGA</w:t>
            </w: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Conseiller Technique</w:t>
            </w:r>
          </w:p>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Le SG du Ministère</w:t>
            </w:r>
          </w:p>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11/12/2017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Ministère de la sécurité</w:t>
            </w:r>
          </w:p>
        </w:tc>
        <w:tc>
          <w:tcPr>
            <w:tcW w:w="4252"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Colonel Ismael DEH</w:t>
            </w:r>
          </w:p>
        </w:tc>
        <w:tc>
          <w:tcPr>
            <w:tcW w:w="3499" w:type="dxa"/>
            <w:shd w:val="clear" w:color="auto" w:fill="FFFFFF"/>
            <w:vAlign w:val="center"/>
          </w:tcPr>
          <w:p w:rsidR="0054026A" w:rsidRPr="0054026A" w:rsidRDefault="0054026A" w:rsidP="005B22B2">
            <w:pPr>
              <w:pStyle w:val="Paragraphedeliste"/>
              <w:spacing w:after="0" w:line="240" w:lineRule="auto"/>
              <w:ind w:left="0"/>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11/12/2017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Ministère de  l’administration territoriale</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Brahima COULIBALY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Kissima TANDJIGORA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DGA</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Dramane COULIBALY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DFM</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Mohamed A 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DGAT/SD</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11/12/2017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Ministère de l’environnement</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Boubacar S BERTHE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Suivi – évaluation ABFN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Fakourou KEITA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Boureima CAMARA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DG AEDD</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Adikassim TOURE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IEA</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Moussa CISSOKO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DG CBS</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Charles SANOGO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DFM Adjoint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Mamadou S KONE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Coord ERSAP</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Mme NIAFO Niafatouma ASCOFARE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DNA/DNACPN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Dr Seydou KEITA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Mme GOLOGO Aminata DIARRA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Chef de Cabinet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Birama CISSOKO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Mme MAIGA Souhayata HAIDARA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Baïkoro FOFANA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11/12/2017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FMI</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Abdoulaye TALL</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Représentant résident</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12/12/2017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UNMAS</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Dominique BOUTNAUD</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Programme Manager</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12/12/2017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Division médiation / MINUSMA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Souleymane BEYE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Chargé des affaires politiques</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12/12/2017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Division Gender-Protection / MINUSMA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Bernadette SENE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Conseillère principale</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12/12/2017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UNV/MINUSMA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Pauline DENEUFBOURG,</w:t>
            </w:r>
          </w:p>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Machael ZONGO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de programme</w:t>
            </w:r>
          </w:p>
          <w:p w:rsidR="0054026A" w:rsidRPr="0054026A" w:rsidRDefault="0054026A" w:rsidP="005B22B2">
            <w:pPr>
              <w:spacing w:after="0" w:line="240" w:lineRule="auto"/>
              <w:jc w:val="center"/>
              <w:rPr>
                <w:rFonts w:ascii="Times New Roman" w:hAnsi="Times New Roman"/>
                <w:sz w:val="20"/>
                <w:szCs w:val="20"/>
              </w:rPr>
            </w:pPr>
          </w:p>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Assistant Programme</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13/12/2017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Banque Mondiale</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Olivier BEGUY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Economiste Principal</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Boubacar WALBANI</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Chargé Principal des opérations</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13/12/2017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BAD</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Alain Pierre Mbonampeka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Chargé de programme pays en chef</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14/12/2017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OIM</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David COOMBER</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Coordonnateur de programmes</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Bakary DOUMBIA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Chef de mission</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15/12/2017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UNFPA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lang w:val="en-US"/>
              </w:rPr>
            </w:pPr>
            <w:r w:rsidRPr="0054026A">
              <w:rPr>
                <w:rFonts w:ascii="Times New Roman" w:hAnsi="Times New Roman"/>
                <w:sz w:val="20"/>
                <w:szCs w:val="20"/>
                <w:lang w:val="en-US"/>
              </w:rPr>
              <w:t>Raymond DEMBELE</w:t>
            </w:r>
          </w:p>
          <w:p w:rsidR="0054026A" w:rsidRPr="0054026A" w:rsidRDefault="0054026A" w:rsidP="005B22B2">
            <w:pPr>
              <w:spacing w:after="0" w:line="240" w:lineRule="auto"/>
              <w:jc w:val="center"/>
              <w:rPr>
                <w:rFonts w:ascii="Times New Roman" w:hAnsi="Times New Roman"/>
                <w:sz w:val="20"/>
                <w:szCs w:val="20"/>
                <w:lang w:val="en-US"/>
              </w:rPr>
            </w:pPr>
            <w:r w:rsidRPr="0054026A">
              <w:rPr>
                <w:rFonts w:ascii="Times New Roman" w:hAnsi="Times New Roman"/>
                <w:sz w:val="20"/>
                <w:szCs w:val="20"/>
                <w:lang w:val="en-US"/>
              </w:rPr>
              <w:t>Josiane CD Yaguibo,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Point focal</w:t>
            </w:r>
          </w:p>
          <w:p w:rsidR="0054026A" w:rsidRPr="0054026A" w:rsidRDefault="0054026A" w:rsidP="005B22B2">
            <w:pPr>
              <w:spacing w:after="0" w:line="240" w:lineRule="auto"/>
              <w:jc w:val="center"/>
              <w:rPr>
                <w:rFonts w:ascii="Times New Roman" w:hAnsi="Times New Roman"/>
                <w:sz w:val="20"/>
                <w:szCs w:val="20"/>
              </w:rPr>
            </w:pPr>
          </w:p>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La Représentante</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18/12/2017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OCHA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David THIBONGA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coordination</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18/12/2017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OHCHR /MINUSMA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Guillaume NGEFA  - A. ANDALI</w:t>
            </w:r>
          </w:p>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Ismael SOULEYMANE</w:t>
            </w:r>
          </w:p>
          <w:p w:rsidR="0054026A" w:rsidRPr="0054026A" w:rsidRDefault="0054026A" w:rsidP="005B22B2">
            <w:pPr>
              <w:spacing w:after="0" w:line="240" w:lineRule="auto"/>
              <w:jc w:val="center"/>
              <w:rPr>
                <w:rFonts w:ascii="Times New Roman" w:hAnsi="Times New Roman"/>
                <w:sz w:val="20"/>
                <w:szCs w:val="20"/>
              </w:rPr>
            </w:pP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 Directeur Division droits de l’homme et protection</w:t>
            </w:r>
          </w:p>
          <w:p w:rsidR="0054026A" w:rsidRPr="0054026A" w:rsidRDefault="0054026A" w:rsidP="005B22B2">
            <w:pPr>
              <w:spacing w:after="0" w:line="240" w:lineRule="auto"/>
              <w:jc w:val="center"/>
              <w:rPr>
                <w:rFonts w:ascii="Times New Roman" w:hAnsi="Times New Roman"/>
                <w:sz w:val="20"/>
                <w:szCs w:val="20"/>
              </w:rPr>
            </w:pPr>
          </w:p>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Assistant</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18/12/2017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Ministère de l’éducation</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Ismaela BERTHE</w:t>
            </w:r>
          </w:p>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Tidiani NIAMBELE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Directeur CPS Ministère de l’Education</w:t>
            </w:r>
          </w:p>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18/12/2017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RCO</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Francis NEGUE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suivi-évaluation</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18/12/2017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IPE</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Aicha Yehya</w:t>
            </w:r>
          </w:p>
          <w:p w:rsidR="0054026A" w:rsidRPr="0054026A" w:rsidRDefault="0054026A" w:rsidP="005B22B2">
            <w:pPr>
              <w:spacing w:after="0" w:line="240" w:lineRule="auto"/>
              <w:jc w:val="center"/>
              <w:rPr>
                <w:rFonts w:ascii="Times New Roman" w:hAnsi="Times New Roman"/>
                <w:sz w:val="20"/>
                <w:szCs w:val="20"/>
              </w:rPr>
            </w:pP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CTP</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18/12/2017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PNUD</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Baber DICKO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Responsable programme conjoint jeunesse résilience</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18/12/2017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ONUDI</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Haby SOW TRAORE</w:t>
            </w:r>
          </w:p>
          <w:p w:rsidR="0054026A" w:rsidRPr="0054026A" w:rsidRDefault="0054026A" w:rsidP="005B22B2">
            <w:pPr>
              <w:spacing w:after="0" w:line="240" w:lineRule="auto"/>
              <w:jc w:val="center"/>
              <w:rPr>
                <w:rFonts w:ascii="Times New Roman" w:hAnsi="Times New Roman"/>
                <w:sz w:val="20"/>
                <w:szCs w:val="20"/>
              </w:rPr>
            </w:pP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Représentante</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18/12/2017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UE</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Géza STRAMMER</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Chef de Coopération</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19/12/2017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Bureau du Médiateur</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Mahamadou SISSOKO</w:t>
            </w:r>
          </w:p>
          <w:p w:rsidR="0054026A" w:rsidRPr="0054026A" w:rsidRDefault="0054026A" w:rsidP="005B22B2">
            <w:pPr>
              <w:spacing w:after="0" w:line="240" w:lineRule="auto"/>
              <w:jc w:val="center"/>
              <w:rPr>
                <w:rFonts w:ascii="Times New Roman" w:hAnsi="Times New Roman"/>
                <w:sz w:val="20"/>
                <w:szCs w:val="20"/>
              </w:rPr>
            </w:pP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Secrétaire Permanent de l’EID</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19/12/2017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Ministère des droits de l’homme et de la reforme de l’Etat</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Abraham BENGALY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SG</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19/12/2017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Ministère de la promotion de la femme, de l’enfant et de famille</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Mohamed ATTAYER</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SG</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Souleymane NIARE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Point focal</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19/12/2017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Ambassade du Canada</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Louis Verret</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Ambassadeur</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Christian Alix</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Directeur A Coopération</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20/12/2017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Ministère de l’économie et des finances</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Mme DICKO Elisabeth DEMBELE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Moriba DOUMBIA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INSAT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Sekou KONE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AEDD</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Mohamed TOURE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MEF</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Antonin Samabaly KEITA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CPS Jeunesse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Bakary TOUNKARA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CNJ</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Souleymane Ya SAMAKE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DNS</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Nouhoum DOUMBIA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DNPIA</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Mme DEMBELE Orokya DEMBELE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DNPF</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Issa P DEMBELE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CNDIFE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Issa KOITA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SHA</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Sidi KEITA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DNACPN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Abdoul W THIAM</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CT RCA</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Boubacar DIARRA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APCMM</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Mohamed AI TOURE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DNPD</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Djibrilla Moussa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CPS SECAEPIP</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Abdoulaye SANOGO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APEX Mali</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Dramane TRAORE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CPS/SEEVDE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Mamadou CISSOKO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ONG AGIR</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Mohamed M COULIBALY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CT/Ministère de l’Agriculture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Diakaridia KAMATE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ODHD</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Maïmouna TRAORE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CSLP</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Halidou SIDIBE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SAH</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Mahamadou Zibo MAIGA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CT/CSLP</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Ahamadou Hama SIDIBE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CT/CSLP</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Diakaridia DEMBELE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CT/MEF</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Boubacar SANOGO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DRH/MERF</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Zakaria DEMBELE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20/12/2017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PNUD</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Aboubacar TOURE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Directeur des Opérations</w:t>
            </w:r>
          </w:p>
        </w:tc>
      </w:tr>
      <w:tr w:rsidR="0054026A" w:rsidRPr="0054026A" w:rsidTr="0054026A">
        <w:tc>
          <w:tcPr>
            <w:tcW w:w="2943"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21/12/2017</w:t>
            </w:r>
          </w:p>
        </w:tc>
        <w:tc>
          <w:tcPr>
            <w:tcW w:w="2552" w:type="dxa"/>
            <w:vMerge w:val="restart"/>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Ministère de l’Industrie</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Mme Ag Erless Oumou COULIBALY</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Mahamadou Moussa MAIGA</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Coordinateur du projet</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Yaya NIAFO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Directeur de l’Agence malienne de normalisation</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Oumar dit Diaouré CISSE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Coordinateur du projet d’évaluation initiale et la convention sur le mercure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Youssouf CISSE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Conseiller technique</w:t>
            </w:r>
          </w:p>
        </w:tc>
      </w:tr>
      <w:tr w:rsidR="0054026A" w:rsidRPr="0054026A" w:rsidTr="0054026A">
        <w:tc>
          <w:tcPr>
            <w:tcW w:w="2943" w:type="dxa"/>
            <w:vMerge/>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p>
        </w:tc>
        <w:tc>
          <w:tcPr>
            <w:tcW w:w="2552" w:type="dxa"/>
            <w:vMerge/>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Balla CISSOKO</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DNACPN</w:t>
            </w:r>
          </w:p>
        </w:tc>
      </w:tr>
      <w:tr w:rsidR="0054026A" w:rsidRPr="0054026A" w:rsidTr="0054026A">
        <w:tc>
          <w:tcPr>
            <w:tcW w:w="2943" w:type="dxa"/>
            <w:shd w:val="clear" w:color="auto" w:fill="FFFFFF"/>
            <w:vAlign w:val="center"/>
          </w:tcPr>
          <w:p w:rsidR="0054026A" w:rsidRPr="0054026A" w:rsidRDefault="0054026A" w:rsidP="005B22B2">
            <w:pPr>
              <w:spacing w:after="0" w:line="240" w:lineRule="auto"/>
              <w:jc w:val="center"/>
              <w:rPr>
                <w:rFonts w:ascii="Times New Roman" w:hAnsi="Times New Roman"/>
                <w:bCs/>
                <w:sz w:val="20"/>
                <w:szCs w:val="20"/>
              </w:rPr>
            </w:pPr>
            <w:r w:rsidRPr="0054026A">
              <w:rPr>
                <w:rFonts w:ascii="Times New Roman" w:hAnsi="Times New Roman"/>
                <w:bCs/>
                <w:sz w:val="20"/>
                <w:szCs w:val="20"/>
              </w:rPr>
              <w:t>29/12/2017</w:t>
            </w:r>
          </w:p>
        </w:tc>
        <w:tc>
          <w:tcPr>
            <w:tcW w:w="25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Ambassade de France</w:t>
            </w:r>
          </w:p>
        </w:tc>
        <w:tc>
          <w:tcPr>
            <w:tcW w:w="4252"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Philippe Lafosse</w:t>
            </w:r>
          </w:p>
        </w:tc>
        <w:tc>
          <w:tcPr>
            <w:tcW w:w="3499" w:type="dxa"/>
            <w:shd w:val="clear" w:color="auto" w:fill="FFFFFF"/>
            <w:vAlign w:val="center"/>
          </w:tcPr>
          <w:p w:rsidR="0054026A" w:rsidRPr="0054026A" w:rsidRDefault="0054026A" w:rsidP="005B22B2">
            <w:pPr>
              <w:spacing w:after="0" w:line="240" w:lineRule="auto"/>
              <w:jc w:val="center"/>
              <w:rPr>
                <w:rFonts w:ascii="Times New Roman" w:hAnsi="Times New Roman"/>
                <w:sz w:val="20"/>
                <w:szCs w:val="20"/>
              </w:rPr>
            </w:pPr>
            <w:r w:rsidRPr="0054026A">
              <w:rPr>
                <w:rFonts w:ascii="Times New Roman" w:hAnsi="Times New Roman"/>
                <w:sz w:val="20"/>
                <w:szCs w:val="20"/>
              </w:rPr>
              <w:t>Attaché de coopération</w:t>
            </w:r>
          </w:p>
        </w:tc>
      </w:tr>
    </w:tbl>
    <w:p w:rsidR="009151B5" w:rsidRPr="00C75122" w:rsidRDefault="009151B5" w:rsidP="005B22B2">
      <w:pPr>
        <w:spacing w:after="0" w:line="240" w:lineRule="auto"/>
        <w:rPr>
          <w:rFonts w:ascii="Times New Roman" w:hAnsi="Times New Roman"/>
          <w:sz w:val="24"/>
          <w:szCs w:val="24"/>
        </w:rPr>
      </w:pPr>
    </w:p>
    <w:p w:rsidR="00596DD8" w:rsidRDefault="00596DD8" w:rsidP="005B22B2">
      <w:pPr>
        <w:pStyle w:val="Titre2"/>
        <w:spacing w:before="0"/>
        <w:rPr>
          <w:rFonts w:ascii="Times New Roman" w:hAnsi="Times New Roman"/>
          <w:color w:val="auto"/>
          <w:sz w:val="24"/>
          <w:szCs w:val="24"/>
        </w:rPr>
      </w:pPr>
    </w:p>
    <w:p w:rsidR="009151B5" w:rsidRPr="009151B5" w:rsidRDefault="009151B5" w:rsidP="005B22B2">
      <w:pPr>
        <w:spacing w:after="0" w:line="240" w:lineRule="auto"/>
        <w:sectPr w:rsidR="009151B5" w:rsidRPr="009151B5" w:rsidSect="00596DD8">
          <w:footnotePr>
            <w:numRestart w:val="eachPage"/>
          </w:footnotePr>
          <w:pgSz w:w="16838" w:h="11906" w:orient="landscape"/>
          <w:pgMar w:top="1418" w:right="1418" w:bottom="1418" w:left="1418" w:header="709" w:footer="709" w:gutter="0"/>
          <w:cols w:space="708"/>
          <w:docGrid w:linePitch="360"/>
        </w:sectPr>
      </w:pPr>
    </w:p>
    <w:p w:rsidR="00BA3DC6" w:rsidRPr="006B309F" w:rsidRDefault="00BA3DC6" w:rsidP="0089432A">
      <w:pPr>
        <w:pStyle w:val="Titre2"/>
        <w:numPr>
          <w:ilvl w:val="0"/>
          <w:numId w:val="19"/>
        </w:numPr>
        <w:spacing w:before="0"/>
        <w:rPr>
          <w:rFonts w:ascii="Times New Roman" w:hAnsi="Times New Roman"/>
          <w:color w:val="auto"/>
          <w:sz w:val="24"/>
          <w:szCs w:val="24"/>
        </w:rPr>
      </w:pPr>
      <w:bookmarkStart w:id="84" w:name="_Toc499211637"/>
      <w:bookmarkStart w:id="85" w:name="_Toc500974582"/>
      <w:bookmarkStart w:id="86" w:name="_Toc502863925"/>
      <w:bookmarkStart w:id="87" w:name="_Toc505757923"/>
      <w:bookmarkStart w:id="88" w:name="_Toc506220150"/>
      <w:r w:rsidRPr="006B309F">
        <w:rPr>
          <w:rFonts w:ascii="Times New Roman" w:hAnsi="Times New Roman"/>
          <w:color w:val="auto"/>
          <w:sz w:val="24"/>
          <w:szCs w:val="24"/>
        </w:rPr>
        <w:t>Termes de référence de la mission</w:t>
      </w:r>
      <w:bookmarkEnd w:id="84"/>
      <w:bookmarkEnd w:id="85"/>
      <w:bookmarkEnd w:id="86"/>
      <w:bookmarkEnd w:id="87"/>
      <w:bookmarkEnd w:id="88"/>
    </w:p>
    <w:p w:rsidR="00BA3DC6" w:rsidRPr="006B309F" w:rsidRDefault="00BA3DC6" w:rsidP="005B22B2">
      <w:pPr>
        <w:pStyle w:val="Corpsdetexte"/>
        <w:rPr>
          <w:b/>
          <w:sz w:val="20"/>
          <w:szCs w:val="20"/>
        </w:rPr>
      </w:pP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9220"/>
      </w:tblGrid>
      <w:tr w:rsidR="00083CF9" w:rsidRPr="00083CF9" w:rsidTr="00C3686C">
        <w:trPr>
          <w:tblCellSpacing w:w="30" w:type="dxa"/>
        </w:trPr>
        <w:tc>
          <w:tcPr>
            <w:tcW w:w="0" w:type="auto"/>
            <w:vAlign w:val="center"/>
            <w:hideMark/>
          </w:tcPr>
          <w:p w:rsidR="00083CF9" w:rsidRPr="00083CF9" w:rsidRDefault="00083CF9" w:rsidP="005B22B2">
            <w:pPr>
              <w:spacing w:after="0" w:line="240" w:lineRule="auto"/>
              <w:outlineLvl w:val="4"/>
              <w:rPr>
                <w:rFonts w:ascii="Times New Roman" w:eastAsia="Times New Roman" w:hAnsi="Times New Roman"/>
                <w:b/>
                <w:bCs/>
                <w:sz w:val="20"/>
                <w:szCs w:val="20"/>
                <w:lang w:eastAsia="fr-FR"/>
              </w:rPr>
            </w:pPr>
            <w:r w:rsidRPr="00083CF9">
              <w:rPr>
                <w:rFonts w:ascii="Times New Roman" w:eastAsia="Times New Roman" w:hAnsi="Times New Roman"/>
                <w:b/>
                <w:bCs/>
                <w:sz w:val="20"/>
                <w:szCs w:val="20"/>
                <w:lang w:eastAsia="fr-FR"/>
              </w:rPr>
              <w:t>Historique</w:t>
            </w:r>
          </w:p>
          <w:p w:rsidR="00083CF9" w:rsidRPr="00083CF9" w:rsidRDefault="00083CF9" w:rsidP="005B22B2">
            <w:pPr>
              <w:spacing w:after="0" w:line="240" w:lineRule="auto"/>
              <w:rPr>
                <w:rFonts w:ascii="Times New Roman" w:eastAsia="Times New Roman" w:hAnsi="Times New Roman"/>
                <w:sz w:val="24"/>
                <w:szCs w:val="24"/>
                <w:lang w:eastAsia="fr-FR"/>
              </w:rPr>
            </w:pPr>
          </w:p>
        </w:tc>
      </w:tr>
      <w:tr w:rsidR="00083CF9" w:rsidRPr="00083CF9" w:rsidTr="00C3686C">
        <w:trPr>
          <w:tblCellSpacing w:w="30" w:type="dxa"/>
        </w:trPr>
        <w:tc>
          <w:tcPr>
            <w:tcW w:w="0" w:type="auto"/>
            <w:vAlign w:val="center"/>
            <w:hideMark/>
          </w:tcPr>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 gouvernement de la République du Mali et l’Equipe de pays du Système des Nations Unies (SNU) ont signé le 17 septembre 2015 un nouveau Plan Cadre d’Assistance au Développement (UNDAF+) pour la période 2015-2019 qui constitue le cadre programmatique et de planification de référence des activités de développement des Nations Unies au Mali.</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Comme réponse collective et intégrée des Agences, Fonds et Programmes des Nations Unies et de la MINUSMA , l’UNDAF+ élaboré de façon participative est aligné sur les priorités nationales du Mali déclinées dans le Cadre Stratégique pour la Croissance et la Réduction de la Pauvreté (CSCRP2012-2017) et le Plan d’Action Gouvernementale (PAG) 2013-2018. Il adresse lesdites priorités sous quatre axes principaux : i) le renforcement de la sécurité, de la paix et de la réconciliation nationale ; ii) la promotion de la bonne gouvernance ; iii) l’accès aux services sociaux de base de qualité ; et iv) la croissance inclusive et le développement durable. Il vise la réalisation de cinq résultats stratégiques/effets d’ici 2019. L’UNDAF+ prend également en compte trois (03) domaines transversaux que sont le genre, les droits de l’Homme et la lutte contre le VIH-Sida.</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L’année 2017 marque la 3ème année de mise en œuvre de l’UNDAF+ et constitue l’étape de mi-parcours sur un cycle de 5 ans. Conformément au plan de suivi-évaluation, l’UNDAF+ devra faire l’objet d’une évaluation à mi-parcours permettant d’établir la situation des progrès réalisés, de tirer les enseignements et de réajuster au besoin les orientations stratégiques, opérationnelles et de suivi-évaluation à la lumière des évolutions politiques, institutionnelles, sociales, économiques survenues dans le pays et au niveau mondial depuis son adoption en 2015.</w:t>
            </w:r>
            <w:r w:rsidRPr="00083CF9">
              <w:rPr>
                <w:rFonts w:ascii="Times New Roman" w:eastAsia="Times New Roman" w:hAnsi="Times New Roman"/>
                <w:sz w:val="24"/>
                <w:szCs w:val="24"/>
                <w:lang w:eastAsia="fr-FR"/>
              </w:rPr>
              <w:br/>
              <w:t>En effet, depuis la formulation de l’UNDAF+, le contexte du Mali a constamment évolué aussi bien sur le plan sécuritaire et politique avec la signature et la mise en œuvre de l’Accord pour la Paix et la Réconciliation nationale issu du processus d’Alger, qu’au niveau économique, social et environnemental. Le Mali s’est doté, entretemps, d’un nouveau Cadre stratégique pour la Relance Economique et le Développement Durable (CREDD) 2016-2018 (en remplacement du CSRP 2012-2017) qui est actuellement la cadre unique de référence des politiques de développement du pays. Une stratégie de développement des régions du Nord a été aussi élaborée et une conférence d’entente nationale tenue avec des recommandations qui recadrent certaines priorités stratégiques nationales. Deux conférences des donateurs, notamment de Bruxelles et de Paris ont été organisées et de nouveaux engagements en sont issus. En matière de gouvernance, des élections communales ont été tenues dans la plupart des localités sur le territoire national ; des avancées sont relevées dans la gouvernance institutionnelle et la mise en œuvre de l’accord pour la paix avec la mise en place des autorités intérimaires.  </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A ce contexte national, s’ajoutent l’adoption de l’Agenda 2030 qui détermine l’engagement des pays pour les quinze prochaines années et l’agenda 2063 de l’Union Africaine. On relève également les implications de l’Accord de Paris sur le Climat, en particulier les engagements du Mali au titre de sa Contribution déterminée au niveau national de réduction des émissions de gaz à effet de serre.</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Aussi, des évolutions sont-elles enregistrées s’agissant du mandat de la MINUSMA. La réflexion est engagée sur la stratégie de sortie de la MINUSMA et sur le rôle des agences, fonds et programmes du SNU avec une plus grande responsabilité dans la réalisation des dividendes de la paix. Des changements sont également apparus au sein des Nations Unies avec l’arrivée d’un nouveau Secrétaire général et la dynamique en cours sur les réformes nécessaires notamment en ce qui concerne les opérations de maintien de la paix, et sur la nouvelle approche de travail (New Way of Working) entre les différents acteurs pour une meilleure prise en compte du nexus Humanitaire-Développement et Paix. De même, le Système des Nations Unies pour le développement est sujet à de profondes réformes en vue avec l’adoption des conclusions et recommandations du QCPR 2017-2020. La question du lien entre paix, développement et humanitaire est plus que jamais d’actualité et le Système des Nations Unies présent dans les pays en crise comme le Mali devra intégrer dans la coordination et la manière de travailler au niveau pays les nouvelles donnes résultant de la nécessaire cohérence et convergence entre humanitaire et développement.</w:t>
            </w:r>
            <w:r w:rsidRPr="00083CF9">
              <w:rPr>
                <w:rFonts w:ascii="Times New Roman" w:eastAsia="Times New Roman" w:hAnsi="Times New Roman"/>
                <w:sz w:val="24"/>
                <w:szCs w:val="24"/>
                <w:lang w:eastAsia="fr-FR"/>
              </w:rPr>
              <w:br/>
              <w:t>L’environnement mondial est aussi marqué par la compétition plus difficile d’accès aux ressources.    </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L’opérationnalisation de l’UNDAF+ durant cette première phase 2015-2017 s’est faite conformément aux instructions standards de l’UNDG à l’intention des pays qui adoptent l’initiative « Unis dans l’action » et a montré une réelle appropriation de la partie nationale et une coopération étroite entre le gouvernement du Mali et le SNU. Les processus de planification et de production des rapports axés sur les résultats conjoints ont été conduits sous le co-leadership du gouvernement et des Nations Unies. Ces processus ont également traduit l’intégration entre la MINUSMA et les Agences, Fonds et Programmes tant au plan stratégique, programmatique et opérationnel.</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C’est dans ce contexte que, le gouvernement du Mali et les Nations Unies ont convenu de conduire une évaluation à mi-parcours afin de s’assurer d’une performance optimale dans la réalisation des résultats stratégiques visés à l’horizon 2019. Les présents Termes de Référence sont destinés à recourir aux services d’une équipe de consultants, un (1) international, Chef de mission et deux (2) consultants nationaux ayant des profils alignés l’un sur les axes paix et sécurité et gouvernance et le second sur les services sociaux de base et la croissance inclusive pour conduire cette évaluation.</w:t>
            </w:r>
          </w:p>
        </w:tc>
      </w:tr>
      <w:tr w:rsidR="00083CF9" w:rsidRPr="00083CF9" w:rsidTr="00C3686C">
        <w:trPr>
          <w:tblCellSpacing w:w="30" w:type="dxa"/>
        </w:trPr>
        <w:tc>
          <w:tcPr>
            <w:tcW w:w="0" w:type="auto"/>
            <w:vAlign w:val="center"/>
            <w:hideMark/>
          </w:tcPr>
          <w:p w:rsidR="00083CF9" w:rsidRPr="00083CF9" w:rsidRDefault="00083CF9" w:rsidP="005B22B2">
            <w:pPr>
              <w:spacing w:after="0" w:line="240" w:lineRule="auto"/>
              <w:rPr>
                <w:rFonts w:ascii="Times New Roman" w:eastAsia="Times New Roman" w:hAnsi="Times New Roman"/>
                <w:sz w:val="24"/>
                <w:szCs w:val="24"/>
                <w:lang w:eastAsia="fr-FR"/>
              </w:rPr>
            </w:pPr>
          </w:p>
          <w:p w:rsidR="00083CF9" w:rsidRPr="00083CF9" w:rsidRDefault="00083CF9" w:rsidP="005B22B2">
            <w:pPr>
              <w:spacing w:after="0" w:line="240" w:lineRule="auto"/>
              <w:outlineLvl w:val="4"/>
              <w:rPr>
                <w:rFonts w:ascii="Times New Roman" w:eastAsia="Times New Roman" w:hAnsi="Times New Roman"/>
                <w:b/>
                <w:bCs/>
                <w:sz w:val="20"/>
                <w:szCs w:val="20"/>
                <w:lang w:eastAsia="fr-FR"/>
              </w:rPr>
            </w:pPr>
            <w:r w:rsidRPr="00083CF9">
              <w:rPr>
                <w:rFonts w:ascii="Times New Roman" w:eastAsia="Times New Roman" w:hAnsi="Times New Roman"/>
                <w:b/>
                <w:bCs/>
                <w:sz w:val="20"/>
                <w:szCs w:val="20"/>
                <w:lang w:eastAsia="fr-FR"/>
              </w:rPr>
              <w:t>Devoirs et responsabilités</w:t>
            </w:r>
          </w:p>
          <w:p w:rsidR="00083CF9" w:rsidRPr="00083CF9" w:rsidRDefault="00083CF9" w:rsidP="005B22B2">
            <w:pPr>
              <w:spacing w:after="0" w:line="240" w:lineRule="auto"/>
              <w:rPr>
                <w:rFonts w:ascii="Times New Roman" w:eastAsia="Times New Roman" w:hAnsi="Times New Roman"/>
                <w:sz w:val="24"/>
                <w:szCs w:val="24"/>
                <w:lang w:eastAsia="fr-FR"/>
              </w:rPr>
            </w:pPr>
          </w:p>
        </w:tc>
      </w:tr>
      <w:tr w:rsidR="00083CF9" w:rsidRPr="00083CF9" w:rsidTr="00C3686C">
        <w:trPr>
          <w:tblCellSpacing w:w="30" w:type="dxa"/>
        </w:trPr>
        <w:tc>
          <w:tcPr>
            <w:tcW w:w="0" w:type="auto"/>
            <w:vAlign w:val="center"/>
            <w:hideMark/>
          </w:tcPr>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Objectif génerales:</w:t>
            </w:r>
          </w:p>
          <w:p w:rsidR="00083CF9" w:rsidRPr="00083CF9" w:rsidRDefault="00083CF9" w:rsidP="0089432A">
            <w:pPr>
              <w:numPr>
                <w:ilvl w:val="0"/>
                <w:numId w:val="28"/>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L’objectif visé par la présente évaluation à mi-parcours est de dresser un bilan des progrès de la première phase de mise en œuvre du cycle 2015-2019 de l’UNDAF+ pour identifier les forces et les faiblesses, les contraintes, les défis et les opportunités afin de tirer des leçons en vue de réviser en conséquence, si de besoin, l’UNDAF+ pour mieux s’aligner (i) sur les priorités nationales ainsi que définies dans le CREDD 2016-2018, la stratégie de développement du nord, l’accord pour la paix et la réconciliation nationale, et les cibles prioritaires des ODD au Mali ; et (ii) sur le mandat revu de la MINUSMA et le nexus humanitaire et développement. Une attention sera accordée à l’évolution de l’environnement institutionnel et économique et la meilleure prise en compte des approches de portée stratégique telles le genre, les droits humains, la gestion axée sur les résultats, les changements climatiques, le renforcement des capacités.</w:t>
            </w:r>
          </w:p>
          <w:p w:rsidR="00083CF9" w:rsidRPr="00083CF9" w:rsidRDefault="00083CF9" w:rsidP="005B22B2">
            <w:pPr>
              <w:spacing w:after="0" w:line="240" w:lineRule="auto"/>
              <w:jc w:val="both"/>
              <w:rPr>
                <w:rFonts w:ascii="Times New Roman" w:eastAsia="Times New Roman" w:hAnsi="Times New Roman"/>
                <w:b/>
                <w:bCs/>
                <w:sz w:val="24"/>
                <w:szCs w:val="24"/>
                <w:lang w:eastAsia="fr-FR"/>
              </w:rPr>
            </w:pPr>
            <w:r w:rsidRPr="00083CF9">
              <w:rPr>
                <w:rFonts w:ascii="Times New Roman" w:eastAsia="Times New Roman" w:hAnsi="Times New Roman"/>
                <w:b/>
                <w:bCs/>
                <w:sz w:val="24"/>
                <w:szCs w:val="24"/>
                <w:lang w:eastAsia="fr-FR"/>
              </w:rPr>
              <w:t>Objectifs spécifiques:</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Il s’agira plus spécifiquement d’évaluer :</w:t>
            </w:r>
          </w:p>
          <w:p w:rsidR="00083CF9" w:rsidRPr="00083CF9" w:rsidRDefault="00083CF9" w:rsidP="0089432A">
            <w:pPr>
              <w:numPr>
                <w:ilvl w:val="0"/>
                <w:numId w:val="2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 pertinence de l’UNDAF+ par rapport aux priorités nationales du CREDD, aux cibles prioritaires des ODD, à l’Accord pour la paix et la stratégie de développement du nord ;</w:t>
            </w:r>
          </w:p>
          <w:p w:rsidR="00083CF9" w:rsidRPr="00083CF9" w:rsidRDefault="00083CF9" w:rsidP="0089432A">
            <w:pPr>
              <w:numPr>
                <w:ilvl w:val="0"/>
                <w:numId w:val="2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Les progrès réalisés vers l’atteinte des résultats attendus tels qu’énoncés dans la matrice de résultats de l’UNDAF+ (Effets et produits); ressortir les difficultés rencontrées, les facteurs ayant permis ou obéré la réalisation des progrès obtenus,… ;</w:t>
            </w:r>
          </w:p>
          <w:p w:rsidR="00083CF9" w:rsidRPr="00083CF9" w:rsidRDefault="00083CF9" w:rsidP="0089432A">
            <w:pPr>
              <w:numPr>
                <w:ilvl w:val="0"/>
                <w:numId w:val="2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l’efficience dans la mise en œuvre de l’UNDAF+ et notamment le niveau de mobilisation et d’absorption des ressources, les besoins de financement par axe stratégique ; ressortir les contraintes éventuelles à la mobilisation des ressources et mettre en évidence des pistes d’amélioration afférentes au contexte du pays ;</w:t>
            </w:r>
          </w:p>
          <w:p w:rsidR="00083CF9" w:rsidRPr="00083CF9" w:rsidRDefault="00083CF9" w:rsidP="0089432A">
            <w:pPr>
              <w:numPr>
                <w:ilvl w:val="0"/>
                <w:numId w:val="2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 degré d’implication et d’appropriation des partenaires nationaux (gouvernement, société civile, ONGs, secteur privé, collectivités locales), des partenaires techniques et financiers du Mali et des Agences non résidentes dans la mise en œuvre et le suivi de l’UNDAF+;</w:t>
            </w:r>
          </w:p>
          <w:p w:rsidR="00083CF9" w:rsidRPr="00083CF9" w:rsidRDefault="00083CF9" w:rsidP="0089432A">
            <w:pPr>
              <w:numPr>
                <w:ilvl w:val="0"/>
                <w:numId w:val="2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Les changements dans la situation du Mali, identifier les nouveaux problèmes et défis et les thématiques émergentes et indiquer si de besoin comment les prendre en compte sur la dernière phase de l’UNDAF+ ;</w:t>
            </w:r>
          </w:p>
          <w:p w:rsidR="00083CF9" w:rsidRPr="00083CF9" w:rsidRDefault="00083CF9" w:rsidP="0089432A">
            <w:pPr>
              <w:numPr>
                <w:ilvl w:val="0"/>
                <w:numId w:val="2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 qualité et la cohérence de la Matrice des résultats en revisitant les indicateurs pour s’assurer de leur caractère SMART et de la capacité effective de leur renseignement par le système national de statistiques;</w:t>
            </w:r>
          </w:p>
          <w:p w:rsidR="00083CF9" w:rsidRPr="00083CF9" w:rsidRDefault="00083CF9" w:rsidP="0089432A">
            <w:pPr>
              <w:numPr>
                <w:ilvl w:val="0"/>
                <w:numId w:val="2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 durabilité/viabilité des résultats obtenus et leur contribution aux priorités et aux objectifs nationaux de développement, au renforcement des capacités nationales, à la promotion des droits humains, de l’égalité de sexes et du développement durable.</w:t>
            </w:r>
          </w:p>
          <w:p w:rsidR="00083CF9" w:rsidRPr="00083CF9" w:rsidRDefault="00083CF9" w:rsidP="005B22B2">
            <w:pPr>
              <w:spacing w:after="0" w:line="240" w:lineRule="auto"/>
              <w:jc w:val="both"/>
              <w:rPr>
                <w:rFonts w:ascii="Times New Roman" w:eastAsia="Times New Roman" w:hAnsi="Times New Roman"/>
                <w:b/>
                <w:bCs/>
                <w:sz w:val="24"/>
                <w:szCs w:val="24"/>
                <w:lang w:eastAsia="fr-FR"/>
              </w:rPr>
            </w:pPr>
            <w:r w:rsidRPr="00083CF9">
              <w:rPr>
                <w:rFonts w:ascii="Times New Roman" w:eastAsia="Times New Roman" w:hAnsi="Times New Roman"/>
                <w:b/>
                <w:bCs/>
                <w:sz w:val="24"/>
                <w:szCs w:val="24"/>
                <w:lang w:eastAsia="fr-FR"/>
              </w:rPr>
              <w:t>Questions évaluatives:</w:t>
            </w:r>
          </w:p>
          <w:p w:rsidR="00083CF9" w:rsidRPr="00083CF9" w:rsidRDefault="00083CF9" w:rsidP="005B22B2">
            <w:pPr>
              <w:spacing w:after="0" w:line="240" w:lineRule="auto"/>
              <w:jc w:val="both"/>
              <w:rPr>
                <w:rFonts w:ascii="Times New Roman" w:eastAsia="Times New Roman" w:hAnsi="Times New Roman"/>
                <w:b/>
                <w:bCs/>
                <w:sz w:val="24"/>
                <w:szCs w:val="24"/>
                <w:lang w:eastAsia="fr-FR"/>
              </w:rPr>
            </w:pPr>
            <w:r w:rsidRPr="00083CF9">
              <w:rPr>
                <w:rFonts w:ascii="Times New Roman" w:eastAsia="Times New Roman" w:hAnsi="Times New Roman"/>
                <w:b/>
                <w:bCs/>
                <w:sz w:val="24"/>
                <w:szCs w:val="24"/>
                <w:lang w:eastAsia="fr-FR"/>
              </w:rPr>
              <w:t>L’évaluation veillera à répondre aux questions suivantes:</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Pertinence:</w:t>
            </w:r>
          </w:p>
          <w:p w:rsidR="00083CF9" w:rsidRPr="00083CF9" w:rsidRDefault="00083CF9" w:rsidP="0089432A">
            <w:pPr>
              <w:numPr>
                <w:ilvl w:val="0"/>
                <w:numId w:val="30"/>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les résultats visés de l’UNDAF+ sont-ils pertinents et les interventions du SNU sont-elles en adéquation ave les priorités nationales définies dans le CREDD, les cibles prioritaires des ODD, l’Accord pour la paix et la Stratégie de développement du nord.</w:t>
            </w:r>
          </w:p>
          <w:p w:rsidR="00083CF9" w:rsidRPr="00083CF9" w:rsidRDefault="00083CF9" w:rsidP="0089432A">
            <w:pPr>
              <w:numPr>
                <w:ilvl w:val="0"/>
                <w:numId w:val="30"/>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les programmes des Agences sont-ils alignés sur l’UNDAF+.</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Efficacité:</w:t>
            </w:r>
          </w:p>
          <w:p w:rsidR="00083CF9" w:rsidRPr="00083CF9" w:rsidRDefault="00083CF9" w:rsidP="0089432A">
            <w:pPr>
              <w:numPr>
                <w:ilvl w:val="0"/>
                <w:numId w:val="31"/>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Quels progrès ont été faits vers la réalisation des Effets de l’UNDAF+ et quelle est leur contribution à la réalisation des cibles prioritaires des ODD;</w:t>
            </w:r>
          </w:p>
          <w:p w:rsidR="00083CF9" w:rsidRPr="00083CF9" w:rsidRDefault="00083CF9" w:rsidP="0089432A">
            <w:pPr>
              <w:numPr>
                <w:ilvl w:val="0"/>
                <w:numId w:val="31"/>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Quels sont les principaux facteurs qui ont contribué aux avancées ou non dans la réalisation des Effets ; Quels ont été les risques identifiés pendant la mise en œuvre de l’UNDAF+; Dans quelle mesure ces risques se sont-ils matérialisés et comment ont-ils été gérés; Quel a été l’apport des activités d’information et de communication dans l’atteinte des résultats;</w:t>
            </w:r>
          </w:p>
          <w:p w:rsidR="00083CF9" w:rsidRPr="00083CF9" w:rsidRDefault="00083CF9" w:rsidP="0089432A">
            <w:pPr>
              <w:numPr>
                <w:ilvl w:val="0"/>
                <w:numId w:val="31"/>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le SNU a-t-il appuyé la promotion de la mise en œuvre des programmes et projets découlant de l’UNDAF+ par la partie nationale ou l’utilisation de l’expertise nationale.</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Efficience:</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L’UNDAF+ a-t-il renforcé la programmation conjointe entre les Agences et/ou l’élaboration et la mise en œuvre des programmes conjoints et des initiatives conjointes spécifiques;</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les ressources investies dans le cadre de la mise en œuvre de l’UNDAF+ ont-elles été utilisées de manière optimale au regard des résultats atteints; Existe-t-il  des stratégies alternatives;</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L’UNDAF+ a-t-il promu le DaO, l’intégration MINUSMA/Agences, des partenariats efficaces et des alliances stratégiques autour des principaux Effets tant entre les agences, au niveau du Gouvernement, avec des partenaires nationaux, des partenaires techniques et financiers et d’autres institutions;</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l’UNDAF+ a-t-il contribué à la réduction des coûts de transaction pour le Gouvernement et pour chacune des Agences des Nations Unies;</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Quel est le taux d’exécution au niveau global et par axe stratégique; Dans quelle mesure les ressources investies dans le cadre de la mise en œuvre de chaque axe stratégique ont-elles été utilisées de manière optimale au regard des résultats atteints;</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L’UNDAF+ a-t-il disposé de ressources financières et humaines nécessaires pour atteindre les resultats;</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les résultats obtenus par les activités de plaidoyer et de renforcement de capacités ont permis d’accroitre les ressources; les activités de plaidoyer ont été cohérentes et pertinentes;</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L’UNDAF+ a-t-il été géré de manière efficiente; Les modalités choisies pour l’exécution ont-elles permis d’atteindre les résultats attendus;</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Les mécanismes de coordination mis en place ont-ils fonctionné de façon optimale;</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Durabilité, appropriation nationale et renforcement des capacités:</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Quel a été le degré d’appropriation de chaque composante par le Gouvernement ;</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les changements positifs intervenus dans les  différents domaines continueront-ils à l’avenir;</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les capacités nationales au niveau du Gouvernement, de la société civile et des communautés ont-elles été renforcées à travers la mise en oeuvre de l’UNDAF+; Les capacités développées et/ou renforcées ont-elles produit des effets durables ;</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 complémentarité, la collaboration et la synergie entre les partenaires au développement d’une part et entre les agences stimulées par l’UNDAF+ d’autre part seront-elles durables ;</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Egalité du genre, la promotion féminine et l’équité:</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l’UNDAF+ a-t-il contribué à la prise en compte de la dimension genre et de l’approche basée sur les droits de l’homme dans les programmes du SNU;</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l’UNDAF+ a contribué à la promotion de la participation des femmes ? Que faut-il améliorer sur la seconde phase du cycle;</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Dans quelle mesure la question d’équité a-t-elle été prise en compte dans les interventions? Quelles sont les inégalités de genre qui persistent;</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Est-ce que la budgétisation sensible au genre est adoptée à l’UNCT ? Existe-t-il des budgets spécifiques au genre au niveau de la coordination UNCT;</w:t>
            </w:r>
          </w:p>
          <w:p w:rsidR="00083CF9" w:rsidRPr="00083CF9" w:rsidRDefault="00083CF9" w:rsidP="0089432A">
            <w:pPr>
              <w:numPr>
                <w:ilvl w:val="0"/>
                <w:numId w:val="32"/>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Est ce que les questions de genre sont prises en compte dans les programmes et projets mis en oeuvre et notamment dans les programmes conjoints.</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Suivi et évaluation:</w:t>
            </w:r>
          </w:p>
          <w:p w:rsidR="00083CF9" w:rsidRPr="00083CF9" w:rsidRDefault="00083CF9" w:rsidP="0089432A">
            <w:pPr>
              <w:numPr>
                <w:ilvl w:val="0"/>
                <w:numId w:val="33"/>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Existe-t-il un système de suivi et évaluation qui permet de suivre et évaluer quantitativement ou qualitativement l’atteinte des résultats; Les indicateurs sont-ils SMART et renseignables à termes échus par le système national de statistiques;</w:t>
            </w:r>
          </w:p>
          <w:p w:rsidR="00083CF9" w:rsidRPr="00083CF9" w:rsidRDefault="00083CF9" w:rsidP="0089432A">
            <w:pPr>
              <w:numPr>
                <w:ilvl w:val="0"/>
                <w:numId w:val="33"/>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Quelles sont les forces et faiblesses des mécanismes de suivi et évaluation de l’UNDAF+.</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Produits attendus:</w:t>
            </w:r>
          </w:p>
          <w:p w:rsidR="00083CF9" w:rsidRPr="00083CF9" w:rsidRDefault="00083CF9" w:rsidP="0089432A">
            <w:pPr>
              <w:numPr>
                <w:ilvl w:val="0"/>
                <w:numId w:val="34"/>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Comme produits finaux attendus de la mission, le consultant, chef de mission, soumettra deux (2) Documents : Un Rapport d’évaluation à mi-parcours et un Document de l’UNDAF+ révisé.</w:t>
            </w:r>
          </w:p>
          <w:p w:rsidR="00083CF9" w:rsidRPr="00083CF9" w:rsidRDefault="00083CF9" w:rsidP="005B22B2">
            <w:pPr>
              <w:spacing w:after="0" w:line="240" w:lineRule="auto"/>
              <w:jc w:val="both"/>
              <w:rPr>
                <w:rFonts w:ascii="Times New Roman" w:eastAsia="Times New Roman" w:hAnsi="Times New Roman"/>
                <w:b/>
                <w:bCs/>
                <w:sz w:val="24"/>
                <w:szCs w:val="24"/>
                <w:lang w:eastAsia="fr-FR"/>
              </w:rPr>
            </w:pPr>
            <w:r w:rsidRPr="00083CF9">
              <w:rPr>
                <w:rFonts w:ascii="Times New Roman" w:eastAsia="Times New Roman" w:hAnsi="Times New Roman"/>
                <w:b/>
                <w:bCs/>
                <w:sz w:val="24"/>
                <w:szCs w:val="24"/>
                <w:lang w:eastAsia="fr-FR"/>
              </w:rPr>
              <w:t>Methodologie et processus:</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Méthodologie :</w:t>
            </w:r>
          </w:p>
          <w:p w:rsidR="00083CF9" w:rsidRPr="00083CF9" w:rsidRDefault="00083CF9" w:rsidP="0089432A">
            <w:pPr>
              <w:numPr>
                <w:ilvl w:val="0"/>
                <w:numId w:val="35"/>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L’évaluation à mi-parcours et la révision de l’UNDAF+ seront réalisées de façon participative avec l’implication de toutes les parties prenantes (MINUSMA, Agences, Fonds et Programmes des Nations Unies; Gouvernement du Mali; Société civile; Partenaires Techniques et Financiers; Bénéficiaires des interventions SNU au Mali) par une équipe de trois (3) consultants dont un international, chef de mission;</w:t>
            </w:r>
          </w:p>
          <w:p w:rsidR="00083CF9" w:rsidRPr="00083CF9" w:rsidRDefault="00083CF9" w:rsidP="0089432A">
            <w:pPr>
              <w:numPr>
                <w:ilvl w:val="0"/>
                <w:numId w:val="35"/>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Un groupe de référence de l’évaluation à mi-parcours et la révision de l’UNDAF+ sera mis en place et inter agira avec l’équipe de consultants. Ce groupe sera composé des membres du PMT, des Points focaux des groupes de résultats, de la Présidente du GTSE, du RCO, de hauts fonctionnaires du ministère des affaires étrangères et des leads gouvernementaux des groupes de résultats (ministère de la solidarité ; ministère de la sécurité ; ministère de l’administration territoriale; ministère de l’économie et des finances) et des représentants de la société civile;</w:t>
            </w:r>
          </w:p>
          <w:p w:rsidR="00083CF9" w:rsidRPr="00083CF9" w:rsidRDefault="00083CF9" w:rsidP="0089432A">
            <w:pPr>
              <w:numPr>
                <w:ilvl w:val="0"/>
                <w:numId w:val="35"/>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 groupe de référence aura en outre la responsabilité d’examiner et valider les rapports et documents d’étapes produits par les consultants;</w:t>
            </w:r>
          </w:p>
          <w:p w:rsidR="00083CF9" w:rsidRPr="00083CF9" w:rsidRDefault="00083CF9" w:rsidP="0089432A">
            <w:pPr>
              <w:numPr>
                <w:ilvl w:val="0"/>
                <w:numId w:val="35"/>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Une personne ressource très au fait de la planification stratégique du SNU et du contexte malien sera commise pour apporter des conseils et orientations stratégiques au groupe de référence et l’appuyer dans la coordination et la gestion de l’exercice d’évaluation et de révision de l’UNDAF+.</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Tâches du Consultant:</w:t>
            </w:r>
          </w:p>
          <w:p w:rsidR="00083CF9" w:rsidRPr="00083CF9" w:rsidRDefault="00083CF9" w:rsidP="0089432A">
            <w:pPr>
              <w:numPr>
                <w:ilvl w:val="0"/>
                <w:numId w:val="36"/>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Sous l’autorité du Coordonnateur Résident et la supervision technique du Président du PMT, l’équipe de consultants procédera à :</w:t>
            </w:r>
          </w:p>
          <w:p w:rsidR="00083CF9" w:rsidRPr="00083CF9" w:rsidRDefault="00083CF9" w:rsidP="0089432A">
            <w:pPr>
              <w:numPr>
                <w:ilvl w:val="0"/>
                <w:numId w:val="36"/>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 revue documentaire (documents de référence rassemblés par le Bureau du Coordonnateur Résident SNU);</w:t>
            </w:r>
          </w:p>
          <w:p w:rsidR="00083CF9" w:rsidRPr="00083CF9" w:rsidRDefault="00083CF9" w:rsidP="0089432A">
            <w:pPr>
              <w:numPr>
                <w:ilvl w:val="0"/>
                <w:numId w:val="36"/>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des consultations/interviews/rencontres avec les différentes parties prenantes de l’UNDAF+ (organismes des Nations Unies, sections de la MINUSMA, structures étatiques/ministères sectoriels, société civile, secteur privé, partenaires techniques et financiers, bénéficiaires);</w:t>
            </w:r>
          </w:p>
          <w:p w:rsidR="00083CF9" w:rsidRPr="00083CF9" w:rsidRDefault="00083CF9" w:rsidP="0089432A">
            <w:pPr>
              <w:numPr>
                <w:ilvl w:val="0"/>
                <w:numId w:val="36"/>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des réunions de suivi/de bilan à différentes étapes avec le PMT et les Points focaux et Présidents des groupes de résultats de l’UNDAF+, les sections de la MINUSMA, les autres groupes de travail inter agences, les partenaires nationaux de mise en oeuvre et des échanges par emails ou Skype avec les responsables des agences non-résidentes si de besoin;</w:t>
            </w:r>
          </w:p>
          <w:p w:rsidR="00083CF9" w:rsidRPr="00083CF9" w:rsidRDefault="00083CF9" w:rsidP="0089432A">
            <w:pPr>
              <w:numPr>
                <w:ilvl w:val="0"/>
                <w:numId w:val="36"/>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 mise en évidence des leçons apprises et la formulation des recommandations pouvant orienter les décisions stratégiques pour la dernière phase de mise en œuvre de l’UNDAF+ ;</w:t>
            </w:r>
          </w:p>
          <w:p w:rsidR="00083CF9" w:rsidRPr="00083CF9" w:rsidRDefault="00083CF9" w:rsidP="0089432A">
            <w:pPr>
              <w:numPr>
                <w:ilvl w:val="0"/>
                <w:numId w:val="36"/>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 révision, à la suite de l’évaluation et des recommandations portant réajustement,  du document de l’UNDAF+ en vue de renforcer la réponse effective aux besoins et priorités du Mali et d’améliorer les performances des interventions des Nations Unies;</w:t>
            </w:r>
          </w:p>
          <w:p w:rsidR="00083CF9" w:rsidRPr="00083CF9" w:rsidRDefault="00083CF9" w:rsidP="0089432A">
            <w:pPr>
              <w:numPr>
                <w:ilvl w:val="0"/>
                <w:numId w:val="36"/>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 production et la soumission des rapports et documents escomptés au groupe de référence de l’évaluation, au PMT, et parties prenantes de l’UNDAF+ pour leurs commentaires et suggestions;</w:t>
            </w:r>
          </w:p>
          <w:p w:rsidR="00083CF9" w:rsidRPr="00083CF9" w:rsidRDefault="00083CF9" w:rsidP="0089432A">
            <w:pPr>
              <w:numPr>
                <w:ilvl w:val="0"/>
                <w:numId w:val="36"/>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l’animation d'ateliers et de sessions d’examen et validation.</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Processus :</w:t>
            </w:r>
          </w:p>
          <w:p w:rsidR="00083CF9" w:rsidRPr="00083CF9" w:rsidRDefault="00083CF9" w:rsidP="0089432A">
            <w:pPr>
              <w:numPr>
                <w:ilvl w:val="0"/>
                <w:numId w:val="37"/>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 processus d’évaluation à mi-parcours et de révision de l’UNDAF+ sera conduit en deux étapes.</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Étape 1 :</w:t>
            </w:r>
          </w:p>
          <w:p w:rsidR="00083CF9" w:rsidRPr="00083CF9" w:rsidRDefault="00083CF9" w:rsidP="0089432A">
            <w:pPr>
              <w:numPr>
                <w:ilvl w:val="0"/>
                <w:numId w:val="38"/>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Evaluation à mi-parcours de l'UNDAF+</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L’équipe de consultants livrera à cette étape, les produits ci-après :</w:t>
            </w:r>
          </w:p>
          <w:p w:rsidR="00083CF9" w:rsidRPr="00083CF9" w:rsidRDefault="00083CF9" w:rsidP="0089432A">
            <w:pPr>
              <w:numPr>
                <w:ilvl w:val="0"/>
                <w:numId w:val="3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Un rapport initial qui résume la méthodologie proposée pour mener l'évaluation à mi-parcours des progrès accomplis et le processus de révision de l'UNDAF+.</w:t>
            </w:r>
          </w:p>
          <w:p w:rsidR="00083CF9" w:rsidRPr="00083CF9" w:rsidRDefault="00083CF9" w:rsidP="0089432A">
            <w:pPr>
              <w:numPr>
                <w:ilvl w:val="0"/>
                <w:numId w:val="3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Un projet de rapport d’évaluation à mi-parcours, qui inclut :</w:t>
            </w:r>
          </w:p>
          <w:p w:rsidR="00083CF9" w:rsidRPr="00083CF9" w:rsidRDefault="00083CF9" w:rsidP="0089432A">
            <w:pPr>
              <w:numPr>
                <w:ilvl w:val="0"/>
                <w:numId w:val="3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Les éléments exigés dans le Format opérationnel standard pour l'établissement de rapports relatifs à l’évaluation de l’UNDAF ;</w:t>
            </w:r>
          </w:p>
          <w:p w:rsidR="00083CF9" w:rsidRPr="00083CF9" w:rsidRDefault="00083CF9" w:rsidP="0089432A">
            <w:pPr>
              <w:numPr>
                <w:ilvl w:val="0"/>
                <w:numId w:val="3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Un énoncé sur le repositionnement stratégique des Nations Unies au Mali devra être intégré au rapport, dont le but serait de définir le rôle de l'ONU en tant que partenaire pour la période restante de l'UNDAF+ (2018-2019) et au-delà de cette période ;  </w:t>
            </w:r>
          </w:p>
          <w:p w:rsidR="00083CF9" w:rsidRPr="00083CF9" w:rsidRDefault="00083CF9" w:rsidP="0089432A">
            <w:pPr>
              <w:numPr>
                <w:ilvl w:val="0"/>
                <w:numId w:val="3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Une analyse ou un exposé des motifs clairs pour la réorientation et la redéfinition des priorités de l'UNDAF+ en matière de résultats, de produits, de cibles et d'indicateurs ainsi que des recommandations spécifiques sur ceux-ci.</w:t>
            </w:r>
          </w:p>
          <w:p w:rsidR="00083CF9" w:rsidRPr="00083CF9" w:rsidRDefault="00083CF9" w:rsidP="0089432A">
            <w:pPr>
              <w:numPr>
                <w:ilvl w:val="0"/>
                <w:numId w:val="39"/>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Un rapport finalisé de l’évaluation à mi-parcours.</w:t>
            </w:r>
          </w:p>
          <w:p w:rsidR="00083CF9" w:rsidRPr="00083CF9" w:rsidRDefault="00083CF9" w:rsidP="005B22B2">
            <w:p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Étape 2 :</w:t>
            </w:r>
          </w:p>
          <w:p w:rsidR="00083CF9" w:rsidRPr="00083CF9" w:rsidRDefault="00083CF9" w:rsidP="0089432A">
            <w:pPr>
              <w:numPr>
                <w:ilvl w:val="0"/>
                <w:numId w:val="40"/>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Révision de l'UNDAF+.</w:t>
            </w:r>
          </w:p>
          <w:p w:rsidR="00083CF9" w:rsidRPr="00083CF9" w:rsidRDefault="00083CF9" w:rsidP="0089432A">
            <w:pPr>
              <w:numPr>
                <w:ilvl w:val="0"/>
                <w:numId w:val="40"/>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Les documents suivants seront produits :</w:t>
            </w:r>
          </w:p>
          <w:p w:rsidR="00083CF9" w:rsidRPr="00083CF9" w:rsidRDefault="00083CF9" w:rsidP="0089432A">
            <w:pPr>
              <w:numPr>
                <w:ilvl w:val="0"/>
                <w:numId w:val="40"/>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Un document UNDAF+ révisé à la lumière des conclusions et recommandations de l’évaluation à mi-parcours avec une matrice des résultats comprenant des indicateurs plus SMART et en nombre réduit pouvant être effectivement renseignés par le système national de statistique;</w:t>
            </w:r>
          </w:p>
          <w:p w:rsidR="00083CF9" w:rsidRPr="00083CF9" w:rsidRDefault="00083CF9" w:rsidP="0089432A">
            <w:pPr>
              <w:numPr>
                <w:ilvl w:val="0"/>
                <w:numId w:val="40"/>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Un document final révisé de l’UNDAF+ prenant en compte les observations reçues qui sera partagé et présenté au Gouvernement et l’ensemble des parties prenantes pour validation.</w:t>
            </w:r>
          </w:p>
          <w:p w:rsidR="00083CF9" w:rsidRPr="00083CF9" w:rsidRDefault="00083CF9" w:rsidP="0089432A">
            <w:pPr>
              <w:numPr>
                <w:ilvl w:val="0"/>
                <w:numId w:val="40"/>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Periode:</w:t>
            </w:r>
          </w:p>
          <w:p w:rsidR="00083CF9" w:rsidRPr="00083CF9" w:rsidRDefault="00083CF9" w:rsidP="0089432A">
            <w:pPr>
              <w:numPr>
                <w:ilvl w:val="0"/>
                <w:numId w:val="40"/>
              </w:numPr>
              <w:spacing w:after="0" w:line="240" w:lineRule="auto"/>
              <w:jc w:val="both"/>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La durée totale de la mission est de 45 jours ouvrables. La mission est prévue se tenir sur la période de septembre et octobre 2017.</w:t>
            </w:r>
          </w:p>
        </w:tc>
      </w:tr>
      <w:tr w:rsidR="00083CF9" w:rsidRPr="00083CF9" w:rsidTr="00C3686C">
        <w:trPr>
          <w:tblCellSpacing w:w="30" w:type="dxa"/>
        </w:trPr>
        <w:tc>
          <w:tcPr>
            <w:tcW w:w="0" w:type="auto"/>
            <w:vAlign w:val="center"/>
            <w:hideMark/>
          </w:tcPr>
          <w:p w:rsidR="00083CF9" w:rsidRPr="00083CF9" w:rsidRDefault="00083CF9" w:rsidP="005B22B2">
            <w:pPr>
              <w:spacing w:after="0" w:line="240" w:lineRule="auto"/>
              <w:rPr>
                <w:rFonts w:ascii="Times New Roman" w:eastAsia="Times New Roman" w:hAnsi="Times New Roman"/>
                <w:sz w:val="24"/>
                <w:szCs w:val="24"/>
                <w:lang w:eastAsia="fr-FR"/>
              </w:rPr>
            </w:pPr>
          </w:p>
          <w:p w:rsidR="00083CF9" w:rsidRPr="00083CF9" w:rsidRDefault="00083CF9" w:rsidP="005B22B2">
            <w:pPr>
              <w:spacing w:after="0" w:line="240" w:lineRule="auto"/>
              <w:outlineLvl w:val="4"/>
              <w:rPr>
                <w:rFonts w:ascii="Times New Roman" w:eastAsia="Times New Roman" w:hAnsi="Times New Roman"/>
                <w:b/>
                <w:bCs/>
                <w:sz w:val="20"/>
                <w:szCs w:val="20"/>
                <w:lang w:eastAsia="fr-FR"/>
              </w:rPr>
            </w:pPr>
            <w:r w:rsidRPr="00083CF9">
              <w:rPr>
                <w:rFonts w:ascii="Times New Roman" w:eastAsia="Times New Roman" w:hAnsi="Times New Roman"/>
                <w:b/>
                <w:bCs/>
                <w:sz w:val="20"/>
                <w:szCs w:val="20"/>
                <w:lang w:eastAsia="fr-FR"/>
              </w:rPr>
              <w:t>Compétences</w:t>
            </w:r>
          </w:p>
          <w:p w:rsidR="00083CF9" w:rsidRPr="00083CF9" w:rsidRDefault="00083CF9" w:rsidP="005B22B2">
            <w:pPr>
              <w:spacing w:after="0" w:line="240" w:lineRule="auto"/>
              <w:rPr>
                <w:rFonts w:ascii="Times New Roman" w:eastAsia="Times New Roman" w:hAnsi="Times New Roman"/>
                <w:sz w:val="24"/>
                <w:szCs w:val="24"/>
                <w:lang w:eastAsia="fr-FR"/>
              </w:rPr>
            </w:pPr>
          </w:p>
        </w:tc>
      </w:tr>
      <w:tr w:rsidR="00083CF9" w:rsidRPr="00083CF9" w:rsidTr="00C3686C">
        <w:trPr>
          <w:tblCellSpacing w:w="30" w:type="dxa"/>
        </w:trPr>
        <w:tc>
          <w:tcPr>
            <w:tcW w:w="0" w:type="auto"/>
            <w:vAlign w:val="center"/>
            <w:hideMark/>
          </w:tcPr>
          <w:p w:rsidR="00083CF9" w:rsidRPr="00083CF9" w:rsidRDefault="00083CF9" w:rsidP="005B22B2">
            <w:p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Compétences Organisationnelles :</w:t>
            </w:r>
          </w:p>
          <w:p w:rsidR="00083CF9" w:rsidRPr="00083CF9" w:rsidRDefault="00083CF9" w:rsidP="0089432A">
            <w:pPr>
              <w:numPr>
                <w:ilvl w:val="0"/>
                <w:numId w:val="41"/>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Intégrité en accord avec les valeurs et les normes éthiques de l’ONU ;</w:t>
            </w:r>
          </w:p>
          <w:p w:rsidR="00083CF9" w:rsidRPr="00083CF9" w:rsidRDefault="00083CF9" w:rsidP="0089432A">
            <w:pPr>
              <w:numPr>
                <w:ilvl w:val="0"/>
                <w:numId w:val="41"/>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Fait le plaidoyer pour la vision, la mission, et les buts stratégiques des Nations Unies ;</w:t>
            </w:r>
          </w:p>
          <w:p w:rsidR="00083CF9" w:rsidRPr="00083CF9" w:rsidRDefault="00083CF9" w:rsidP="0089432A">
            <w:pPr>
              <w:numPr>
                <w:ilvl w:val="0"/>
                <w:numId w:val="41"/>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Flexibilité et une adaptabilité aux aspects culturels, de genre, de religion, de race, de nationalité et d’âge.</w:t>
            </w:r>
          </w:p>
          <w:p w:rsidR="00083CF9" w:rsidRPr="00083CF9" w:rsidRDefault="00083CF9" w:rsidP="005B22B2">
            <w:p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Compétences Fonctionnelles :</w:t>
            </w:r>
          </w:p>
          <w:p w:rsidR="00083CF9" w:rsidRPr="00083CF9" w:rsidRDefault="00083CF9" w:rsidP="0089432A">
            <w:pPr>
              <w:numPr>
                <w:ilvl w:val="0"/>
                <w:numId w:val="42"/>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Développement et efficacité opérationnelle ;</w:t>
            </w:r>
          </w:p>
          <w:p w:rsidR="00083CF9" w:rsidRPr="00083CF9" w:rsidRDefault="00083CF9" w:rsidP="0089432A">
            <w:pPr>
              <w:numPr>
                <w:ilvl w:val="0"/>
                <w:numId w:val="42"/>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Capacité d’appuyer l’identification, la formulation, la mise en œuvre des programmes et projets de développement, y compris en contexte instable ;</w:t>
            </w:r>
          </w:p>
          <w:p w:rsidR="00083CF9" w:rsidRPr="00083CF9" w:rsidRDefault="00083CF9" w:rsidP="0089432A">
            <w:pPr>
              <w:numPr>
                <w:ilvl w:val="0"/>
                <w:numId w:val="42"/>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Capacité de communication avec les différents partenaires, agences du SNU, OSC, le gouvernement.</w:t>
            </w:r>
          </w:p>
          <w:p w:rsidR="00083CF9" w:rsidRPr="00083CF9" w:rsidRDefault="00083CF9" w:rsidP="005B22B2">
            <w:p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b/>
                <w:bCs/>
                <w:sz w:val="24"/>
                <w:szCs w:val="24"/>
                <w:lang w:eastAsia="fr-FR"/>
              </w:rPr>
              <w:t>Gestion et leadership :</w:t>
            </w:r>
          </w:p>
          <w:p w:rsidR="00083CF9" w:rsidRPr="00083CF9" w:rsidRDefault="00083CF9" w:rsidP="0089432A">
            <w:pPr>
              <w:numPr>
                <w:ilvl w:val="0"/>
                <w:numId w:val="43"/>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Focalisé sur les résultats ;</w:t>
            </w:r>
          </w:p>
          <w:p w:rsidR="00083CF9" w:rsidRPr="00083CF9" w:rsidRDefault="00083CF9" w:rsidP="0089432A">
            <w:pPr>
              <w:numPr>
                <w:ilvl w:val="0"/>
                <w:numId w:val="43"/>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Répond de manière constructive aux appréciations ;</w:t>
            </w:r>
          </w:p>
          <w:p w:rsidR="00083CF9" w:rsidRPr="00083CF9" w:rsidRDefault="00083CF9" w:rsidP="0089432A">
            <w:pPr>
              <w:numPr>
                <w:ilvl w:val="0"/>
                <w:numId w:val="43"/>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Aborde constamment le travail avec énergie et ponctualité, ainsi qu’avec une attitude positive et constructive ;</w:t>
            </w:r>
          </w:p>
          <w:p w:rsidR="00083CF9" w:rsidRPr="00083CF9" w:rsidRDefault="00083CF9" w:rsidP="0089432A">
            <w:pPr>
              <w:numPr>
                <w:ilvl w:val="0"/>
                <w:numId w:val="43"/>
              </w:numPr>
              <w:spacing w:after="0" w:line="240" w:lineRule="auto"/>
              <w:rPr>
                <w:rFonts w:ascii="Times New Roman" w:eastAsia="Times New Roman" w:hAnsi="Times New Roman"/>
                <w:sz w:val="24"/>
                <w:szCs w:val="24"/>
                <w:lang w:eastAsia="fr-FR"/>
              </w:rPr>
            </w:pPr>
            <w:r w:rsidRPr="00083CF9">
              <w:rPr>
                <w:rFonts w:ascii="Times New Roman" w:eastAsia="Times New Roman" w:hAnsi="Times New Roman"/>
                <w:sz w:val="24"/>
                <w:szCs w:val="24"/>
                <w:lang w:eastAsia="fr-FR"/>
              </w:rPr>
              <w:t>Démontre de solides compétences en communication orale et écrite.</w:t>
            </w:r>
          </w:p>
        </w:tc>
      </w:tr>
    </w:tbl>
    <w:p w:rsidR="00083CF9" w:rsidRPr="00083CF9" w:rsidRDefault="00083CF9" w:rsidP="005B22B2">
      <w:pPr>
        <w:spacing w:after="0" w:line="240" w:lineRule="auto"/>
        <w:rPr>
          <w:rFonts w:eastAsia="Times New Roman"/>
          <w:lang w:eastAsia="fr-FR"/>
        </w:rPr>
      </w:pPr>
    </w:p>
    <w:p w:rsidR="00091457" w:rsidRDefault="00091457" w:rsidP="005B22B2">
      <w:pPr>
        <w:spacing w:after="0" w:line="240" w:lineRule="auto"/>
        <w:rPr>
          <w:vanish/>
        </w:rPr>
      </w:pPr>
    </w:p>
    <w:p w:rsidR="00091457" w:rsidRPr="00E95998" w:rsidRDefault="00091457" w:rsidP="005B22B2">
      <w:pPr>
        <w:spacing w:after="0" w:line="240" w:lineRule="auto"/>
      </w:pPr>
    </w:p>
    <w:p w:rsidR="00BA3DC6" w:rsidRDefault="00BA3DC6" w:rsidP="005B22B2">
      <w:pPr>
        <w:spacing w:after="0" w:line="240" w:lineRule="auto"/>
        <w:jc w:val="both"/>
        <w:rPr>
          <w:rFonts w:eastAsia="Times New Roman"/>
          <w:b/>
          <w:sz w:val="24"/>
          <w:szCs w:val="24"/>
          <w:u w:val="single"/>
          <w:lang w:eastAsia="rw-RW"/>
        </w:rPr>
      </w:pPr>
    </w:p>
    <w:p w:rsidR="00BA3DC6" w:rsidRPr="00E97790" w:rsidRDefault="00BA3DC6" w:rsidP="005B22B2">
      <w:pPr>
        <w:pStyle w:val="Corpsdetexte"/>
        <w:rPr>
          <w:sz w:val="22"/>
          <w:szCs w:val="22"/>
        </w:rPr>
      </w:pPr>
    </w:p>
    <w:p w:rsidR="00AB0F81" w:rsidRDefault="00AB0F81" w:rsidP="005B22B2">
      <w:pPr>
        <w:spacing w:after="0" w:line="240" w:lineRule="auto"/>
      </w:pPr>
    </w:p>
    <w:sectPr w:rsidR="00AB0F81" w:rsidSect="00632A47">
      <w:footnotePr>
        <w:numRestart w:val="eachPage"/>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E8C" w:rsidRDefault="00F56E8C" w:rsidP="00BA3DC6">
      <w:pPr>
        <w:spacing w:after="0" w:line="240" w:lineRule="auto"/>
      </w:pPr>
      <w:r>
        <w:separator/>
      </w:r>
    </w:p>
  </w:endnote>
  <w:endnote w:type="continuationSeparator" w:id="0">
    <w:p w:rsidR="00F56E8C" w:rsidRDefault="00F56E8C" w:rsidP="00BA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5270"/>
      <w:docPartObj>
        <w:docPartGallery w:val="Page Numbers (Bottom of Page)"/>
        <w:docPartUnique/>
      </w:docPartObj>
    </w:sdtPr>
    <w:sdtEndPr/>
    <w:sdtContent>
      <w:p w:rsidR="00467258" w:rsidRDefault="00F56E8C">
        <w:pPr>
          <w:pStyle w:val="Pieddepage"/>
          <w:jc w:val="center"/>
        </w:pPr>
        <w:r>
          <w:fldChar w:fldCharType="begin"/>
        </w:r>
        <w:r>
          <w:instrText xml:space="preserve"> PAGE   \* MERGEFORMAT </w:instrText>
        </w:r>
        <w:r>
          <w:fldChar w:fldCharType="separate"/>
        </w:r>
        <w:r w:rsidR="000225DB">
          <w:rPr>
            <w:noProof/>
          </w:rPr>
          <w:t>1</w:t>
        </w:r>
        <w:r>
          <w:rPr>
            <w:noProof/>
          </w:rPr>
          <w:fldChar w:fldCharType="end"/>
        </w:r>
      </w:p>
    </w:sdtContent>
  </w:sdt>
  <w:p w:rsidR="00467258" w:rsidRDefault="004672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E8C" w:rsidRDefault="00F56E8C" w:rsidP="00BA3DC6">
      <w:pPr>
        <w:spacing w:after="0" w:line="240" w:lineRule="auto"/>
      </w:pPr>
      <w:r>
        <w:separator/>
      </w:r>
    </w:p>
  </w:footnote>
  <w:footnote w:type="continuationSeparator" w:id="0">
    <w:p w:rsidR="00F56E8C" w:rsidRDefault="00F56E8C" w:rsidP="00BA3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D51"/>
    <w:multiLevelType w:val="multilevel"/>
    <w:tmpl w:val="D080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F12FE"/>
    <w:multiLevelType w:val="hybridMultilevel"/>
    <w:tmpl w:val="8682C7A0"/>
    <w:lvl w:ilvl="0" w:tplc="25906952">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185A57"/>
    <w:multiLevelType w:val="multilevel"/>
    <w:tmpl w:val="2C7E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F7975"/>
    <w:multiLevelType w:val="hybridMultilevel"/>
    <w:tmpl w:val="231C5CB6"/>
    <w:lvl w:ilvl="0" w:tplc="549E8594">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CC73BE"/>
    <w:multiLevelType w:val="multilevel"/>
    <w:tmpl w:val="2BD0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F2196"/>
    <w:multiLevelType w:val="multilevel"/>
    <w:tmpl w:val="710E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C4D87"/>
    <w:multiLevelType w:val="multilevel"/>
    <w:tmpl w:val="0D76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62417"/>
    <w:multiLevelType w:val="hybridMultilevel"/>
    <w:tmpl w:val="5F7CA948"/>
    <w:lvl w:ilvl="0" w:tplc="A972279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A32DCB"/>
    <w:multiLevelType w:val="multilevel"/>
    <w:tmpl w:val="1F2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314E1"/>
    <w:multiLevelType w:val="hybridMultilevel"/>
    <w:tmpl w:val="48DA40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F87E40"/>
    <w:multiLevelType w:val="hybridMultilevel"/>
    <w:tmpl w:val="4056B686"/>
    <w:lvl w:ilvl="0" w:tplc="7B144A30">
      <w:start w:val="1"/>
      <w:numFmt w:val="bullet"/>
      <w:lvlText w:val="-"/>
      <w:lvlJc w:val="left"/>
      <w:pPr>
        <w:ind w:left="1068" w:hanging="360"/>
      </w:pPr>
      <w:rPr>
        <w:rFonts w:ascii="Calibri" w:eastAsia="Cambria"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7C727E9"/>
    <w:multiLevelType w:val="multilevel"/>
    <w:tmpl w:val="A0F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04454D"/>
    <w:multiLevelType w:val="multilevel"/>
    <w:tmpl w:val="C4CC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79166B"/>
    <w:multiLevelType w:val="hybridMultilevel"/>
    <w:tmpl w:val="73D8A9AC"/>
    <w:lvl w:ilvl="0" w:tplc="7B144A30">
      <w:start w:val="1"/>
      <w:numFmt w:val="bullet"/>
      <w:lvlText w:val="-"/>
      <w:lvlJc w:val="left"/>
      <w:pPr>
        <w:ind w:left="1080" w:hanging="360"/>
      </w:pPr>
      <w:rPr>
        <w:rFonts w:ascii="Calibri" w:eastAsia="Cambri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F144F3C"/>
    <w:multiLevelType w:val="hybridMultilevel"/>
    <w:tmpl w:val="C50021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E715B1"/>
    <w:multiLevelType w:val="hybridMultilevel"/>
    <w:tmpl w:val="9712159C"/>
    <w:lvl w:ilvl="0" w:tplc="1152BE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3115752"/>
    <w:multiLevelType w:val="hybridMultilevel"/>
    <w:tmpl w:val="F5E858C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4DD3BB4"/>
    <w:multiLevelType w:val="hybridMultilevel"/>
    <w:tmpl w:val="08C4B600"/>
    <w:lvl w:ilvl="0" w:tplc="3EB891F4">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66450EF"/>
    <w:multiLevelType w:val="hybridMultilevel"/>
    <w:tmpl w:val="689EE26C"/>
    <w:lvl w:ilvl="0" w:tplc="EAAC8116">
      <w:start w:val="1"/>
      <w:numFmt w:val="decimal"/>
      <w:pStyle w:val="Lgende"/>
      <w:lvlText w:val="%1."/>
      <w:lvlJc w:val="left"/>
      <w:pPr>
        <w:ind w:left="360" w:hanging="360"/>
      </w:pPr>
      <w:rPr>
        <w:rFonts w:hint="default"/>
        <w:i w:val="0"/>
        <w:spacing w:val="0"/>
        <w:w w:val="100"/>
        <w:kern w:val="0"/>
        <w:position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78D683D"/>
    <w:multiLevelType w:val="hybridMultilevel"/>
    <w:tmpl w:val="86BAEE4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8113059"/>
    <w:multiLevelType w:val="hybridMultilevel"/>
    <w:tmpl w:val="7BEA40A0"/>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424241"/>
    <w:multiLevelType w:val="hybridMultilevel"/>
    <w:tmpl w:val="FD88E136"/>
    <w:lvl w:ilvl="0" w:tplc="7B144A30">
      <w:start w:val="1"/>
      <w:numFmt w:val="bullet"/>
      <w:lvlText w:val="-"/>
      <w:lvlJc w:val="left"/>
      <w:pPr>
        <w:ind w:left="1068" w:hanging="360"/>
      </w:pPr>
      <w:rPr>
        <w:rFonts w:ascii="Calibri" w:eastAsia="Cambr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50515EE"/>
    <w:multiLevelType w:val="multilevel"/>
    <w:tmpl w:val="8E8E62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F53DD0"/>
    <w:multiLevelType w:val="multilevel"/>
    <w:tmpl w:val="3606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41670C"/>
    <w:multiLevelType w:val="multilevel"/>
    <w:tmpl w:val="11A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26E99"/>
    <w:multiLevelType w:val="hybridMultilevel"/>
    <w:tmpl w:val="51EE9AB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B5E14B6"/>
    <w:multiLevelType w:val="hybridMultilevel"/>
    <w:tmpl w:val="C51AFBAA"/>
    <w:lvl w:ilvl="0" w:tplc="0FCA153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DE23BA"/>
    <w:multiLevelType w:val="multilevel"/>
    <w:tmpl w:val="8B7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7A2FBE"/>
    <w:multiLevelType w:val="hybridMultilevel"/>
    <w:tmpl w:val="56E63BA0"/>
    <w:lvl w:ilvl="0" w:tplc="A836B7BC">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50615137"/>
    <w:multiLevelType w:val="multilevel"/>
    <w:tmpl w:val="C5D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163694"/>
    <w:multiLevelType w:val="multilevel"/>
    <w:tmpl w:val="315C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81480E"/>
    <w:multiLevelType w:val="hybridMultilevel"/>
    <w:tmpl w:val="2E944E10"/>
    <w:lvl w:ilvl="0" w:tplc="1152BEC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4F633DE"/>
    <w:multiLevelType w:val="multilevel"/>
    <w:tmpl w:val="2F8C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5209A6"/>
    <w:multiLevelType w:val="hybridMultilevel"/>
    <w:tmpl w:val="9230A59E"/>
    <w:lvl w:ilvl="0" w:tplc="DE0CFC8E">
      <w:start w:val="1"/>
      <w:numFmt w:val="lowerRoman"/>
      <w:lvlText w:val="(%1)"/>
      <w:lvlJc w:val="left"/>
      <w:pPr>
        <w:ind w:left="720" w:hanging="720"/>
      </w:pPr>
      <w:rPr>
        <w:rFonts w:eastAsia="Calibri" w:hint="default"/>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4" w15:restartNumberingAfterBreak="0">
    <w:nsid w:val="5E373C81"/>
    <w:multiLevelType w:val="multilevel"/>
    <w:tmpl w:val="BE72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B76CF6"/>
    <w:multiLevelType w:val="hybridMultilevel"/>
    <w:tmpl w:val="49FA7C4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F85334B"/>
    <w:multiLevelType w:val="hybridMultilevel"/>
    <w:tmpl w:val="DDBC1E02"/>
    <w:lvl w:ilvl="0" w:tplc="1152BEC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1747364"/>
    <w:multiLevelType w:val="hybridMultilevel"/>
    <w:tmpl w:val="3C5E6E00"/>
    <w:lvl w:ilvl="0" w:tplc="040C0005">
      <w:start w:val="1"/>
      <w:numFmt w:val="bullet"/>
      <w:lvlText w:val=""/>
      <w:lvlJc w:val="left"/>
      <w:pPr>
        <w:ind w:left="360" w:hanging="360"/>
      </w:pPr>
      <w:rPr>
        <w:rFonts w:ascii="Wingdings" w:hAnsi="Wingdings" w:hint="default"/>
      </w:rPr>
    </w:lvl>
    <w:lvl w:ilvl="1" w:tplc="55CCF44C">
      <w:numFmt w:val="bullet"/>
      <w:lvlText w:val=""/>
      <w:lvlJc w:val="left"/>
      <w:pPr>
        <w:ind w:left="1080" w:hanging="360"/>
      </w:pPr>
      <w:rPr>
        <w:rFonts w:ascii="Symbol" w:eastAsia="Times New Roman" w:hAnsi="Symbol" w:hint="default"/>
        <w:b w:val="0"/>
        <w:bCs w:val="0"/>
        <w:i/>
        <w:iCs/>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1A70402"/>
    <w:multiLevelType w:val="multilevel"/>
    <w:tmpl w:val="FCEE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306953"/>
    <w:multiLevelType w:val="hybridMultilevel"/>
    <w:tmpl w:val="9918B30C"/>
    <w:lvl w:ilvl="0" w:tplc="3B9A0B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F82CF4"/>
    <w:multiLevelType w:val="hybridMultilevel"/>
    <w:tmpl w:val="1D72121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EBB455D"/>
    <w:multiLevelType w:val="hybridMultilevel"/>
    <w:tmpl w:val="8EBADE7C"/>
    <w:lvl w:ilvl="0" w:tplc="55CCF44C">
      <w:numFmt w:val="bullet"/>
      <w:lvlText w:val=""/>
      <w:lvlJc w:val="left"/>
      <w:pPr>
        <w:ind w:left="1080" w:hanging="360"/>
      </w:pPr>
      <w:rPr>
        <w:rFonts w:ascii="Symbol" w:eastAsia="Times New Roman" w:hAnsi="Symbol" w:hint="default"/>
        <w:b w:val="0"/>
        <w:bCs w:val="0"/>
        <w:i/>
        <w:iCs/>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6EE63F0A"/>
    <w:multiLevelType w:val="multilevel"/>
    <w:tmpl w:val="6D5E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EC05AF"/>
    <w:multiLevelType w:val="hybridMultilevel"/>
    <w:tmpl w:val="C814600A"/>
    <w:lvl w:ilvl="0" w:tplc="BE6834AA">
      <w:start w:val="1"/>
      <w:numFmt w:val="lowerRoman"/>
      <w:lvlText w:val="(%1)"/>
      <w:lvlJc w:val="left"/>
      <w:pPr>
        <w:ind w:left="720" w:hanging="720"/>
      </w:pPr>
      <w:rPr>
        <w:rFonts w:ascii="Times New Roman" w:eastAsia="Calibri" w:hAnsi="Times New Roman" w:hint="default"/>
        <w:color w:val="auto"/>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4" w15:restartNumberingAfterBreak="0">
    <w:nsid w:val="70C511CD"/>
    <w:multiLevelType w:val="multilevel"/>
    <w:tmpl w:val="203A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A64E09"/>
    <w:multiLevelType w:val="hybridMultilevel"/>
    <w:tmpl w:val="B372A616"/>
    <w:lvl w:ilvl="0" w:tplc="4D1A6FBA">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3E70AE04">
      <w:start w:val="1"/>
      <w:numFmt w:val="decimal"/>
      <w:lvlText w:val="%4."/>
      <w:lvlJc w:val="left"/>
      <w:pPr>
        <w:tabs>
          <w:tab w:val="num" w:pos="2880"/>
        </w:tabs>
        <w:ind w:left="2880" w:hanging="360"/>
      </w:pPr>
    </w:lvl>
    <w:lvl w:ilvl="4" w:tplc="1152BEC8">
      <w:numFmt w:val="bullet"/>
      <w:lvlText w:val="-"/>
      <w:lvlJc w:val="left"/>
      <w:pPr>
        <w:tabs>
          <w:tab w:val="num" w:pos="3600"/>
        </w:tabs>
        <w:ind w:left="3600" w:hanging="360"/>
      </w:pPr>
      <w:rPr>
        <w:rFonts w:ascii="Times New Roman" w:eastAsia="Times New Roman" w:hAnsi="Times New Roman"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B630EB"/>
    <w:multiLevelType w:val="hybridMultilevel"/>
    <w:tmpl w:val="C92EA110"/>
    <w:lvl w:ilvl="0" w:tplc="55CCF44C">
      <w:numFmt w:val="bullet"/>
      <w:lvlText w:val=""/>
      <w:lvlJc w:val="left"/>
      <w:pPr>
        <w:ind w:left="1423" w:hanging="360"/>
      </w:pPr>
      <w:rPr>
        <w:rFonts w:ascii="Symbol" w:eastAsia="Times New Roman" w:hAnsi="Symbol" w:hint="default"/>
        <w:b w:val="0"/>
        <w:bCs w:val="0"/>
        <w:i/>
        <w:iCs/>
        <w:color w:val="auto"/>
      </w:rPr>
    </w:lvl>
    <w:lvl w:ilvl="1" w:tplc="040C0003">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47" w15:restartNumberingAfterBreak="0">
    <w:nsid w:val="72C41094"/>
    <w:multiLevelType w:val="multilevel"/>
    <w:tmpl w:val="5F548EA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782452A9"/>
    <w:multiLevelType w:val="multilevel"/>
    <w:tmpl w:val="A6A8E5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8B45509"/>
    <w:multiLevelType w:val="hybridMultilevel"/>
    <w:tmpl w:val="ECDA0C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9F44F3F"/>
    <w:multiLevelType w:val="hybridMultilevel"/>
    <w:tmpl w:val="EA6A8E64"/>
    <w:lvl w:ilvl="0" w:tplc="1680827A">
      <w:start w:val="3"/>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D1A1107"/>
    <w:multiLevelType w:val="hybridMultilevel"/>
    <w:tmpl w:val="FBE4EA74"/>
    <w:lvl w:ilvl="0" w:tplc="4A54C9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5"/>
  </w:num>
  <w:num w:numId="2">
    <w:abstractNumId w:val="22"/>
  </w:num>
  <w:num w:numId="3">
    <w:abstractNumId w:val="47"/>
  </w:num>
  <w:num w:numId="4">
    <w:abstractNumId w:val="48"/>
  </w:num>
  <w:num w:numId="5">
    <w:abstractNumId w:val="51"/>
  </w:num>
  <w:num w:numId="6">
    <w:abstractNumId w:val="39"/>
  </w:num>
  <w:num w:numId="7">
    <w:abstractNumId w:val="18"/>
  </w:num>
  <w:num w:numId="8">
    <w:abstractNumId w:val="26"/>
  </w:num>
  <w:num w:numId="9">
    <w:abstractNumId w:val="14"/>
  </w:num>
  <w:num w:numId="10">
    <w:abstractNumId w:val="49"/>
  </w:num>
  <w:num w:numId="11">
    <w:abstractNumId w:val="21"/>
  </w:num>
  <w:num w:numId="12">
    <w:abstractNumId w:val="9"/>
  </w:num>
  <w:num w:numId="13">
    <w:abstractNumId w:val="10"/>
  </w:num>
  <w:num w:numId="14">
    <w:abstractNumId w:val="13"/>
  </w:num>
  <w:num w:numId="15">
    <w:abstractNumId w:val="35"/>
  </w:num>
  <w:num w:numId="16">
    <w:abstractNumId w:val="3"/>
  </w:num>
  <w:num w:numId="17">
    <w:abstractNumId w:val="41"/>
  </w:num>
  <w:num w:numId="18">
    <w:abstractNumId w:val="1"/>
  </w:num>
  <w:num w:numId="19">
    <w:abstractNumId w:val="50"/>
  </w:num>
  <w:num w:numId="20">
    <w:abstractNumId w:val="29"/>
  </w:num>
  <w:num w:numId="21">
    <w:abstractNumId w:val="30"/>
  </w:num>
  <w:num w:numId="22">
    <w:abstractNumId w:val="36"/>
  </w:num>
  <w:num w:numId="23">
    <w:abstractNumId w:val="31"/>
  </w:num>
  <w:num w:numId="24">
    <w:abstractNumId w:val="33"/>
  </w:num>
  <w:num w:numId="25">
    <w:abstractNumId w:val="43"/>
  </w:num>
  <w:num w:numId="26">
    <w:abstractNumId w:val="28"/>
  </w:num>
  <w:num w:numId="27">
    <w:abstractNumId w:val="15"/>
  </w:num>
  <w:num w:numId="28">
    <w:abstractNumId w:val="38"/>
  </w:num>
  <w:num w:numId="29">
    <w:abstractNumId w:val="8"/>
  </w:num>
  <w:num w:numId="30">
    <w:abstractNumId w:val="42"/>
  </w:num>
  <w:num w:numId="31">
    <w:abstractNumId w:val="23"/>
  </w:num>
  <w:num w:numId="32">
    <w:abstractNumId w:val="5"/>
  </w:num>
  <w:num w:numId="33">
    <w:abstractNumId w:val="12"/>
  </w:num>
  <w:num w:numId="34">
    <w:abstractNumId w:val="27"/>
  </w:num>
  <w:num w:numId="35">
    <w:abstractNumId w:val="24"/>
  </w:num>
  <w:num w:numId="36">
    <w:abstractNumId w:val="0"/>
  </w:num>
  <w:num w:numId="37">
    <w:abstractNumId w:val="44"/>
  </w:num>
  <w:num w:numId="38">
    <w:abstractNumId w:val="4"/>
  </w:num>
  <w:num w:numId="39">
    <w:abstractNumId w:val="2"/>
  </w:num>
  <w:num w:numId="40">
    <w:abstractNumId w:val="11"/>
  </w:num>
  <w:num w:numId="41">
    <w:abstractNumId w:val="32"/>
  </w:num>
  <w:num w:numId="42">
    <w:abstractNumId w:val="34"/>
  </w:num>
  <w:num w:numId="43">
    <w:abstractNumId w:val="6"/>
  </w:num>
  <w:num w:numId="44">
    <w:abstractNumId w:val="17"/>
  </w:num>
  <w:num w:numId="45">
    <w:abstractNumId w:val="46"/>
  </w:num>
  <w:num w:numId="46">
    <w:abstractNumId w:val="7"/>
  </w:num>
  <w:num w:numId="47">
    <w:abstractNumId w:val="20"/>
  </w:num>
  <w:num w:numId="48">
    <w:abstractNumId w:val="25"/>
  </w:num>
  <w:num w:numId="49">
    <w:abstractNumId w:val="16"/>
  </w:num>
  <w:num w:numId="50">
    <w:abstractNumId w:val="19"/>
  </w:num>
  <w:num w:numId="51">
    <w:abstractNumId w:val="40"/>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DC6"/>
    <w:rsid w:val="000031A7"/>
    <w:rsid w:val="000038B8"/>
    <w:rsid w:val="00004CF9"/>
    <w:rsid w:val="00006904"/>
    <w:rsid w:val="00006C7E"/>
    <w:rsid w:val="00012718"/>
    <w:rsid w:val="000129C2"/>
    <w:rsid w:val="00016890"/>
    <w:rsid w:val="0001787A"/>
    <w:rsid w:val="00021874"/>
    <w:rsid w:val="000225DB"/>
    <w:rsid w:val="0002348F"/>
    <w:rsid w:val="00025197"/>
    <w:rsid w:val="00025AC1"/>
    <w:rsid w:val="00026C10"/>
    <w:rsid w:val="00030FA3"/>
    <w:rsid w:val="000315DF"/>
    <w:rsid w:val="00031FCA"/>
    <w:rsid w:val="00033310"/>
    <w:rsid w:val="00034D57"/>
    <w:rsid w:val="000355A5"/>
    <w:rsid w:val="00035A0E"/>
    <w:rsid w:val="00035A91"/>
    <w:rsid w:val="00036905"/>
    <w:rsid w:val="00040771"/>
    <w:rsid w:val="00040D72"/>
    <w:rsid w:val="00040FF5"/>
    <w:rsid w:val="000424D5"/>
    <w:rsid w:val="000431F3"/>
    <w:rsid w:val="000433C8"/>
    <w:rsid w:val="0004399B"/>
    <w:rsid w:val="00043FA7"/>
    <w:rsid w:val="000440BA"/>
    <w:rsid w:val="000442E1"/>
    <w:rsid w:val="00046FEC"/>
    <w:rsid w:val="00047896"/>
    <w:rsid w:val="0005074A"/>
    <w:rsid w:val="00050F8B"/>
    <w:rsid w:val="00056F98"/>
    <w:rsid w:val="00060697"/>
    <w:rsid w:val="00061F3D"/>
    <w:rsid w:val="0006200F"/>
    <w:rsid w:val="00063B1B"/>
    <w:rsid w:val="0006749A"/>
    <w:rsid w:val="000678C6"/>
    <w:rsid w:val="000714DB"/>
    <w:rsid w:val="00071737"/>
    <w:rsid w:val="000731DC"/>
    <w:rsid w:val="0007392A"/>
    <w:rsid w:val="00073A5B"/>
    <w:rsid w:val="000760E5"/>
    <w:rsid w:val="0007661E"/>
    <w:rsid w:val="00076724"/>
    <w:rsid w:val="00080C9E"/>
    <w:rsid w:val="00080D6E"/>
    <w:rsid w:val="00083CF9"/>
    <w:rsid w:val="00083EFE"/>
    <w:rsid w:val="00090973"/>
    <w:rsid w:val="00091457"/>
    <w:rsid w:val="0009467D"/>
    <w:rsid w:val="00096D3E"/>
    <w:rsid w:val="000A05E3"/>
    <w:rsid w:val="000A281A"/>
    <w:rsid w:val="000A63FC"/>
    <w:rsid w:val="000A6F52"/>
    <w:rsid w:val="000B348F"/>
    <w:rsid w:val="000B5082"/>
    <w:rsid w:val="000B5408"/>
    <w:rsid w:val="000B5D63"/>
    <w:rsid w:val="000B60C6"/>
    <w:rsid w:val="000B63F2"/>
    <w:rsid w:val="000B6EF9"/>
    <w:rsid w:val="000B7A34"/>
    <w:rsid w:val="000C2EEE"/>
    <w:rsid w:val="000C5625"/>
    <w:rsid w:val="000C5BEE"/>
    <w:rsid w:val="000C5E87"/>
    <w:rsid w:val="000C6A77"/>
    <w:rsid w:val="000D10C0"/>
    <w:rsid w:val="000D16D1"/>
    <w:rsid w:val="000D1D85"/>
    <w:rsid w:val="000D2F88"/>
    <w:rsid w:val="000D34A2"/>
    <w:rsid w:val="000D52DE"/>
    <w:rsid w:val="000E40E5"/>
    <w:rsid w:val="000E6803"/>
    <w:rsid w:val="000E7700"/>
    <w:rsid w:val="000F048A"/>
    <w:rsid w:val="000F3C3B"/>
    <w:rsid w:val="000F4D40"/>
    <w:rsid w:val="000F4E86"/>
    <w:rsid w:val="000F6758"/>
    <w:rsid w:val="00102812"/>
    <w:rsid w:val="00103272"/>
    <w:rsid w:val="00105857"/>
    <w:rsid w:val="0011013A"/>
    <w:rsid w:val="00110195"/>
    <w:rsid w:val="00110255"/>
    <w:rsid w:val="00110A02"/>
    <w:rsid w:val="001166FD"/>
    <w:rsid w:val="00117844"/>
    <w:rsid w:val="001225E9"/>
    <w:rsid w:val="00125327"/>
    <w:rsid w:val="00125E8D"/>
    <w:rsid w:val="00133D53"/>
    <w:rsid w:val="0014187E"/>
    <w:rsid w:val="001421C0"/>
    <w:rsid w:val="001436B7"/>
    <w:rsid w:val="0014380B"/>
    <w:rsid w:val="00144086"/>
    <w:rsid w:val="00145113"/>
    <w:rsid w:val="0014632B"/>
    <w:rsid w:val="0014734C"/>
    <w:rsid w:val="00151319"/>
    <w:rsid w:val="00152F26"/>
    <w:rsid w:val="0015327E"/>
    <w:rsid w:val="00157383"/>
    <w:rsid w:val="00157712"/>
    <w:rsid w:val="00157AB3"/>
    <w:rsid w:val="00160368"/>
    <w:rsid w:val="001612A5"/>
    <w:rsid w:val="0016412B"/>
    <w:rsid w:val="00167957"/>
    <w:rsid w:val="00171576"/>
    <w:rsid w:val="0017489B"/>
    <w:rsid w:val="00176E9B"/>
    <w:rsid w:val="001773A1"/>
    <w:rsid w:val="00184C37"/>
    <w:rsid w:val="001867D3"/>
    <w:rsid w:val="00192839"/>
    <w:rsid w:val="00194882"/>
    <w:rsid w:val="0019510D"/>
    <w:rsid w:val="00196F98"/>
    <w:rsid w:val="0019715D"/>
    <w:rsid w:val="0019787E"/>
    <w:rsid w:val="00197ED1"/>
    <w:rsid w:val="001A1105"/>
    <w:rsid w:val="001A3FE3"/>
    <w:rsid w:val="001A4C4C"/>
    <w:rsid w:val="001B1A09"/>
    <w:rsid w:val="001B1A2B"/>
    <w:rsid w:val="001B46B9"/>
    <w:rsid w:val="001B56C1"/>
    <w:rsid w:val="001B6644"/>
    <w:rsid w:val="001B7004"/>
    <w:rsid w:val="001B7817"/>
    <w:rsid w:val="001C0774"/>
    <w:rsid w:val="001C3C03"/>
    <w:rsid w:val="001C4641"/>
    <w:rsid w:val="001C6361"/>
    <w:rsid w:val="001C65B3"/>
    <w:rsid w:val="001C6770"/>
    <w:rsid w:val="001D03BE"/>
    <w:rsid w:val="001D08EA"/>
    <w:rsid w:val="001D4350"/>
    <w:rsid w:val="001D45D1"/>
    <w:rsid w:val="001F0062"/>
    <w:rsid w:val="001F2EFB"/>
    <w:rsid w:val="001F707D"/>
    <w:rsid w:val="001F7F84"/>
    <w:rsid w:val="0020106F"/>
    <w:rsid w:val="002017E6"/>
    <w:rsid w:val="00201CB4"/>
    <w:rsid w:val="00203AD4"/>
    <w:rsid w:val="00205506"/>
    <w:rsid w:val="00205F6B"/>
    <w:rsid w:val="00206077"/>
    <w:rsid w:val="00206ACF"/>
    <w:rsid w:val="0020766A"/>
    <w:rsid w:val="00207846"/>
    <w:rsid w:val="00212539"/>
    <w:rsid w:val="00212816"/>
    <w:rsid w:val="002171EB"/>
    <w:rsid w:val="00220301"/>
    <w:rsid w:val="002209B5"/>
    <w:rsid w:val="00225015"/>
    <w:rsid w:val="0022759B"/>
    <w:rsid w:val="00231252"/>
    <w:rsid w:val="00232C75"/>
    <w:rsid w:val="002333ED"/>
    <w:rsid w:val="002340AA"/>
    <w:rsid w:val="00236BD2"/>
    <w:rsid w:val="002376B2"/>
    <w:rsid w:val="00237D59"/>
    <w:rsid w:val="0024167E"/>
    <w:rsid w:val="00246CC6"/>
    <w:rsid w:val="0024772E"/>
    <w:rsid w:val="00247F0C"/>
    <w:rsid w:val="002542AF"/>
    <w:rsid w:val="00256D14"/>
    <w:rsid w:val="00261813"/>
    <w:rsid w:val="002623C8"/>
    <w:rsid w:val="00264B81"/>
    <w:rsid w:val="002710D2"/>
    <w:rsid w:val="002710EA"/>
    <w:rsid w:val="0027159F"/>
    <w:rsid w:val="00272C87"/>
    <w:rsid w:val="0027472B"/>
    <w:rsid w:val="00275653"/>
    <w:rsid w:val="00275BD9"/>
    <w:rsid w:val="00276856"/>
    <w:rsid w:val="00281CC6"/>
    <w:rsid w:val="002830D1"/>
    <w:rsid w:val="00283828"/>
    <w:rsid w:val="00283C0E"/>
    <w:rsid w:val="00291723"/>
    <w:rsid w:val="0029202F"/>
    <w:rsid w:val="00293B56"/>
    <w:rsid w:val="00294D37"/>
    <w:rsid w:val="002A47CF"/>
    <w:rsid w:val="002A6DD9"/>
    <w:rsid w:val="002B16ED"/>
    <w:rsid w:val="002B46E9"/>
    <w:rsid w:val="002B5036"/>
    <w:rsid w:val="002B576E"/>
    <w:rsid w:val="002B5FE6"/>
    <w:rsid w:val="002B6623"/>
    <w:rsid w:val="002B6C68"/>
    <w:rsid w:val="002B71ED"/>
    <w:rsid w:val="002C0530"/>
    <w:rsid w:val="002C521E"/>
    <w:rsid w:val="002C53E9"/>
    <w:rsid w:val="002C6DEA"/>
    <w:rsid w:val="002C7DC1"/>
    <w:rsid w:val="002C7F6C"/>
    <w:rsid w:val="002D1449"/>
    <w:rsid w:val="002D2F61"/>
    <w:rsid w:val="002D3C58"/>
    <w:rsid w:val="002D48B0"/>
    <w:rsid w:val="002D5D6C"/>
    <w:rsid w:val="002D66B5"/>
    <w:rsid w:val="002E66E8"/>
    <w:rsid w:val="002E71CA"/>
    <w:rsid w:val="002F02EC"/>
    <w:rsid w:val="002F03BA"/>
    <w:rsid w:val="002F3881"/>
    <w:rsid w:val="002F39C4"/>
    <w:rsid w:val="002F68B9"/>
    <w:rsid w:val="002F7BFD"/>
    <w:rsid w:val="002F7D1F"/>
    <w:rsid w:val="00301624"/>
    <w:rsid w:val="00303125"/>
    <w:rsid w:val="00303618"/>
    <w:rsid w:val="00303E9E"/>
    <w:rsid w:val="00304442"/>
    <w:rsid w:val="00304E7E"/>
    <w:rsid w:val="003077BA"/>
    <w:rsid w:val="0030792A"/>
    <w:rsid w:val="00307E16"/>
    <w:rsid w:val="00307E26"/>
    <w:rsid w:val="003104C3"/>
    <w:rsid w:val="00312191"/>
    <w:rsid w:val="00315051"/>
    <w:rsid w:val="00322031"/>
    <w:rsid w:val="0032365E"/>
    <w:rsid w:val="00323AED"/>
    <w:rsid w:val="00324255"/>
    <w:rsid w:val="0032464A"/>
    <w:rsid w:val="00326324"/>
    <w:rsid w:val="003349C0"/>
    <w:rsid w:val="00334A1A"/>
    <w:rsid w:val="00336C9C"/>
    <w:rsid w:val="00341B08"/>
    <w:rsid w:val="00347A29"/>
    <w:rsid w:val="00347ADE"/>
    <w:rsid w:val="00350348"/>
    <w:rsid w:val="00350381"/>
    <w:rsid w:val="00352445"/>
    <w:rsid w:val="0035291E"/>
    <w:rsid w:val="00354CB3"/>
    <w:rsid w:val="00355A5D"/>
    <w:rsid w:val="003647CC"/>
    <w:rsid w:val="00364E60"/>
    <w:rsid w:val="00367936"/>
    <w:rsid w:val="003726BC"/>
    <w:rsid w:val="00375964"/>
    <w:rsid w:val="00377C7C"/>
    <w:rsid w:val="0038039C"/>
    <w:rsid w:val="00381668"/>
    <w:rsid w:val="00384965"/>
    <w:rsid w:val="00385C97"/>
    <w:rsid w:val="003874DF"/>
    <w:rsid w:val="00391AFE"/>
    <w:rsid w:val="003929F9"/>
    <w:rsid w:val="00394FF5"/>
    <w:rsid w:val="003A19A2"/>
    <w:rsid w:val="003A1DDC"/>
    <w:rsid w:val="003A511B"/>
    <w:rsid w:val="003A5883"/>
    <w:rsid w:val="003A71DD"/>
    <w:rsid w:val="003B0438"/>
    <w:rsid w:val="003B0DB8"/>
    <w:rsid w:val="003B11D4"/>
    <w:rsid w:val="003B2BE7"/>
    <w:rsid w:val="003B41C3"/>
    <w:rsid w:val="003B43E8"/>
    <w:rsid w:val="003B61FD"/>
    <w:rsid w:val="003B6685"/>
    <w:rsid w:val="003B7F14"/>
    <w:rsid w:val="003C24CD"/>
    <w:rsid w:val="003C3770"/>
    <w:rsid w:val="003C5F31"/>
    <w:rsid w:val="003C6847"/>
    <w:rsid w:val="003D270F"/>
    <w:rsid w:val="003D27D8"/>
    <w:rsid w:val="003D48C0"/>
    <w:rsid w:val="003D53F5"/>
    <w:rsid w:val="003D6233"/>
    <w:rsid w:val="003E1BA9"/>
    <w:rsid w:val="003E2D46"/>
    <w:rsid w:val="003E3C85"/>
    <w:rsid w:val="003E5FFA"/>
    <w:rsid w:val="003E64F4"/>
    <w:rsid w:val="004011DF"/>
    <w:rsid w:val="00402FEE"/>
    <w:rsid w:val="00403456"/>
    <w:rsid w:val="00404A74"/>
    <w:rsid w:val="00406332"/>
    <w:rsid w:val="00406A1B"/>
    <w:rsid w:val="00406E61"/>
    <w:rsid w:val="00407487"/>
    <w:rsid w:val="0040758A"/>
    <w:rsid w:val="00407F82"/>
    <w:rsid w:val="00410681"/>
    <w:rsid w:val="00412BF3"/>
    <w:rsid w:val="00414C56"/>
    <w:rsid w:val="00415BCF"/>
    <w:rsid w:val="0042070D"/>
    <w:rsid w:val="0042175A"/>
    <w:rsid w:val="0042520E"/>
    <w:rsid w:val="004271A0"/>
    <w:rsid w:val="00427260"/>
    <w:rsid w:val="00433052"/>
    <w:rsid w:val="00434A62"/>
    <w:rsid w:val="00434F71"/>
    <w:rsid w:val="004354EF"/>
    <w:rsid w:val="0043636B"/>
    <w:rsid w:val="004375FA"/>
    <w:rsid w:val="0044009C"/>
    <w:rsid w:val="00440576"/>
    <w:rsid w:val="00443437"/>
    <w:rsid w:val="00444643"/>
    <w:rsid w:val="00445CDE"/>
    <w:rsid w:val="00450BF3"/>
    <w:rsid w:val="00452C63"/>
    <w:rsid w:val="00453322"/>
    <w:rsid w:val="00454255"/>
    <w:rsid w:val="0045466A"/>
    <w:rsid w:val="00454FDD"/>
    <w:rsid w:val="004556A6"/>
    <w:rsid w:val="00457B45"/>
    <w:rsid w:val="00464B45"/>
    <w:rsid w:val="0046534E"/>
    <w:rsid w:val="00467258"/>
    <w:rsid w:val="0047103B"/>
    <w:rsid w:val="004710A9"/>
    <w:rsid w:val="00475744"/>
    <w:rsid w:val="00477C5F"/>
    <w:rsid w:val="00477D04"/>
    <w:rsid w:val="00482E32"/>
    <w:rsid w:val="0048442F"/>
    <w:rsid w:val="0048539E"/>
    <w:rsid w:val="00486ED6"/>
    <w:rsid w:val="004873BD"/>
    <w:rsid w:val="00487493"/>
    <w:rsid w:val="00490991"/>
    <w:rsid w:val="00490FF6"/>
    <w:rsid w:val="00492937"/>
    <w:rsid w:val="004A249D"/>
    <w:rsid w:val="004A4DFB"/>
    <w:rsid w:val="004A541E"/>
    <w:rsid w:val="004A638D"/>
    <w:rsid w:val="004B20CB"/>
    <w:rsid w:val="004B5399"/>
    <w:rsid w:val="004B56D2"/>
    <w:rsid w:val="004B5B1E"/>
    <w:rsid w:val="004C1CD9"/>
    <w:rsid w:val="004C5D4B"/>
    <w:rsid w:val="004C6C72"/>
    <w:rsid w:val="004D07CF"/>
    <w:rsid w:val="004D2D13"/>
    <w:rsid w:val="004D2F76"/>
    <w:rsid w:val="004D5980"/>
    <w:rsid w:val="004D5C1B"/>
    <w:rsid w:val="004D61BE"/>
    <w:rsid w:val="004E0665"/>
    <w:rsid w:val="004E17A8"/>
    <w:rsid w:val="004E3898"/>
    <w:rsid w:val="004E4761"/>
    <w:rsid w:val="004E4F08"/>
    <w:rsid w:val="004E6B90"/>
    <w:rsid w:val="004E7045"/>
    <w:rsid w:val="004F0F49"/>
    <w:rsid w:val="004F22E5"/>
    <w:rsid w:val="004F4507"/>
    <w:rsid w:val="004F6ADD"/>
    <w:rsid w:val="004F7E75"/>
    <w:rsid w:val="004F7F91"/>
    <w:rsid w:val="0050158B"/>
    <w:rsid w:val="00502041"/>
    <w:rsid w:val="00502E9E"/>
    <w:rsid w:val="00504E8C"/>
    <w:rsid w:val="0050660A"/>
    <w:rsid w:val="00506BBC"/>
    <w:rsid w:val="005073D6"/>
    <w:rsid w:val="005107E7"/>
    <w:rsid w:val="005127A6"/>
    <w:rsid w:val="005143B5"/>
    <w:rsid w:val="00517167"/>
    <w:rsid w:val="00527EA3"/>
    <w:rsid w:val="00533F84"/>
    <w:rsid w:val="0053405F"/>
    <w:rsid w:val="00534BBF"/>
    <w:rsid w:val="00536985"/>
    <w:rsid w:val="00540119"/>
    <w:rsid w:val="0054026A"/>
    <w:rsid w:val="00541B96"/>
    <w:rsid w:val="005429D4"/>
    <w:rsid w:val="005441EE"/>
    <w:rsid w:val="005442DA"/>
    <w:rsid w:val="005506D2"/>
    <w:rsid w:val="00552A46"/>
    <w:rsid w:val="00553127"/>
    <w:rsid w:val="0055495D"/>
    <w:rsid w:val="00554B21"/>
    <w:rsid w:val="00555A71"/>
    <w:rsid w:val="0055718A"/>
    <w:rsid w:val="0056148C"/>
    <w:rsid w:val="00562B18"/>
    <w:rsid w:val="00562DA0"/>
    <w:rsid w:val="0056355D"/>
    <w:rsid w:val="00564749"/>
    <w:rsid w:val="005656E5"/>
    <w:rsid w:val="00566D13"/>
    <w:rsid w:val="00567B21"/>
    <w:rsid w:val="00570DC1"/>
    <w:rsid w:val="0057261A"/>
    <w:rsid w:val="00576527"/>
    <w:rsid w:val="005773E9"/>
    <w:rsid w:val="005801E7"/>
    <w:rsid w:val="00582EC8"/>
    <w:rsid w:val="0058575F"/>
    <w:rsid w:val="005857C5"/>
    <w:rsid w:val="00586A90"/>
    <w:rsid w:val="00586CEA"/>
    <w:rsid w:val="005918B0"/>
    <w:rsid w:val="00596DD8"/>
    <w:rsid w:val="00597409"/>
    <w:rsid w:val="005A1164"/>
    <w:rsid w:val="005A3546"/>
    <w:rsid w:val="005A3F58"/>
    <w:rsid w:val="005A59AB"/>
    <w:rsid w:val="005B0739"/>
    <w:rsid w:val="005B14EB"/>
    <w:rsid w:val="005B1F02"/>
    <w:rsid w:val="005B22B2"/>
    <w:rsid w:val="005B470C"/>
    <w:rsid w:val="005B5296"/>
    <w:rsid w:val="005B62C9"/>
    <w:rsid w:val="005B64AD"/>
    <w:rsid w:val="005B6C98"/>
    <w:rsid w:val="005B6DE1"/>
    <w:rsid w:val="005C0B44"/>
    <w:rsid w:val="005C31C5"/>
    <w:rsid w:val="005C349C"/>
    <w:rsid w:val="005C6320"/>
    <w:rsid w:val="005C7AF6"/>
    <w:rsid w:val="005D04B7"/>
    <w:rsid w:val="005D2341"/>
    <w:rsid w:val="005D2B1B"/>
    <w:rsid w:val="005D2BA7"/>
    <w:rsid w:val="005D484B"/>
    <w:rsid w:val="005D5B59"/>
    <w:rsid w:val="005D7D9D"/>
    <w:rsid w:val="005E0CC4"/>
    <w:rsid w:val="005E1927"/>
    <w:rsid w:val="005E247D"/>
    <w:rsid w:val="005E3852"/>
    <w:rsid w:val="005E4020"/>
    <w:rsid w:val="005E4FFE"/>
    <w:rsid w:val="005E7FF5"/>
    <w:rsid w:val="005F2B28"/>
    <w:rsid w:val="005F4C9A"/>
    <w:rsid w:val="005F555E"/>
    <w:rsid w:val="005F5FEF"/>
    <w:rsid w:val="005F6B71"/>
    <w:rsid w:val="005F714E"/>
    <w:rsid w:val="00607CA4"/>
    <w:rsid w:val="0061063D"/>
    <w:rsid w:val="006120A3"/>
    <w:rsid w:val="006123DE"/>
    <w:rsid w:val="00615C1B"/>
    <w:rsid w:val="00615F0D"/>
    <w:rsid w:val="00616F38"/>
    <w:rsid w:val="00620E6A"/>
    <w:rsid w:val="00623E8F"/>
    <w:rsid w:val="0062455F"/>
    <w:rsid w:val="00625AE8"/>
    <w:rsid w:val="006266E5"/>
    <w:rsid w:val="00627362"/>
    <w:rsid w:val="00630BA3"/>
    <w:rsid w:val="00631E79"/>
    <w:rsid w:val="00632A47"/>
    <w:rsid w:val="0063303B"/>
    <w:rsid w:val="0063549D"/>
    <w:rsid w:val="00635DC2"/>
    <w:rsid w:val="00635E5B"/>
    <w:rsid w:val="00641106"/>
    <w:rsid w:val="00641ACB"/>
    <w:rsid w:val="00645AA0"/>
    <w:rsid w:val="00647556"/>
    <w:rsid w:val="006620A9"/>
    <w:rsid w:val="00664267"/>
    <w:rsid w:val="00666465"/>
    <w:rsid w:val="00667B62"/>
    <w:rsid w:val="006709ED"/>
    <w:rsid w:val="00670D5D"/>
    <w:rsid w:val="00670DB1"/>
    <w:rsid w:val="006715F3"/>
    <w:rsid w:val="00673BCB"/>
    <w:rsid w:val="00675634"/>
    <w:rsid w:val="00681C88"/>
    <w:rsid w:val="00686FAE"/>
    <w:rsid w:val="006914A6"/>
    <w:rsid w:val="00691737"/>
    <w:rsid w:val="006939A8"/>
    <w:rsid w:val="00695C9D"/>
    <w:rsid w:val="006A0917"/>
    <w:rsid w:val="006A214E"/>
    <w:rsid w:val="006A2303"/>
    <w:rsid w:val="006A6E5F"/>
    <w:rsid w:val="006A7221"/>
    <w:rsid w:val="006B03EB"/>
    <w:rsid w:val="006B0E7E"/>
    <w:rsid w:val="006B11F8"/>
    <w:rsid w:val="006B309F"/>
    <w:rsid w:val="006B5CEC"/>
    <w:rsid w:val="006B6C7E"/>
    <w:rsid w:val="006C4413"/>
    <w:rsid w:val="006C7510"/>
    <w:rsid w:val="006D47EF"/>
    <w:rsid w:val="006D5456"/>
    <w:rsid w:val="006E1B2C"/>
    <w:rsid w:val="006E3E82"/>
    <w:rsid w:val="006E401D"/>
    <w:rsid w:val="006F2583"/>
    <w:rsid w:val="006F2B31"/>
    <w:rsid w:val="006F6A7B"/>
    <w:rsid w:val="00703603"/>
    <w:rsid w:val="00712D6E"/>
    <w:rsid w:val="00717597"/>
    <w:rsid w:val="00721F7C"/>
    <w:rsid w:val="007253FB"/>
    <w:rsid w:val="00726A7E"/>
    <w:rsid w:val="00730311"/>
    <w:rsid w:val="00730FBF"/>
    <w:rsid w:val="00732FEA"/>
    <w:rsid w:val="007406E3"/>
    <w:rsid w:val="007407BD"/>
    <w:rsid w:val="007431DD"/>
    <w:rsid w:val="0074645B"/>
    <w:rsid w:val="00747DFE"/>
    <w:rsid w:val="00750BAA"/>
    <w:rsid w:val="00750F44"/>
    <w:rsid w:val="007619B7"/>
    <w:rsid w:val="00764E68"/>
    <w:rsid w:val="0076625E"/>
    <w:rsid w:val="007670EF"/>
    <w:rsid w:val="007708F5"/>
    <w:rsid w:val="0077136E"/>
    <w:rsid w:val="00771B89"/>
    <w:rsid w:val="007744C9"/>
    <w:rsid w:val="00774E47"/>
    <w:rsid w:val="00775C1E"/>
    <w:rsid w:val="007762E7"/>
    <w:rsid w:val="00777E9B"/>
    <w:rsid w:val="0078125F"/>
    <w:rsid w:val="00781AC7"/>
    <w:rsid w:val="0078208F"/>
    <w:rsid w:val="00785315"/>
    <w:rsid w:val="00785DA9"/>
    <w:rsid w:val="0078705F"/>
    <w:rsid w:val="00790B11"/>
    <w:rsid w:val="00790EE5"/>
    <w:rsid w:val="00791AAC"/>
    <w:rsid w:val="00792337"/>
    <w:rsid w:val="00793956"/>
    <w:rsid w:val="007945F9"/>
    <w:rsid w:val="00795741"/>
    <w:rsid w:val="00796A1E"/>
    <w:rsid w:val="0079781C"/>
    <w:rsid w:val="007A2BC3"/>
    <w:rsid w:val="007A2CFA"/>
    <w:rsid w:val="007A7B4A"/>
    <w:rsid w:val="007B122E"/>
    <w:rsid w:val="007B28D2"/>
    <w:rsid w:val="007B3A85"/>
    <w:rsid w:val="007B481E"/>
    <w:rsid w:val="007B54A2"/>
    <w:rsid w:val="007C5D25"/>
    <w:rsid w:val="007C76E1"/>
    <w:rsid w:val="007D006D"/>
    <w:rsid w:val="007D213B"/>
    <w:rsid w:val="007D3410"/>
    <w:rsid w:val="007D4BA9"/>
    <w:rsid w:val="007D56F7"/>
    <w:rsid w:val="007D6BF6"/>
    <w:rsid w:val="007E0ECE"/>
    <w:rsid w:val="007E2521"/>
    <w:rsid w:val="007E3885"/>
    <w:rsid w:val="007E5253"/>
    <w:rsid w:val="007E5430"/>
    <w:rsid w:val="007E7621"/>
    <w:rsid w:val="007F0322"/>
    <w:rsid w:val="007F5672"/>
    <w:rsid w:val="007F7D76"/>
    <w:rsid w:val="00801FD2"/>
    <w:rsid w:val="00802B24"/>
    <w:rsid w:val="0080352F"/>
    <w:rsid w:val="0081108C"/>
    <w:rsid w:val="0081255A"/>
    <w:rsid w:val="0081434D"/>
    <w:rsid w:val="0081511C"/>
    <w:rsid w:val="0081592C"/>
    <w:rsid w:val="008160AC"/>
    <w:rsid w:val="00816493"/>
    <w:rsid w:val="00820930"/>
    <w:rsid w:val="0082359A"/>
    <w:rsid w:val="00831D0E"/>
    <w:rsid w:val="00831F80"/>
    <w:rsid w:val="00833719"/>
    <w:rsid w:val="00835714"/>
    <w:rsid w:val="00836832"/>
    <w:rsid w:val="00836FCF"/>
    <w:rsid w:val="00837111"/>
    <w:rsid w:val="0084190E"/>
    <w:rsid w:val="00841E28"/>
    <w:rsid w:val="008421CE"/>
    <w:rsid w:val="008427F8"/>
    <w:rsid w:val="00843B53"/>
    <w:rsid w:val="00846C93"/>
    <w:rsid w:val="00847D01"/>
    <w:rsid w:val="00852537"/>
    <w:rsid w:val="00856877"/>
    <w:rsid w:val="00861A15"/>
    <w:rsid w:val="00864756"/>
    <w:rsid w:val="00864A26"/>
    <w:rsid w:val="008656F3"/>
    <w:rsid w:val="00866FBC"/>
    <w:rsid w:val="00872EB4"/>
    <w:rsid w:val="008748B3"/>
    <w:rsid w:val="00875694"/>
    <w:rsid w:val="00875C87"/>
    <w:rsid w:val="00876952"/>
    <w:rsid w:val="00876FDA"/>
    <w:rsid w:val="00880058"/>
    <w:rsid w:val="00880645"/>
    <w:rsid w:val="00881707"/>
    <w:rsid w:val="00883DDD"/>
    <w:rsid w:val="00887C5C"/>
    <w:rsid w:val="008916AA"/>
    <w:rsid w:val="00892B19"/>
    <w:rsid w:val="00892E27"/>
    <w:rsid w:val="0089432A"/>
    <w:rsid w:val="00895006"/>
    <w:rsid w:val="00896F45"/>
    <w:rsid w:val="008978C5"/>
    <w:rsid w:val="008A1034"/>
    <w:rsid w:val="008A12BA"/>
    <w:rsid w:val="008A1FE9"/>
    <w:rsid w:val="008A2CF5"/>
    <w:rsid w:val="008B07DE"/>
    <w:rsid w:val="008B499C"/>
    <w:rsid w:val="008B5802"/>
    <w:rsid w:val="008B58A9"/>
    <w:rsid w:val="008C1DF1"/>
    <w:rsid w:val="008C32A6"/>
    <w:rsid w:val="008D1F8E"/>
    <w:rsid w:val="008D2232"/>
    <w:rsid w:val="008D4367"/>
    <w:rsid w:val="008D4B00"/>
    <w:rsid w:val="008D4FCE"/>
    <w:rsid w:val="008D525A"/>
    <w:rsid w:val="008D5E79"/>
    <w:rsid w:val="008D66EA"/>
    <w:rsid w:val="008E077C"/>
    <w:rsid w:val="008E2AA1"/>
    <w:rsid w:val="008E641F"/>
    <w:rsid w:val="008F3842"/>
    <w:rsid w:val="008F7D15"/>
    <w:rsid w:val="00900592"/>
    <w:rsid w:val="0090581F"/>
    <w:rsid w:val="00906C12"/>
    <w:rsid w:val="00906CCC"/>
    <w:rsid w:val="00910F16"/>
    <w:rsid w:val="009117B4"/>
    <w:rsid w:val="0091342B"/>
    <w:rsid w:val="009151B5"/>
    <w:rsid w:val="009178ED"/>
    <w:rsid w:val="00920E8E"/>
    <w:rsid w:val="00921DD6"/>
    <w:rsid w:val="00930D6E"/>
    <w:rsid w:val="00930ED7"/>
    <w:rsid w:val="00933A36"/>
    <w:rsid w:val="00935A68"/>
    <w:rsid w:val="00936FB4"/>
    <w:rsid w:val="009406A8"/>
    <w:rsid w:val="00941FC2"/>
    <w:rsid w:val="00943CD3"/>
    <w:rsid w:val="009479FA"/>
    <w:rsid w:val="00953544"/>
    <w:rsid w:val="009555FD"/>
    <w:rsid w:val="00956580"/>
    <w:rsid w:val="00957EDB"/>
    <w:rsid w:val="0096438F"/>
    <w:rsid w:val="00966DF8"/>
    <w:rsid w:val="00966EFE"/>
    <w:rsid w:val="00970FAE"/>
    <w:rsid w:val="00971306"/>
    <w:rsid w:val="00972907"/>
    <w:rsid w:val="009735B7"/>
    <w:rsid w:val="00977E28"/>
    <w:rsid w:val="00983545"/>
    <w:rsid w:val="00983AA2"/>
    <w:rsid w:val="00990E01"/>
    <w:rsid w:val="00990FC3"/>
    <w:rsid w:val="0099145C"/>
    <w:rsid w:val="00991E30"/>
    <w:rsid w:val="009927C4"/>
    <w:rsid w:val="00993689"/>
    <w:rsid w:val="00993D73"/>
    <w:rsid w:val="00995C6A"/>
    <w:rsid w:val="009A1AFC"/>
    <w:rsid w:val="009A1BD1"/>
    <w:rsid w:val="009A30CC"/>
    <w:rsid w:val="009A48F8"/>
    <w:rsid w:val="009A6085"/>
    <w:rsid w:val="009A6E22"/>
    <w:rsid w:val="009A77A7"/>
    <w:rsid w:val="009A7E9F"/>
    <w:rsid w:val="009B09D9"/>
    <w:rsid w:val="009B19A1"/>
    <w:rsid w:val="009B2268"/>
    <w:rsid w:val="009B4BB2"/>
    <w:rsid w:val="009B4BFF"/>
    <w:rsid w:val="009B4D30"/>
    <w:rsid w:val="009B76F6"/>
    <w:rsid w:val="009B7E14"/>
    <w:rsid w:val="009C493D"/>
    <w:rsid w:val="009C517E"/>
    <w:rsid w:val="009C5952"/>
    <w:rsid w:val="009C6111"/>
    <w:rsid w:val="009C639F"/>
    <w:rsid w:val="009C6D9D"/>
    <w:rsid w:val="009D3E2D"/>
    <w:rsid w:val="009D592C"/>
    <w:rsid w:val="009E214D"/>
    <w:rsid w:val="009E26DF"/>
    <w:rsid w:val="009E2AE7"/>
    <w:rsid w:val="009E3880"/>
    <w:rsid w:val="009E601E"/>
    <w:rsid w:val="009E769A"/>
    <w:rsid w:val="009F199C"/>
    <w:rsid w:val="009F3416"/>
    <w:rsid w:val="009F3B6B"/>
    <w:rsid w:val="009F73AA"/>
    <w:rsid w:val="009F7614"/>
    <w:rsid w:val="009F7F87"/>
    <w:rsid w:val="00A0208C"/>
    <w:rsid w:val="00A02132"/>
    <w:rsid w:val="00A04158"/>
    <w:rsid w:val="00A05C34"/>
    <w:rsid w:val="00A05D14"/>
    <w:rsid w:val="00A10DF1"/>
    <w:rsid w:val="00A117ED"/>
    <w:rsid w:val="00A118C7"/>
    <w:rsid w:val="00A138F3"/>
    <w:rsid w:val="00A148BB"/>
    <w:rsid w:val="00A14D33"/>
    <w:rsid w:val="00A233A0"/>
    <w:rsid w:val="00A2631A"/>
    <w:rsid w:val="00A267D4"/>
    <w:rsid w:val="00A26EC1"/>
    <w:rsid w:val="00A335BF"/>
    <w:rsid w:val="00A36746"/>
    <w:rsid w:val="00A36942"/>
    <w:rsid w:val="00A46E54"/>
    <w:rsid w:val="00A525B2"/>
    <w:rsid w:val="00A53071"/>
    <w:rsid w:val="00A5330E"/>
    <w:rsid w:val="00A546FC"/>
    <w:rsid w:val="00A55071"/>
    <w:rsid w:val="00A55ABE"/>
    <w:rsid w:val="00A6002A"/>
    <w:rsid w:val="00A60EE2"/>
    <w:rsid w:val="00A61092"/>
    <w:rsid w:val="00A615CD"/>
    <w:rsid w:val="00A63150"/>
    <w:rsid w:val="00A67337"/>
    <w:rsid w:val="00A71A46"/>
    <w:rsid w:val="00A71B0B"/>
    <w:rsid w:val="00A738CD"/>
    <w:rsid w:val="00A74DCB"/>
    <w:rsid w:val="00A759E2"/>
    <w:rsid w:val="00A8756A"/>
    <w:rsid w:val="00A93099"/>
    <w:rsid w:val="00A96E17"/>
    <w:rsid w:val="00AA1680"/>
    <w:rsid w:val="00AA1C52"/>
    <w:rsid w:val="00AA3206"/>
    <w:rsid w:val="00AA6EC3"/>
    <w:rsid w:val="00AB0C0F"/>
    <w:rsid w:val="00AB0F81"/>
    <w:rsid w:val="00AB27D0"/>
    <w:rsid w:val="00AC29CD"/>
    <w:rsid w:val="00AC3DDF"/>
    <w:rsid w:val="00AC5A9A"/>
    <w:rsid w:val="00AC6BA8"/>
    <w:rsid w:val="00AC7054"/>
    <w:rsid w:val="00AD2A78"/>
    <w:rsid w:val="00AD2EA4"/>
    <w:rsid w:val="00AD443E"/>
    <w:rsid w:val="00AD6986"/>
    <w:rsid w:val="00AD7869"/>
    <w:rsid w:val="00AE0045"/>
    <w:rsid w:val="00AE1CFC"/>
    <w:rsid w:val="00AE2565"/>
    <w:rsid w:val="00AE52DC"/>
    <w:rsid w:val="00AE57FC"/>
    <w:rsid w:val="00AF023D"/>
    <w:rsid w:val="00AF1667"/>
    <w:rsid w:val="00AF24B5"/>
    <w:rsid w:val="00AF261E"/>
    <w:rsid w:val="00AF6D5C"/>
    <w:rsid w:val="00B002E3"/>
    <w:rsid w:val="00B02613"/>
    <w:rsid w:val="00B0265C"/>
    <w:rsid w:val="00B026AE"/>
    <w:rsid w:val="00B04B1D"/>
    <w:rsid w:val="00B04FA8"/>
    <w:rsid w:val="00B0551A"/>
    <w:rsid w:val="00B10696"/>
    <w:rsid w:val="00B1113D"/>
    <w:rsid w:val="00B116D2"/>
    <w:rsid w:val="00B12E82"/>
    <w:rsid w:val="00B15566"/>
    <w:rsid w:val="00B17050"/>
    <w:rsid w:val="00B23DEE"/>
    <w:rsid w:val="00B24F5B"/>
    <w:rsid w:val="00B251D5"/>
    <w:rsid w:val="00B31DD0"/>
    <w:rsid w:val="00B33E91"/>
    <w:rsid w:val="00B3527A"/>
    <w:rsid w:val="00B36394"/>
    <w:rsid w:val="00B42740"/>
    <w:rsid w:val="00B42CFE"/>
    <w:rsid w:val="00B43817"/>
    <w:rsid w:val="00B451C7"/>
    <w:rsid w:val="00B53B0E"/>
    <w:rsid w:val="00B54333"/>
    <w:rsid w:val="00B544AD"/>
    <w:rsid w:val="00B54B07"/>
    <w:rsid w:val="00B5720E"/>
    <w:rsid w:val="00B62630"/>
    <w:rsid w:val="00B62AD1"/>
    <w:rsid w:val="00B65785"/>
    <w:rsid w:val="00B67195"/>
    <w:rsid w:val="00B76361"/>
    <w:rsid w:val="00B80515"/>
    <w:rsid w:val="00B853F0"/>
    <w:rsid w:val="00B86F80"/>
    <w:rsid w:val="00B871E4"/>
    <w:rsid w:val="00B87561"/>
    <w:rsid w:val="00B87D11"/>
    <w:rsid w:val="00B90C98"/>
    <w:rsid w:val="00B95473"/>
    <w:rsid w:val="00B95E57"/>
    <w:rsid w:val="00B96F0F"/>
    <w:rsid w:val="00B9749C"/>
    <w:rsid w:val="00BA00C2"/>
    <w:rsid w:val="00BA36D9"/>
    <w:rsid w:val="00BA3DC6"/>
    <w:rsid w:val="00BA61EF"/>
    <w:rsid w:val="00BB02DC"/>
    <w:rsid w:val="00BB1D61"/>
    <w:rsid w:val="00BB247D"/>
    <w:rsid w:val="00BB326B"/>
    <w:rsid w:val="00BB4A05"/>
    <w:rsid w:val="00BB7894"/>
    <w:rsid w:val="00BC072C"/>
    <w:rsid w:val="00BC24A0"/>
    <w:rsid w:val="00BC317C"/>
    <w:rsid w:val="00BC3D4D"/>
    <w:rsid w:val="00BD0090"/>
    <w:rsid w:val="00BD0165"/>
    <w:rsid w:val="00BD0629"/>
    <w:rsid w:val="00BD13CF"/>
    <w:rsid w:val="00BD274E"/>
    <w:rsid w:val="00BD5C78"/>
    <w:rsid w:val="00BE082B"/>
    <w:rsid w:val="00BE2B4B"/>
    <w:rsid w:val="00BE2BC7"/>
    <w:rsid w:val="00BE3EAE"/>
    <w:rsid w:val="00BE4402"/>
    <w:rsid w:val="00BE522C"/>
    <w:rsid w:val="00BE5988"/>
    <w:rsid w:val="00BE7FB1"/>
    <w:rsid w:val="00BF3CA7"/>
    <w:rsid w:val="00BF6D05"/>
    <w:rsid w:val="00BF79EA"/>
    <w:rsid w:val="00C001D8"/>
    <w:rsid w:val="00C02D56"/>
    <w:rsid w:val="00C04BED"/>
    <w:rsid w:val="00C07786"/>
    <w:rsid w:val="00C16B8B"/>
    <w:rsid w:val="00C20487"/>
    <w:rsid w:val="00C21F24"/>
    <w:rsid w:val="00C23C33"/>
    <w:rsid w:val="00C23CCA"/>
    <w:rsid w:val="00C25111"/>
    <w:rsid w:val="00C25E22"/>
    <w:rsid w:val="00C32BCE"/>
    <w:rsid w:val="00C3686C"/>
    <w:rsid w:val="00C36DC5"/>
    <w:rsid w:val="00C371F5"/>
    <w:rsid w:val="00C43CCA"/>
    <w:rsid w:val="00C44525"/>
    <w:rsid w:val="00C4558F"/>
    <w:rsid w:val="00C45D2C"/>
    <w:rsid w:val="00C4618F"/>
    <w:rsid w:val="00C4683F"/>
    <w:rsid w:val="00C4760E"/>
    <w:rsid w:val="00C5048E"/>
    <w:rsid w:val="00C51D0D"/>
    <w:rsid w:val="00C5461F"/>
    <w:rsid w:val="00C56FF6"/>
    <w:rsid w:val="00C61439"/>
    <w:rsid w:val="00C6266F"/>
    <w:rsid w:val="00C64867"/>
    <w:rsid w:val="00C65972"/>
    <w:rsid w:val="00C66464"/>
    <w:rsid w:val="00C71246"/>
    <w:rsid w:val="00C71FA9"/>
    <w:rsid w:val="00C7258B"/>
    <w:rsid w:val="00C73250"/>
    <w:rsid w:val="00C737F5"/>
    <w:rsid w:val="00C75122"/>
    <w:rsid w:val="00C77566"/>
    <w:rsid w:val="00C82CC2"/>
    <w:rsid w:val="00C834E1"/>
    <w:rsid w:val="00C85E1E"/>
    <w:rsid w:val="00C86844"/>
    <w:rsid w:val="00C90674"/>
    <w:rsid w:val="00C92DD3"/>
    <w:rsid w:val="00C9351C"/>
    <w:rsid w:val="00C9419B"/>
    <w:rsid w:val="00C94F0F"/>
    <w:rsid w:val="00CA1153"/>
    <w:rsid w:val="00CA1D81"/>
    <w:rsid w:val="00CA2C38"/>
    <w:rsid w:val="00CB0394"/>
    <w:rsid w:val="00CB48EF"/>
    <w:rsid w:val="00CB535F"/>
    <w:rsid w:val="00CB7F9F"/>
    <w:rsid w:val="00CC08A5"/>
    <w:rsid w:val="00CC3017"/>
    <w:rsid w:val="00CC3FF4"/>
    <w:rsid w:val="00CC4EBF"/>
    <w:rsid w:val="00CC5FC1"/>
    <w:rsid w:val="00CC62FE"/>
    <w:rsid w:val="00CD38CC"/>
    <w:rsid w:val="00CD41B5"/>
    <w:rsid w:val="00CD423F"/>
    <w:rsid w:val="00CE016E"/>
    <w:rsid w:val="00CE1007"/>
    <w:rsid w:val="00CE174D"/>
    <w:rsid w:val="00CE21CE"/>
    <w:rsid w:val="00CE299E"/>
    <w:rsid w:val="00CE38A7"/>
    <w:rsid w:val="00CE3F26"/>
    <w:rsid w:val="00CE410D"/>
    <w:rsid w:val="00CE64DE"/>
    <w:rsid w:val="00CF2913"/>
    <w:rsid w:val="00CF442A"/>
    <w:rsid w:val="00CF49E1"/>
    <w:rsid w:val="00CF517E"/>
    <w:rsid w:val="00CF5892"/>
    <w:rsid w:val="00CF6641"/>
    <w:rsid w:val="00D007BD"/>
    <w:rsid w:val="00D03E14"/>
    <w:rsid w:val="00D04936"/>
    <w:rsid w:val="00D11D6B"/>
    <w:rsid w:val="00D120D6"/>
    <w:rsid w:val="00D12773"/>
    <w:rsid w:val="00D12EE9"/>
    <w:rsid w:val="00D20181"/>
    <w:rsid w:val="00D213D1"/>
    <w:rsid w:val="00D22B9D"/>
    <w:rsid w:val="00D23F08"/>
    <w:rsid w:val="00D308B7"/>
    <w:rsid w:val="00D31357"/>
    <w:rsid w:val="00D314EB"/>
    <w:rsid w:val="00D3655E"/>
    <w:rsid w:val="00D424DE"/>
    <w:rsid w:val="00D47B96"/>
    <w:rsid w:val="00D5003E"/>
    <w:rsid w:val="00D52210"/>
    <w:rsid w:val="00D5225C"/>
    <w:rsid w:val="00D52FD8"/>
    <w:rsid w:val="00D534F5"/>
    <w:rsid w:val="00D538D4"/>
    <w:rsid w:val="00D54A87"/>
    <w:rsid w:val="00D57190"/>
    <w:rsid w:val="00D57C56"/>
    <w:rsid w:val="00D6196D"/>
    <w:rsid w:val="00D63D90"/>
    <w:rsid w:val="00D704EB"/>
    <w:rsid w:val="00D73FEE"/>
    <w:rsid w:val="00D74855"/>
    <w:rsid w:val="00D74EF2"/>
    <w:rsid w:val="00D76EFA"/>
    <w:rsid w:val="00D772C1"/>
    <w:rsid w:val="00D8064C"/>
    <w:rsid w:val="00D80AD1"/>
    <w:rsid w:val="00D81A07"/>
    <w:rsid w:val="00D81B72"/>
    <w:rsid w:val="00D81E93"/>
    <w:rsid w:val="00D8312E"/>
    <w:rsid w:val="00D909C9"/>
    <w:rsid w:val="00D943BC"/>
    <w:rsid w:val="00D96013"/>
    <w:rsid w:val="00D9782B"/>
    <w:rsid w:val="00DA30FE"/>
    <w:rsid w:val="00DA357F"/>
    <w:rsid w:val="00DA4F8F"/>
    <w:rsid w:val="00DA686D"/>
    <w:rsid w:val="00DA7359"/>
    <w:rsid w:val="00DA77A6"/>
    <w:rsid w:val="00DB4695"/>
    <w:rsid w:val="00DC1CF1"/>
    <w:rsid w:val="00DC2F56"/>
    <w:rsid w:val="00DC60D8"/>
    <w:rsid w:val="00DC6A98"/>
    <w:rsid w:val="00DD3CF6"/>
    <w:rsid w:val="00DD4E35"/>
    <w:rsid w:val="00DD6289"/>
    <w:rsid w:val="00DD6C17"/>
    <w:rsid w:val="00DE029F"/>
    <w:rsid w:val="00DE0562"/>
    <w:rsid w:val="00DE08BD"/>
    <w:rsid w:val="00DE1771"/>
    <w:rsid w:val="00DE2DE0"/>
    <w:rsid w:val="00DE2E01"/>
    <w:rsid w:val="00DE3E91"/>
    <w:rsid w:val="00DE4354"/>
    <w:rsid w:val="00DE76F5"/>
    <w:rsid w:val="00DF13D2"/>
    <w:rsid w:val="00DF22AA"/>
    <w:rsid w:val="00DF4D36"/>
    <w:rsid w:val="00E01346"/>
    <w:rsid w:val="00E013DD"/>
    <w:rsid w:val="00E07470"/>
    <w:rsid w:val="00E10436"/>
    <w:rsid w:val="00E11BEB"/>
    <w:rsid w:val="00E17DC8"/>
    <w:rsid w:val="00E20EFF"/>
    <w:rsid w:val="00E30114"/>
    <w:rsid w:val="00E30E29"/>
    <w:rsid w:val="00E3237C"/>
    <w:rsid w:val="00E33618"/>
    <w:rsid w:val="00E33743"/>
    <w:rsid w:val="00E35932"/>
    <w:rsid w:val="00E35C82"/>
    <w:rsid w:val="00E369BA"/>
    <w:rsid w:val="00E37D2E"/>
    <w:rsid w:val="00E430EB"/>
    <w:rsid w:val="00E44BDD"/>
    <w:rsid w:val="00E46105"/>
    <w:rsid w:val="00E46399"/>
    <w:rsid w:val="00E46C58"/>
    <w:rsid w:val="00E4793D"/>
    <w:rsid w:val="00E548A9"/>
    <w:rsid w:val="00E55028"/>
    <w:rsid w:val="00E60F0F"/>
    <w:rsid w:val="00E623F7"/>
    <w:rsid w:val="00E63443"/>
    <w:rsid w:val="00E64B63"/>
    <w:rsid w:val="00E66A11"/>
    <w:rsid w:val="00E70026"/>
    <w:rsid w:val="00E70BA8"/>
    <w:rsid w:val="00E7778E"/>
    <w:rsid w:val="00E77F36"/>
    <w:rsid w:val="00E8073A"/>
    <w:rsid w:val="00E9087E"/>
    <w:rsid w:val="00E94C2E"/>
    <w:rsid w:val="00E958BA"/>
    <w:rsid w:val="00E97A93"/>
    <w:rsid w:val="00E97C82"/>
    <w:rsid w:val="00EA07E1"/>
    <w:rsid w:val="00EA3522"/>
    <w:rsid w:val="00EA4140"/>
    <w:rsid w:val="00EA4AA2"/>
    <w:rsid w:val="00EA52EB"/>
    <w:rsid w:val="00EA750E"/>
    <w:rsid w:val="00EA786C"/>
    <w:rsid w:val="00EA7AD0"/>
    <w:rsid w:val="00EB03ED"/>
    <w:rsid w:val="00EB0CEE"/>
    <w:rsid w:val="00EB4A90"/>
    <w:rsid w:val="00EB5714"/>
    <w:rsid w:val="00EC6E53"/>
    <w:rsid w:val="00EC6F3D"/>
    <w:rsid w:val="00ED1395"/>
    <w:rsid w:val="00ED158A"/>
    <w:rsid w:val="00ED222F"/>
    <w:rsid w:val="00ED2455"/>
    <w:rsid w:val="00ED2B13"/>
    <w:rsid w:val="00ED4908"/>
    <w:rsid w:val="00ED4CD5"/>
    <w:rsid w:val="00ED7FB6"/>
    <w:rsid w:val="00EE28C2"/>
    <w:rsid w:val="00EE58B5"/>
    <w:rsid w:val="00EE61B0"/>
    <w:rsid w:val="00EE6A42"/>
    <w:rsid w:val="00EF1F87"/>
    <w:rsid w:val="00EF3E57"/>
    <w:rsid w:val="00EF42E2"/>
    <w:rsid w:val="00EF5143"/>
    <w:rsid w:val="00F00BED"/>
    <w:rsid w:val="00F019CF"/>
    <w:rsid w:val="00F02379"/>
    <w:rsid w:val="00F0250A"/>
    <w:rsid w:val="00F03860"/>
    <w:rsid w:val="00F04E46"/>
    <w:rsid w:val="00F04EB5"/>
    <w:rsid w:val="00F070B5"/>
    <w:rsid w:val="00F10DFB"/>
    <w:rsid w:val="00F13C59"/>
    <w:rsid w:val="00F1649D"/>
    <w:rsid w:val="00F2180C"/>
    <w:rsid w:val="00F221A7"/>
    <w:rsid w:val="00F2306D"/>
    <w:rsid w:val="00F253FE"/>
    <w:rsid w:val="00F30803"/>
    <w:rsid w:val="00F31BA0"/>
    <w:rsid w:val="00F31E67"/>
    <w:rsid w:val="00F34BEC"/>
    <w:rsid w:val="00F35238"/>
    <w:rsid w:val="00F35655"/>
    <w:rsid w:val="00F40ECD"/>
    <w:rsid w:val="00F40F13"/>
    <w:rsid w:val="00F43FEA"/>
    <w:rsid w:val="00F44328"/>
    <w:rsid w:val="00F51C01"/>
    <w:rsid w:val="00F52F7F"/>
    <w:rsid w:val="00F53EAB"/>
    <w:rsid w:val="00F54426"/>
    <w:rsid w:val="00F5633C"/>
    <w:rsid w:val="00F56E8C"/>
    <w:rsid w:val="00F60F9A"/>
    <w:rsid w:val="00F62559"/>
    <w:rsid w:val="00F65303"/>
    <w:rsid w:val="00F65970"/>
    <w:rsid w:val="00F67FC0"/>
    <w:rsid w:val="00F70B4A"/>
    <w:rsid w:val="00F72279"/>
    <w:rsid w:val="00F72C0F"/>
    <w:rsid w:val="00F74A48"/>
    <w:rsid w:val="00F74ABC"/>
    <w:rsid w:val="00F76BA2"/>
    <w:rsid w:val="00F76C58"/>
    <w:rsid w:val="00F93D75"/>
    <w:rsid w:val="00FA44EA"/>
    <w:rsid w:val="00FA4A7A"/>
    <w:rsid w:val="00FA6BA0"/>
    <w:rsid w:val="00FB1647"/>
    <w:rsid w:val="00FB2A57"/>
    <w:rsid w:val="00FB42E6"/>
    <w:rsid w:val="00FC049F"/>
    <w:rsid w:val="00FC05B6"/>
    <w:rsid w:val="00FC0EB4"/>
    <w:rsid w:val="00FC1E36"/>
    <w:rsid w:val="00FC5CE0"/>
    <w:rsid w:val="00FC5D1F"/>
    <w:rsid w:val="00FC62C4"/>
    <w:rsid w:val="00FC6530"/>
    <w:rsid w:val="00FC7904"/>
    <w:rsid w:val="00FD2A8E"/>
    <w:rsid w:val="00FD7127"/>
    <w:rsid w:val="00FE0DB2"/>
    <w:rsid w:val="00FF1584"/>
    <w:rsid w:val="00FF1748"/>
    <w:rsid w:val="00FF3114"/>
    <w:rsid w:val="00FF36A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23482-9A19-4349-ADC1-D94F9B80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927"/>
    <w:pPr>
      <w:spacing w:after="200" w:line="276" w:lineRule="auto"/>
    </w:pPr>
    <w:rPr>
      <w:sz w:val="22"/>
      <w:szCs w:val="22"/>
      <w:lang w:eastAsia="en-US"/>
    </w:rPr>
  </w:style>
  <w:style w:type="paragraph" w:styleId="Titre1">
    <w:name w:val="heading 1"/>
    <w:basedOn w:val="Normal"/>
    <w:next w:val="Normal"/>
    <w:link w:val="Titre1Car"/>
    <w:uiPriority w:val="9"/>
    <w:qFormat/>
    <w:rsid w:val="00BA3DC6"/>
    <w:pPr>
      <w:keepNext/>
      <w:keepLines/>
      <w:spacing w:before="480" w:after="0"/>
      <w:outlineLvl w:val="0"/>
    </w:pPr>
    <w:rPr>
      <w:rFonts w:ascii="Cambria" w:eastAsia="Times New Roman" w:hAnsi="Cambria"/>
      <w:b/>
      <w:bCs/>
      <w:color w:val="365F91"/>
      <w:sz w:val="28"/>
      <w:szCs w:val="28"/>
    </w:rPr>
  </w:style>
  <w:style w:type="paragraph" w:styleId="Titre2">
    <w:name w:val="heading 2"/>
    <w:basedOn w:val="Normal"/>
    <w:next w:val="Normal"/>
    <w:link w:val="Titre2Car"/>
    <w:uiPriority w:val="9"/>
    <w:unhideWhenUsed/>
    <w:qFormat/>
    <w:rsid w:val="00BA3DC6"/>
    <w:pPr>
      <w:keepNext/>
      <w:keepLines/>
      <w:spacing w:before="200" w:after="0" w:line="240" w:lineRule="auto"/>
      <w:outlineLvl w:val="1"/>
    </w:pPr>
    <w:rPr>
      <w:rFonts w:ascii="Cambria" w:eastAsia="Times New Roman" w:hAnsi="Cambria"/>
      <w:b/>
      <w:bCs/>
      <w:color w:val="4F81BD"/>
      <w:sz w:val="26"/>
      <w:szCs w:val="26"/>
    </w:rPr>
  </w:style>
  <w:style w:type="paragraph" w:styleId="Titre3">
    <w:name w:val="heading 3"/>
    <w:basedOn w:val="Normal"/>
    <w:next w:val="Normal"/>
    <w:link w:val="Titre3Car"/>
    <w:uiPriority w:val="9"/>
    <w:unhideWhenUsed/>
    <w:qFormat/>
    <w:rsid w:val="00BA3DC6"/>
    <w:pPr>
      <w:keepNext/>
      <w:keepLines/>
      <w:spacing w:before="200" w:after="0"/>
      <w:outlineLvl w:val="2"/>
    </w:pPr>
    <w:rPr>
      <w:rFonts w:ascii="Cambria" w:eastAsia="Times New Roman" w:hAnsi="Cambria"/>
      <w:b/>
      <w:bCs/>
      <w:color w:val="4F81BD"/>
    </w:rPr>
  </w:style>
  <w:style w:type="paragraph" w:styleId="Titre4">
    <w:name w:val="heading 4"/>
    <w:basedOn w:val="Normal"/>
    <w:next w:val="Normal"/>
    <w:link w:val="Titre4Car"/>
    <w:uiPriority w:val="9"/>
    <w:unhideWhenUsed/>
    <w:qFormat/>
    <w:rsid w:val="00BA3DC6"/>
    <w:pPr>
      <w:keepNext/>
      <w:keepLines/>
      <w:spacing w:before="200" w:after="0"/>
      <w:outlineLvl w:val="3"/>
    </w:pPr>
    <w:rPr>
      <w:rFonts w:ascii="Cambria" w:eastAsia="Times New Roman" w:hAnsi="Cambria"/>
      <w:b/>
      <w:bCs/>
      <w:i/>
      <w:iCs/>
      <w:color w:val="4F81BD"/>
    </w:rPr>
  </w:style>
  <w:style w:type="paragraph" w:styleId="Titre5">
    <w:name w:val="heading 5"/>
    <w:basedOn w:val="Normal"/>
    <w:next w:val="Normal"/>
    <w:link w:val="Titre5Car"/>
    <w:uiPriority w:val="9"/>
    <w:unhideWhenUsed/>
    <w:qFormat/>
    <w:rsid w:val="006A214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A3DC6"/>
    <w:rPr>
      <w:rFonts w:ascii="Cambria" w:eastAsia="Times New Roman" w:hAnsi="Cambria" w:cs="Times New Roman"/>
      <w:b/>
      <w:bCs/>
      <w:color w:val="365F91"/>
      <w:sz w:val="28"/>
      <w:szCs w:val="28"/>
    </w:rPr>
  </w:style>
  <w:style w:type="character" w:customStyle="1" w:styleId="Titre2Car">
    <w:name w:val="Titre 2 Car"/>
    <w:link w:val="Titre2"/>
    <w:uiPriority w:val="9"/>
    <w:rsid w:val="00BA3DC6"/>
    <w:rPr>
      <w:rFonts w:ascii="Cambria" w:eastAsia="Times New Roman" w:hAnsi="Cambria" w:cs="Times New Roman"/>
      <w:b/>
      <w:bCs/>
      <w:color w:val="4F81BD"/>
      <w:sz w:val="26"/>
      <w:szCs w:val="26"/>
    </w:rPr>
  </w:style>
  <w:style w:type="character" w:customStyle="1" w:styleId="Titre3Car">
    <w:name w:val="Titre 3 Car"/>
    <w:link w:val="Titre3"/>
    <w:uiPriority w:val="9"/>
    <w:rsid w:val="00BA3DC6"/>
    <w:rPr>
      <w:rFonts w:ascii="Cambria" w:eastAsia="Times New Roman" w:hAnsi="Cambria" w:cs="Times New Roman"/>
      <w:b/>
      <w:bCs/>
      <w:color w:val="4F81BD"/>
    </w:rPr>
  </w:style>
  <w:style w:type="character" w:customStyle="1" w:styleId="Titre4Car">
    <w:name w:val="Titre 4 Car"/>
    <w:link w:val="Titre4"/>
    <w:uiPriority w:val="9"/>
    <w:rsid w:val="00BA3DC6"/>
    <w:rPr>
      <w:rFonts w:ascii="Cambria" w:eastAsia="Times New Roman" w:hAnsi="Cambria" w:cs="Times New Roman"/>
      <w:b/>
      <w:bCs/>
      <w:i/>
      <w:iCs/>
      <w:color w:val="4F81BD"/>
    </w:rPr>
  </w:style>
  <w:style w:type="paragraph" w:styleId="Corpsdetexte">
    <w:name w:val="Body Text"/>
    <w:basedOn w:val="Normal"/>
    <w:link w:val="CorpsdetexteCar"/>
    <w:rsid w:val="00BA3DC6"/>
    <w:pPr>
      <w:spacing w:after="0" w:line="240" w:lineRule="auto"/>
      <w:jc w:val="both"/>
    </w:pPr>
    <w:rPr>
      <w:rFonts w:ascii="Times New Roman" w:eastAsia="Times New Roman" w:hAnsi="Times New Roman"/>
      <w:sz w:val="24"/>
      <w:szCs w:val="24"/>
      <w:lang w:eastAsia="fr-FR"/>
    </w:rPr>
  </w:style>
  <w:style w:type="character" w:customStyle="1" w:styleId="CorpsdetexteCar">
    <w:name w:val="Corps de texte Car"/>
    <w:link w:val="Corpsdetexte"/>
    <w:rsid w:val="00BA3DC6"/>
    <w:rPr>
      <w:rFonts w:ascii="Times New Roman" w:eastAsia="Times New Roman" w:hAnsi="Times New Roman" w:cs="Times New Roman"/>
      <w:sz w:val="24"/>
      <w:szCs w:val="24"/>
      <w:lang w:eastAsia="fr-FR"/>
    </w:rPr>
  </w:style>
  <w:style w:type="table" w:styleId="Trameclaire-Accent4">
    <w:name w:val="Light Shading Accent 4"/>
    <w:basedOn w:val="TableauNormal"/>
    <w:uiPriority w:val="60"/>
    <w:rsid w:val="00BA3DC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Notedebasdepage">
    <w:name w:val="footnote text"/>
    <w:aliases w:val="Footnote Text Char2,Footnote Text Char1 Char,Footnote Text Char,Footnote Text Char Char Char1,Footnote Text Char1 Char Char Char1,Footnote Text Char1 Char1 Char,Footnote Text Char Char Char Char,fn,single space,ALTS FOOTNOTE,Car Car"/>
    <w:basedOn w:val="Normal"/>
    <w:link w:val="NotedebasdepageCar"/>
    <w:uiPriority w:val="99"/>
    <w:unhideWhenUsed/>
    <w:rsid w:val="00BA3DC6"/>
    <w:pPr>
      <w:spacing w:after="0" w:line="240" w:lineRule="auto"/>
    </w:pPr>
    <w:rPr>
      <w:rFonts w:ascii="Times New Roman" w:hAnsi="Times New Roman"/>
      <w:sz w:val="20"/>
      <w:szCs w:val="20"/>
    </w:rPr>
  </w:style>
  <w:style w:type="character" w:customStyle="1" w:styleId="NotedebasdepageCar">
    <w:name w:val="Note de bas de page Car"/>
    <w:aliases w:val="Footnote Text Char2 Car,Footnote Text Char1 Char Car,Footnote Text Char Car,Footnote Text Char Char Char1 Car,Footnote Text Char1 Char Char Char1 Car,Footnote Text Char1 Char1 Char Car,Footnote Text Char Char Char Char Car,fn Car"/>
    <w:link w:val="Notedebasdepage"/>
    <w:uiPriority w:val="99"/>
    <w:rsid w:val="00BA3DC6"/>
    <w:rPr>
      <w:rFonts w:ascii="Times New Roman" w:eastAsia="Calibri" w:hAnsi="Times New Roman" w:cs="Times New Roman"/>
      <w:sz w:val="20"/>
      <w:szCs w:val="20"/>
    </w:rPr>
  </w:style>
  <w:style w:type="character" w:styleId="Appelnotedebasdep">
    <w:name w:val="footnote reference"/>
    <w:aliases w:val="ftref,note bp,Footnotes refss,Footnote Reference1,16 Point,Superscript 6 Point,BVI fnr,Char Char,Carattere Char1,Carattere Char Char Carattere Carattere Char Char,Error-Fußnotenzeichen5,Error-Fußnotenzeichen6"/>
    <w:uiPriority w:val="99"/>
    <w:unhideWhenUsed/>
    <w:rsid w:val="00BA3DC6"/>
    <w:rPr>
      <w:vertAlign w:val="superscript"/>
    </w:rPr>
  </w:style>
  <w:style w:type="paragraph" w:styleId="Paragraphedeliste">
    <w:name w:val="List Paragraph"/>
    <w:aliases w:val="References,Paragraphe de liste1,List Paragraph1,Bullets,Table/Figure Heading,Style 3,MCHIP_list paragraph,Recommendation,Bullet List,FooterText,Bioforce zListePuce,Liste 1,Titre1,List Paragraph (numbered (a))"/>
    <w:basedOn w:val="Normal"/>
    <w:link w:val="ParagraphedelisteCar"/>
    <w:uiPriority w:val="34"/>
    <w:qFormat/>
    <w:rsid w:val="00BA3DC6"/>
    <w:pPr>
      <w:ind w:left="720"/>
      <w:contextualSpacing/>
    </w:pPr>
  </w:style>
  <w:style w:type="character" w:customStyle="1" w:styleId="ParagraphedelisteCar">
    <w:name w:val="Paragraphe de liste Car"/>
    <w:aliases w:val="References Car,Paragraphe de liste1 Car,List Paragraph1 Car,Bullets Car,Table/Figure Heading Car,Style 3 Car,MCHIP_list paragraph Car,Recommendation Car,Bullet List Car,FooterText Car,Bioforce zListePuce Car,Liste 1 Car"/>
    <w:link w:val="Paragraphedeliste"/>
    <w:uiPriority w:val="34"/>
    <w:locked/>
    <w:rsid w:val="00BA3DC6"/>
    <w:rPr>
      <w:rFonts w:ascii="Calibri" w:eastAsia="Calibri" w:hAnsi="Calibri" w:cs="Times New Roman"/>
    </w:rPr>
  </w:style>
  <w:style w:type="paragraph" w:styleId="Textedebulles">
    <w:name w:val="Balloon Text"/>
    <w:basedOn w:val="Normal"/>
    <w:link w:val="TextedebullesCar"/>
    <w:uiPriority w:val="99"/>
    <w:semiHidden/>
    <w:unhideWhenUsed/>
    <w:rsid w:val="00BA3DC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A3DC6"/>
    <w:rPr>
      <w:rFonts w:ascii="Tahoma" w:eastAsia="Calibri" w:hAnsi="Tahoma" w:cs="Tahoma"/>
      <w:sz w:val="16"/>
      <w:szCs w:val="16"/>
    </w:rPr>
  </w:style>
  <w:style w:type="paragraph" w:styleId="Textebrut">
    <w:name w:val="Plain Text"/>
    <w:basedOn w:val="Normal"/>
    <w:link w:val="TextebrutCar"/>
    <w:rsid w:val="00BA3DC6"/>
    <w:pPr>
      <w:spacing w:after="0" w:line="240" w:lineRule="auto"/>
    </w:pPr>
    <w:rPr>
      <w:rFonts w:ascii="Courier New" w:eastAsia="Times New Roman" w:hAnsi="Courier New"/>
      <w:sz w:val="20"/>
      <w:szCs w:val="20"/>
    </w:rPr>
  </w:style>
  <w:style w:type="character" w:customStyle="1" w:styleId="TextebrutCar">
    <w:name w:val="Texte brut Car"/>
    <w:link w:val="Textebrut"/>
    <w:rsid w:val="00BA3DC6"/>
    <w:rPr>
      <w:rFonts w:ascii="Courier New" w:eastAsia="Times New Roman" w:hAnsi="Courier New" w:cs="Times New Roman"/>
      <w:sz w:val="20"/>
      <w:szCs w:val="20"/>
    </w:rPr>
  </w:style>
  <w:style w:type="paragraph" w:customStyle="1" w:styleId="Default">
    <w:name w:val="Default"/>
    <w:rsid w:val="00BA3DC6"/>
    <w:pPr>
      <w:autoSpaceDE w:val="0"/>
      <w:autoSpaceDN w:val="0"/>
      <w:adjustRightInd w:val="0"/>
    </w:pPr>
    <w:rPr>
      <w:rFonts w:ascii="Arial" w:hAnsi="Arial" w:cs="Arial"/>
      <w:b/>
      <w:color w:val="000000"/>
      <w:sz w:val="24"/>
      <w:szCs w:val="24"/>
      <w:lang w:eastAsia="en-US"/>
    </w:rPr>
  </w:style>
  <w:style w:type="table" w:styleId="Grilledutableau">
    <w:name w:val="Table Grid"/>
    <w:basedOn w:val="TableauNormal"/>
    <w:uiPriority w:val="39"/>
    <w:rsid w:val="00BA3DC6"/>
    <w:rPr>
      <w:rFonts w:ascii="Garamond" w:hAnsi="Garamond"/>
      <w:b/>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BA3DC6"/>
    <w:rPr>
      <w:color w:val="0000FF"/>
      <w:u w:val="single"/>
    </w:rPr>
  </w:style>
  <w:style w:type="paragraph" w:styleId="En-ttedetabledesmatires">
    <w:name w:val="TOC Heading"/>
    <w:basedOn w:val="Titre1"/>
    <w:next w:val="Normal"/>
    <w:uiPriority w:val="39"/>
    <w:unhideWhenUsed/>
    <w:qFormat/>
    <w:rsid w:val="00BA3DC6"/>
    <w:pPr>
      <w:outlineLvl w:val="9"/>
    </w:pPr>
  </w:style>
  <w:style w:type="paragraph" w:styleId="TM1">
    <w:name w:val="toc 1"/>
    <w:basedOn w:val="Normal"/>
    <w:next w:val="Normal"/>
    <w:autoRedefine/>
    <w:uiPriority w:val="39"/>
    <w:unhideWhenUsed/>
    <w:qFormat/>
    <w:rsid w:val="00E60F0F"/>
    <w:pPr>
      <w:tabs>
        <w:tab w:val="right" w:leader="dot" w:pos="9060"/>
      </w:tabs>
      <w:spacing w:after="0" w:line="240" w:lineRule="auto"/>
    </w:pPr>
    <w:rPr>
      <w:rFonts w:ascii="Times New Roman" w:hAnsi="Times New Roman"/>
      <w:b/>
      <w:sz w:val="24"/>
      <w:szCs w:val="24"/>
    </w:rPr>
  </w:style>
  <w:style w:type="paragraph" w:styleId="TM2">
    <w:name w:val="toc 2"/>
    <w:basedOn w:val="Normal"/>
    <w:next w:val="Normal"/>
    <w:autoRedefine/>
    <w:uiPriority w:val="39"/>
    <w:unhideWhenUsed/>
    <w:qFormat/>
    <w:rsid w:val="00BA3DC6"/>
    <w:pPr>
      <w:spacing w:after="100"/>
      <w:ind w:left="220"/>
    </w:pPr>
  </w:style>
  <w:style w:type="paragraph" w:styleId="TM3">
    <w:name w:val="toc 3"/>
    <w:basedOn w:val="Normal"/>
    <w:next w:val="Normal"/>
    <w:autoRedefine/>
    <w:uiPriority w:val="39"/>
    <w:unhideWhenUsed/>
    <w:qFormat/>
    <w:rsid w:val="00BA3DC6"/>
    <w:pPr>
      <w:tabs>
        <w:tab w:val="left" w:pos="880"/>
        <w:tab w:val="right" w:leader="dot" w:pos="9060"/>
      </w:tabs>
      <w:spacing w:after="100"/>
      <w:ind w:left="220"/>
    </w:pPr>
  </w:style>
  <w:style w:type="paragraph" w:styleId="En-tte">
    <w:name w:val="header"/>
    <w:basedOn w:val="Normal"/>
    <w:link w:val="En-tteCar"/>
    <w:uiPriority w:val="99"/>
    <w:unhideWhenUsed/>
    <w:rsid w:val="00BA3DC6"/>
    <w:pPr>
      <w:tabs>
        <w:tab w:val="center" w:pos="4536"/>
        <w:tab w:val="right" w:pos="9072"/>
      </w:tabs>
      <w:spacing w:after="0" w:line="240" w:lineRule="auto"/>
    </w:pPr>
  </w:style>
  <w:style w:type="character" w:customStyle="1" w:styleId="En-tteCar">
    <w:name w:val="En-tête Car"/>
    <w:link w:val="En-tte"/>
    <w:uiPriority w:val="99"/>
    <w:rsid w:val="00BA3DC6"/>
    <w:rPr>
      <w:rFonts w:ascii="Calibri" w:eastAsia="Calibri" w:hAnsi="Calibri" w:cs="Times New Roman"/>
    </w:rPr>
  </w:style>
  <w:style w:type="paragraph" w:styleId="Pieddepage">
    <w:name w:val="footer"/>
    <w:basedOn w:val="Normal"/>
    <w:link w:val="PieddepageCar"/>
    <w:uiPriority w:val="99"/>
    <w:unhideWhenUsed/>
    <w:rsid w:val="00BA3DC6"/>
    <w:pPr>
      <w:tabs>
        <w:tab w:val="center" w:pos="4536"/>
        <w:tab w:val="right" w:pos="9072"/>
      </w:tabs>
      <w:spacing w:after="0" w:line="240" w:lineRule="auto"/>
    </w:pPr>
  </w:style>
  <w:style w:type="character" w:customStyle="1" w:styleId="PieddepageCar">
    <w:name w:val="Pied de page Car"/>
    <w:link w:val="Pieddepage"/>
    <w:uiPriority w:val="99"/>
    <w:rsid w:val="00BA3DC6"/>
    <w:rPr>
      <w:rFonts w:ascii="Calibri" w:eastAsia="Calibri" w:hAnsi="Calibri" w:cs="Times New Roman"/>
    </w:rPr>
  </w:style>
  <w:style w:type="paragraph" w:styleId="Commentaire">
    <w:name w:val="annotation text"/>
    <w:basedOn w:val="Normal"/>
    <w:link w:val="CommentaireCar"/>
    <w:uiPriority w:val="99"/>
    <w:unhideWhenUsed/>
    <w:rsid w:val="00BA3DC6"/>
    <w:pPr>
      <w:spacing w:after="0" w:line="240" w:lineRule="auto"/>
    </w:pPr>
    <w:rPr>
      <w:rFonts w:ascii="Times New Roman" w:hAnsi="Times New Roman"/>
      <w:sz w:val="20"/>
      <w:szCs w:val="20"/>
    </w:rPr>
  </w:style>
  <w:style w:type="character" w:customStyle="1" w:styleId="CommentaireCar">
    <w:name w:val="Commentaire Car"/>
    <w:link w:val="Commentaire"/>
    <w:uiPriority w:val="99"/>
    <w:rsid w:val="00BA3DC6"/>
    <w:rPr>
      <w:rFonts w:ascii="Times New Roman" w:eastAsia="Calibri" w:hAnsi="Times New Roman" w:cs="Times New Roman"/>
      <w:sz w:val="20"/>
      <w:szCs w:val="20"/>
    </w:rPr>
  </w:style>
  <w:style w:type="paragraph" w:styleId="Corpsdetexte2">
    <w:name w:val="Body Text 2"/>
    <w:basedOn w:val="Normal"/>
    <w:link w:val="Corpsdetexte2Car"/>
    <w:rsid w:val="00BA3DC6"/>
    <w:pPr>
      <w:spacing w:after="120" w:line="480" w:lineRule="auto"/>
    </w:pPr>
    <w:rPr>
      <w:rFonts w:ascii="Times New Roman" w:eastAsia="Times New Roman" w:hAnsi="Times New Roman"/>
      <w:sz w:val="24"/>
      <w:szCs w:val="24"/>
      <w:lang w:val="en-US"/>
    </w:rPr>
  </w:style>
  <w:style w:type="character" w:customStyle="1" w:styleId="Corpsdetexte2Car">
    <w:name w:val="Corps de texte 2 Car"/>
    <w:link w:val="Corpsdetexte2"/>
    <w:rsid w:val="00BA3DC6"/>
    <w:rPr>
      <w:rFonts w:ascii="Times New Roman" w:eastAsia="Times New Roman" w:hAnsi="Times New Roman" w:cs="Times New Roman"/>
      <w:sz w:val="24"/>
      <w:szCs w:val="24"/>
      <w:lang w:val="en-US"/>
    </w:rPr>
  </w:style>
  <w:style w:type="paragraph" w:styleId="Notedefin">
    <w:name w:val="endnote text"/>
    <w:basedOn w:val="Normal"/>
    <w:link w:val="NotedefinCar"/>
    <w:uiPriority w:val="99"/>
    <w:semiHidden/>
    <w:unhideWhenUsed/>
    <w:rsid w:val="00BA3DC6"/>
    <w:pPr>
      <w:spacing w:after="0" w:line="240" w:lineRule="auto"/>
    </w:pPr>
    <w:rPr>
      <w:sz w:val="20"/>
      <w:szCs w:val="20"/>
    </w:rPr>
  </w:style>
  <w:style w:type="character" w:customStyle="1" w:styleId="NotedefinCar">
    <w:name w:val="Note de fin Car"/>
    <w:link w:val="Notedefin"/>
    <w:uiPriority w:val="99"/>
    <w:semiHidden/>
    <w:rsid w:val="00BA3DC6"/>
    <w:rPr>
      <w:rFonts w:ascii="Calibri" w:eastAsia="Calibri" w:hAnsi="Calibri" w:cs="Times New Roman"/>
      <w:sz w:val="20"/>
      <w:szCs w:val="20"/>
    </w:rPr>
  </w:style>
  <w:style w:type="character" w:styleId="Appeldenotedefin">
    <w:name w:val="endnote reference"/>
    <w:rsid w:val="00BA3DC6"/>
    <w:rPr>
      <w:vertAlign w:val="superscript"/>
    </w:rPr>
  </w:style>
  <w:style w:type="paragraph" w:styleId="Corpsdetexte3">
    <w:name w:val="Body Text 3"/>
    <w:basedOn w:val="Normal"/>
    <w:link w:val="Corpsdetexte3Car"/>
    <w:uiPriority w:val="99"/>
    <w:unhideWhenUsed/>
    <w:rsid w:val="00BA3DC6"/>
    <w:pPr>
      <w:spacing w:after="120" w:line="240" w:lineRule="auto"/>
    </w:pPr>
    <w:rPr>
      <w:rFonts w:ascii="Times New Roman" w:hAnsi="Times New Roman"/>
      <w:sz w:val="16"/>
      <w:szCs w:val="16"/>
      <w:lang w:val="en-CA"/>
    </w:rPr>
  </w:style>
  <w:style w:type="character" w:customStyle="1" w:styleId="Corpsdetexte3Car">
    <w:name w:val="Corps de texte 3 Car"/>
    <w:link w:val="Corpsdetexte3"/>
    <w:uiPriority w:val="99"/>
    <w:rsid w:val="00BA3DC6"/>
    <w:rPr>
      <w:rFonts w:ascii="Times New Roman" w:eastAsia="Calibri" w:hAnsi="Times New Roman" w:cs="Times New Roman"/>
      <w:sz w:val="16"/>
      <w:szCs w:val="16"/>
      <w:lang w:val="en-CA"/>
    </w:rPr>
  </w:style>
  <w:style w:type="character" w:customStyle="1" w:styleId="Listecouleur-Accent1Car">
    <w:name w:val="Liste couleur - Accent 1 Car"/>
    <w:link w:val="Listecouleur-Accent11"/>
    <w:uiPriority w:val="34"/>
    <w:locked/>
    <w:rsid w:val="00BA3DC6"/>
    <w:rPr>
      <w:sz w:val="24"/>
      <w:szCs w:val="24"/>
      <w:lang w:val="en-US"/>
    </w:rPr>
  </w:style>
  <w:style w:type="paragraph" w:customStyle="1" w:styleId="Listecouleur-Accent11">
    <w:name w:val="Liste couleur - Accent 11"/>
    <w:basedOn w:val="Normal"/>
    <w:link w:val="Listecouleur-Accent1Car"/>
    <w:uiPriority w:val="34"/>
    <w:qFormat/>
    <w:rsid w:val="00BA3DC6"/>
    <w:pPr>
      <w:spacing w:after="0" w:line="240" w:lineRule="auto"/>
      <w:ind w:left="720"/>
      <w:contextualSpacing/>
    </w:pPr>
    <w:rPr>
      <w:sz w:val="24"/>
      <w:szCs w:val="24"/>
      <w:lang w:val="en-US"/>
    </w:rPr>
  </w:style>
  <w:style w:type="character" w:customStyle="1" w:styleId="hps">
    <w:name w:val="hps"/>
    <w:rsid w:val="00BA3DC6"/>
  </w:style>
  <w:style w:type="paragraph" w:styleId="NormalWeb">
    <w:name w:val="Normal (Web)"/>
    <w:basedOn w:val="Normal"/>
    <w:uiPriority w:val="99"/>
    <w:unhideWhenUsed/>
    <w:rsid w:val="00BA3DC6"/>
    <w:pPr>
      <w:spacing w:after="0" w:line="240" w:lineRule="auto"/>
    </w:pPr>
    <w:rPr>
      <w:rFonts w:ascii="Times New Roman" w:hAnsi="Times New Roman"/>
      <w:sz w:val="24"/>
      <w:szCs w:val="24"/>
      <w:lang w:eastAsia="fr-FR"/>
    </w:rPr>
  </w:style>
  <w:style w:type="paragraph" w:customStyle="1" w:styleId="Sansinterligne1">
    <w:name w:val="Sans interligne1"/>
    <w:qFormat/>
    <w:rsid w:val="00BA3DC6"/>
    <w:rPr>
      <w:rFonts w:ascii="Times New Roman" w:hAnsi="Times New Roman"/>
      <w:sz w:val="24"/>
      <w:szCs w:val="22"/>
      <w:lang w:val="en-GB" w:eastAsia="en-US"/>
    </w:rPr>
  </w:style>
  <w:style w:type="character" w:customStyle="1" w:styleId="A11">
    <w:name w:val="A11"/>
    <w:uiPriority w:val="99"/>
    <w:rsid w:val="00BA3DC6"/>
    <w:rPr>
      <w:rFonts w:cs="Myriad Pro"/>
      <w:color w:val="000000"/>
      <w:sz w:val="18"/>
      <w:szCs w:val="18"/>
    </w:rPr>
  </w:style>
  <w:style w:type="character" w:customStyle="1" w:styleId="A10">
    <w:name w:val="A10"/>
    <w:uiPriority w:val="99"/>
    <w:rsid w:val="00BA3DC6"/>
    <w:rPr>
      <w:rFonts w:cs="Myriad Pro"/>
      <w:color w:val="000000"/>
      <w:sz w:val="12"/>
      <w:szCs w:val="12"/>
    </w:rPr>
  </w:style>
  <w:style w:type="paragraph" w:customStyle="1" w:styleId="Normalcover">
    <w:name w:val="Normal cover"/>
    <w:basedOn w:val="Normal"/>
    <w:rsid w:val="00BA3DC6"/>
    <w:pPr>
      <w:widowControl w:val="0"/>
      <w:autoSpaceDE w:val="0"/>
      <w:autoSpaceDN w:val="0"/>
      <w:spacing w:after="0" w:line="240" w:lineRule="auto"/>
      <w:jc w:val="both"/>
    </w:pPr>
    <w:rPr>
      <w:rFonts w:ascii="Times New Roman" w:eastAsia="Times New Roman" w:hAnsi="Times New Roman"/>
      <w:sz w:val="24"/>
      <w:szCs w:val="20"/>
      <w:lang w:val="en-US"/>
    </w:rPr>
  </w:style>
  <w:style w:type="paragraph" w:styleId="Retraitcorpsdetexte">
    <w:name w:val="Body Text Indent"/>
    <w:basedOn w:val="Normal"/>
    <w:link w:val="RetraitcorpsdetexteCar"/>
    <w:uiPriority w:val="99"/>
    <w:unhideWhenUsed/>
    <w:rsid w:val="00BA3DC6"/>
    <w:pPr>
      <w:spacing w:after="120"/>
      <w:ind w:left="283"/>
    </w:pPr>
  </w:style>
  <w:style w:type="character" w:customStyle="1" w:styleId="RetraitcorpsdetexteCar">
    <w:name w:val="Retrait corps de texte Car"/>
    <w:link w:val="Retraitcorpsdetexte"/>
    <w:uiPriority w:val="99"/>
    <w:rsid w:val="00BA3DC6"/>
    <w:rPr>
      <w:rFonts w:ascii="Calibri" w:eastAsia="Calibri" w:hAnsi="Calibri" w:cs="Times New Roman"/>
    </w:rPr>
  </w:style>
  <w:style w:type="character" w:customStyle="1" w:styleId="apple-converted-space">
    <w:name w:val="apple-converted-space"/>
    <w:rsid w:val="00490FF6"/>
  </w:style>
  <w:style w:type="character" w:styleId="Accentuation">
    <w:name w:val="Emphasis"/>
    <w:uiPriority w:val="20"/>
    <w:qFormat/>
    <w:rsid w:val="00490FF6"/>
    <w:rPr>
      <w:i/>
      <w:iCs/>
    </w:rPr>
  </w:style>
  <w:style w:type="character" w:styleId="Marquedecommentaire">
    <w:name w:val="annotation reference"/>
    <w:uiPriority w:val="99"/>
    <w:semiHidden/>
    <w:unhideWhenUsed/>
    <w:rsid w:val="00152F26"/>
    <w:rPr>
      <w:sz w:val="16"/>
      <w:szCs w:val="16"/>
    </w:rPr>
  </w:style>
  <w:style w:type="paragraph" w:customStyle="1" w:styleId="P1">
    <w:name w:val="P 1"/>
    <w:basedOn w:val="Normal"/>
    <w:qFormat/>
    <w:rsid w:val="00236BD2"/>
    <w:pPr>
      <w:spacing w:before="120" w:after="120" w:line="240" w:lineRule="auto"/>
      <w:jc w:val="both"/>
    </w:pPr>
    <w:rPr>
      <w:rFonts w:ascii="Times New Roman" w:hAnsi="Times New Roman"/>
    </w:rPr>
  </w:style>
  <w:style w:type="character" w:customStyle="1" w:styleId="SansinterligneCar">
    <w:name w:val="Sans interligne Car"/>
    <w:link w:val="Sansinterligne"/>
    <w:uiPriority w:val="1"/>
    <w:locked/>
    <w:rsid w:val="00236BD2"/>
    <w:rPr>
      <w:rFonts w:asciiTheme="minorHAnsi" w:eastAsiaTheme="minorHAnsi" w:hAnsiTheme="minorHAnsi" w:cstheme="minorBidi"/>
      <w:sz w:val="22"/>
      <w:szCs w:val="22"/>
      <w:lang w:eastAsia="en-US"/>
    </w:rPr>
  </w:style>
  <w:style w:type="paragraph" w:styleId="Sansinterligne">
    <w:name w:val="No Spacing"/>
    <w:link w:val="SansinterligneCar"/>
    <w:uiPriority w:val="1"/>
    <w:qFormat/>
    <w:rsid w:val="00236BD2"/>
    <w:rPr>
      <w:rFonts w:asciiTheme="minorHAnsi" w:eastAsiaTheme="minorHAnsi" w:hAnsiTheme="minorHAnsi" w:cstheme="minorBidi"/>
      <w:sz w:val="22"/>
      <w:szCs w:val="22"/>
      <w:lang w:eastAsia="en-US"/>
    </w:rPr>
  </w:style>
  <w:style w:type="paragraph" w:styleId="Lgende">
    <w:name w:val="caption"/>
    <w:aliases w:val="Para"/>
    <w:basedOn w:val="Normal"/>
    <w:next w:val="Normal"/>
    <w:qFormat/>
    <w:rsid w:val="00C56FF6"/>
    <w:pPr>
      <w:numPr>
        <w:numId w:val="7"/>
      </w:numPr>
      <w:spacing w:before="120" w:after="0" w:line="240" w:lineRule="auto"/>
      <w:jc w:val="both"/>
    </w:pPr>
    <w:rPr>
      <w:rFonts w:ascii="Garamond" w:eastAsia="Times New Roman" w:hAnsi="Garamond"/>
      <w:bCs/>
      <w:szCs w:val="20"/>
      <w:lang w:val="fr-CA" w:eastAsia="fr-CA"/>
    </w:rPr>
  </w:style>
  <w:style w:type="character" w:styleId="lev">
    <w:name w:val="Strong"/>
    <w:uiPriority w:val="22"/>
    <w:qFormat/>
    <w:rsid w:val="004C5D4B"/>
    <w:rPr>
      <w:b/>
      <w:bCs/>
    </w:rPr>
  </w:style>
  <w:style w:type="character" w:customStyle="1" w:styleId="Titre5Car">
    <w:name w:val="Titre 5 Car"/>
    <w:basedOn w:val="Policepardfaut"/>
    <w:link w:val="Titre5"/>
    <w:uiPriority w:val="9"/>
    <w:rsid w:val="006A214E"/>
    <w:rPr>
      <w:rFonts w:asciiTheme="majorHAnsi" w:eastAsiaTheme="majorEastAsia" w:hAnsiTheme="majorHAnsi" w:cstheme="majorBidi"/>
      <w:color w:val="1F4D78" w:themeColor="accent1" w:themeShade="7F"/>
      <w:sz w:val="22"/>
      <w:szCs w:val="22"/>
      <w:lang w:eastAsia="en-US"/>
    </w:rPr>
  </w:style>
  <w:style w:type="table" w:customStyle="1" w:styleId="Grilledutableau1">
    <w:name w:val="Grille du tableau1"/>
    <w:basedOn w:val="TableauNormal"/>
    <w:next w:val="Grilledutableau"/>
    <w:uiPriority w:val="59"/>
    <w:rsid w:val="009B2268"/>
    <w:rPr>
      <w:rFonts w:ascii="Times New Roman" w:hAnsi="Times New Roman"/>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CE3F26"/>
  </w:style>
  <w:style w:type="paragraph" w:customStyle="1" w:styleId="Standard">
    <w:name w:val="Standard"/>
    <w:rsid w:val="00CE3F26"/>
    <w:pPr>
      <w:widowControl w:val="0"/>
      <w:suppressAutoHyphens/>
      <w:autoSpaceDN w:val="0"/>
    </w:pPr>
    <w:rPr>
      <w:rFonts w:ascii="Times New Roman" w:hAnsi="Times New Roman" w:cs="Tahoma"/>
      <w:kern w:val="3"/>
      <w:sz w:val="24"/>
      <w:szCs w:val="24"/>
      <w:lang w:val="de-DE" w:eastAsia="ja-JP" w:bidi="fa-IR"/>
    </w:rPr>
  </w:style>
  <w:style w:type="paragraph" w:styleId="Objetducommentaire">
    <w:name w:val="annotation subject"/>
    <w:basedOn w:val="Commentaire"/>
    <w:next w:val="Commentaire"/>
    <w:link w:val="ObjetducommentaireCar"/>
    <w:uiPriority w:val="99"/>
    <w:semiHidden/>
    <w:unhideWhenUsed/>
    <w:rsid w:val="00CE3F26"/>
    <w:rPr>
      <w:rFonts w:eastAsiaTheme="minorHAnsi" w:cstheme="minorBidi"/>
      <w:b/>
      <w:bCs/>
    </w:rPr>
  </w:style>
  <w:style w:type="character" w:customStyle="1" w:styleId="ObjetducommentaireCar">
    <w:name w:val="Objet du commentaire Car"/>
    <w:basedOn w:val="CommentaireCar"/>
    <w:link w:val="Objetducommentaire"/>
    <w:uiPriority w:val="99"/>
    <w:semiHidden/>
    <w:rsid w:val="00CE3F26"/>
    <w:rPr>
      <w:rFonts w:ascii="Times New Roman" w:eastAsiaTheme="minorHAnsi" w:hAnsi="Times New Roman" w:cstheme="minorBidi"/>
      <w:b/>
      <w:bCs/>
      <w:sz w:val="20"/>
      <w:szCs w:val="20"/>
      <w:lang w:eastAsia="en-US"/>
    </w:rPr>
  </w:style>
  <w:style w:type="paragraph" w:customStyle="1" w:styleId="ColorfulList-Accent11">
    <w:name w:val="Colorful List - Accent 11"/>
    <w:basedOn w:val="Normal"/>
    <w:uiPriority w:val="72"/>
    <w:qFormat/>
    <w:rsid w:val="00CE3F26"/>
    <w:pPr>
      <w:ind w:left="720"/>
      <w:contextualSpacing/>
    </w:pPr>
    <w:rPr>
      <w:rFonts w:eastAsia="Times New Roman"/>
    </w:rPr>
  </w:style>
  <w:style w:type="character" w:customStyle="1" w:styleId="longtext">
    <w:name w:val="long_text"/>
    <w:rsid w:val="00CE3F26"/>
  </w:style>
  <w:style w:type="table" w:customStyle="1" w:styleId="Grilledutableau2">
    <w:name w:val="Grille du tableau2"/>
    <w:basedOn w:val="TableauNormal"/>
    <w:next w:val="Grilledutableau"/>
    <w:uiPriority w:val="59"/>
    <w:rsid w:val="00790EE5"/>
    <w:rPr>
      <w:rFonts w:ascii="Times New Roman" w:hAnsi="Times New Roman"/>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Aucuneliste"/>
    <w:uiPriority w:val="99"/>
    <w:semiHidden/>
    <w:unhideWhenUsed/>
    <w:rsid w:val="00475744"/>
  </w:style>
  <w:style w:type="table" w:customStyle="1" w:styleId="Grilledutableau3">
    <w:name w:val="Grille du tableau3"/>
    <w:basedOn w:val="TableauNormal"/>
    <w:next w:val="Grilledutableau"/>
    <w:uiPriority w:val="39"/>
    <w:rsid w:val="00475744"/>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sid w:val="002756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033601">
      <w:bodyDiv w:val="1"/>
      <w:marLeft w:val="0"/>
      <w:marRight w:val="0"/>
      <w:marTop w:val="0"/>
      <w:marBottom w:val="0"/>
      <w:divBdr>
        <w:top w:val="none" w:sz="0" w:space="0" w:color="auto"/>
        <w:left w:val="none" w:sz="0" w:space="0" w:color="auto"/>
        <w:bottom w:val="none" w:sz="0" w:space="0" w:color="auto"/>
        <w:right w:val="none" w:sz="0" w:space="0" w:color="auto"/>
      </w:divBdr>
    </w:div>
    <w:div w:id="251403442">
      <w:bodyDiv w:val="1"/>
      <w:marLeft w:val="0"/>
      <w:marRight w:val="0"/>
      <w:marTop w:val="0"/>
      <w:marBottom w:val="0"/>
      <w:divBdr>
        <w:top w:val="none" w:sz="0" w:space="0" w:color="auto"/>
        <w:left w:val="none" w:sz="0" w:space="0" w:color="auto"/>
        <w:bottom w:val="none" w:sz="0" w:space="0" w:color="auto"/>
        <w:right w:val="none" w:sz="0" w:space="0" w:color="auto"/>
      </w:divBdr>
      <w:divsChild>
        <w:div w:id="1748650206">
          <w:marLeft w:val="2074"/>
          <w:marRight w:val="0"/>
          <w:marTop w:val="0"/>
          <w:marBottom w:val="0"/>
          <w:divBdr>
            <w:top w:val="none" w:sz="0" w:space="0" w:color="auto"/>
            <w:left w:val="none" w:sz="0" w:space="0" w:color="auto"/>
            <w:bottom w:val="none" w:sz="0" w:space="0" w:color="auto"/>
            <w:right w:val="none" w:sz="0" w:space="0" w:color="auto"/>
          </w:divBdr>
        </w:div>
      </w:divsChild>
    </w:div>
    <w:div w:id="251664153">
      <w:bodyDiv w:val="1"/>
      <w:marLeft w:val="0"/>
      <w:marRight w:val="0"/>
      <w:marTop w:val="0"/>
      <w:marBottom w:val="0"/>
      <w:divBdr>
        <w:top w:val="none" w:sz="0" w:space="0" w:color="auto"/>
        <w:left w:val="none" w:sz="0" w:space="0" w:color="auto"/>
        <w:bottom w:val="none" w:sz="0" w:space="0" w:color="auto"/>
        <w:right w:val="none" w:sz="0" w:space="0" w:color="auto"/>
      </w:divBdr>
    </w:div>
    <w:div w:id="299773523">
      <w:bodyDiv w:val="1"/>
      <w:marLeft w:val="0"/>
      <w:marRight w:val="0"/>
      <w:marTop w:val="0"/>
      <w:marBottom w:val="0"/>
      <w:divBdr>
        <w:top w:val="none" w:sz="0" w:space="0" w:color="auto"/>
        <w:left w:val="none" w:sz="0" w:space="0" w:color="auto"/>
        <w:bottom w:val="none" w:sz="0" w:space="0" w:color="auto"/>
        <w:right w:val="none" w:sz="0" w:space="0" w:color="auto"/>
      </w:divBdr>
    </w:div>
    <w:div w:id="450130254">
      <w:bodyDiv w:val="1"/>
      <w:marLeft w:val="0"/>
      <w:marRight w:val="0"/>
      <w:marTop w:val="0"/>
      <w:marBottom w:val="0"/>
      <w:divBdr>
        <w:top w:val="none" w:sz="0" w:space="0" w:color="auto"/>
        <w:left w:val="none" w:sz="0" w:space="0" w:color="auto"/>
        <w:bottom w:val="none" w:sz="0" w:space="0" w:color="auto"/>
        <w:right w:val="none" w:sz="0" w:space="0" w:color="auto"/>
      </w:divBdr>
    </w:div>
    <w:div w:id="796991927">
      <w:bodyDiv w:val="1"/>
      <w:marLeft w:val="0"/>
      <w:marRight w:val="0"/>
      <w:marTop w:val="0"/>
      <w:marBottom w:val="0"/>
      <w:divBdr>
        <w:top w:val="none" w:sz="0" w:space="0" w:color="auto"/>
        <w:left w:val="none" w:sz="0" w:space="0" w:color="auto"/>
        <w:bottom w:val="none" w:sz="0" w:space="0" w:color="auto"/>
        <w:right w:val="none" w:sz="0" w:space="0" w:color="auto"/>
      </w:divBdr>
    </w:div>
    <w:div w:id="820733948">
      <w:bodyDiv w:val="1"/>
      <w:marLeft w:val="0"/>
      <w:marRight w:val="0"/>
      <w:marTop w:val="0"/>
      <w:marBottom w:val="0"/>
      <w:divBdr>
        <w:top w:val="none" w:sz="0" w:space="0" w:color="auto"/>
        <w:left w:val="none" w:sz="0" w:space="0" w:color="auto"/>
        <w:bottom w:val="none" w:sz="0" w:space="0" w:color="auto"/>
        <w:right w:val="none" w:sz="0" w:space="0" w:color="auto"/>
      </w:divBdr>
      <w:divsChild>
        <w:div w:id="490755194">
          <w:marLeft w:val="0"/>
          <w:marRight w:val="0"/>
          <w:marTop w:val="0"/>
          <w:marBottom w:val="0"/>
          <w:divBdr>
            <w:top w:val="none" w:sz="0" w:space="0" w:color="auto"/>
            <w:left w:val="none" w:sz="0" w:space="0" w:color="auto"/>
            <w:bottom w:val="none" w:sz="0" w:space="0" w:color="auto"/>
            <w:right w:val="none" w:sz="0" w:space="0" w:color="auto"/>
          </w:divBdr>
        </w:div>
        <w:div w:id="1567185547">
          <w:marLeft w:val="0"/>
          <w:marRight w:val="0"/>
          <w:marTop w:val="0"/>
          <w:marBottom w:val="0"/>
          <w:divBdr>
            <w:top w:val="none" w:sz="0" w:space="0" w:color="auto"/>
            <w:left w:val="none" w:sz="0" w:space="0" w:color="auto"/>
            <w:bottom w:val="none" w:sz="0" w:space="0" w:color="auto"/>
            <w:right w:val="none" w:sz="0" w:space="0" w:color="auto"/>
          </w:divBdr>
        </w:div>
      </w:divsChild>
    </w:div>
    <w:div w:id="926236048">
      <w:bodyDiv w:val="1"/>
      <w:marLeft w:val="0"/>
      <w:marRight w:val="0"/>
      <w:marTop w:val="0"/>
      <w:marBottom w:val="0"/>
      <w:divBdr>
        <w:top w:val="none" w:sz="0" w:space="0" w:color="auto"/>
        <w:left w:val="none" w:sz="0" w:space="0" w:color="auto"/>
        <w:bottom w:val="none" w:sz="0" w:space="0" w:color="auto"/>
        <w:right w:val="none" w:sz="0" w:space="0" w:color="auto"/>
      </w:divBdr>
      <w:divsChild>
        <w:div w:id="214047434">
          <w:marLeft w:val="1008"/>
          <w:marRight w:val="0"/>
          <w:marTop w:val="80"/>
          <w:marBottom w:val="0"/>
          <w:divBdr>
            <w:top w:val="none" w:sz="0" w:space="0" w:color="auto"/>
            <w:left w:val="none" w:sz="0" w:space="0" w:color="auto"/>
            <w:bottom w:val="none" w:sz="0" w:space="0" w:color="auto"/>
            <w:right w:val="none" w:sz="0" w:space="0" w:color="auto"/>
          </w:divBdr>
        </w:div>
        <w:div w:id="511186071">
          <w:marLeft w:val="1008"/>
          <w:marRight w:val="0"/>
          <w:marTop w:val="80"/>
          <w:marBottom w:val="0"/>
          <w:divBdr>
            <w:top w:val="none" w:sz="0" w:space="0" w:color="auto"/>
            <w:left w:val="none" w:sz="0" w:space="0" w:color="auto"/>
            <w:bottom w:val="none" w:sz="0" w:space="0" w:color="auto"/>
            <w:right w:val="none" w:sz="0" w:space="0" w:color="auto"/>
          </w:divBdr>
        </w:div>
        <w:div w:id="797331729">
          <w:marLeft w:val="1008"/>
          <w:marRight w:val="0"/>
          <w:marTop w:val="80"/>
          <w:marBottom w:val="0"/>
          <w:divBdr>
            <w:top w:val="none" w:sz="0" w:space="0" w:color="auto"/>
            <w:left w:val="none" w:sz="0" w:space="0" w:color="auto"/>
            <w:bottom w:val="none" w:sz="0" w:space="0" w:color="auto"/>
            <w:right w:val="none" w:sz="0" w:space="0" w:color="auto"/>
          </w:divBdr>
        </w:div>
        <w:div w:id="1076706885">
          <w:marLeft w:val="1008"/>
          <w:marRight w:val="0"/>
          <w:marTop w:val="80"/>
          <w:marBottom w:val="0"/>
          <w:divBdr>
            <w:top w:val="none" w:sz="0" w:space="0" w:color="auto"/>
            <w:left w:val="none" w:sz="0" w:space="0" w:color="auto"/>
            <w:bottom w:val="none" w:sz="0" w:space="0" w:color="auto"/>
            <w:right w:val="none" w:sz="0" w:space="0" w:color="auto"/>
          </w:divBdr>
        </w:div>
        <w:div w:id="1304234001">
          <w:marLeft w:val="1008"/>
          <w:marRight w:val="0"/>
          <w:marTop w:val="80"/>
          <w:marBottom w:val="0"/>
          <w:divBdr>
            <w:top w:val="none" w:sz="0" w:space="0" w:color="auto"/>
            <w:left w:val="none" w:sz="0" w:space="0" w:color="auto"/>
            <w:bottom w:val="none" w:sz="0" w:space="0" w:color="auto"/>
            <w:right w:val="none" w:sz="0" w:space="0" w:color="auto"/>
          </w:divBdr>
        </w:div>
        <w:div w:id="1957903399">
          <w:marLeft w:val="1008"/>
          <w:marRight w:val="0"/>
          <w:marTop w:val="80"/>
          <w:marBottom w:val="0"/>
          <w:divBdr>
            <w:top w:val="none" w:sz="0" w:space="0" w:color="auto"/>
            <w:left w:val="none" w:sz="0" w:space="0" w:color="auto"/>
            <w:bottom w:val="none" w:sz="0" w:space="0" w:color="auto"/>
            <w:right w:val="none" w:sz="0" w:space="0" w:color="auto"/>
          </w:divBdr>
        </w:div>
        <w:div w:id="2130279291">
          <w:marLeft w:val="1008"/>
          <w:marRight w:val="0"/>
          <w:marTop w:val="80"/>
          <w:marBottom w:val="0"/>
          <w:divBdr>
            <w:top w:val="none" w:sz="0" w:space="0" w:color="auto"/>
            <w:left w:val="none" w:sz="0" w:space="0" w:color="auto"/>
            <w:bottom w:val="none" w:sz="0" w:space="0" w:color="auto"/>
            <w:right w:val="none" w:sz="0" w:space="0" w:color="auto"/>
          </w:divBdr>
        </w:div>
      </w:divsChild>
    </w:div>
    <w:div w:id="1040781213">
      <w:bodyDiv w:val="1"/>
      <w:marLeft w:val="0"/>
      <w:marRight w:val="0"/>
      <w:marTop w:val="0"/>
      <w:marBottom w:val="0"/>
      <w:divBdr>
        <w:top w:val="none" w:sz="0" w:space="0" w:color="auto"/>
        <w:left w:val="none" w:sz="0" w:space="0" w:color="auto"/>
        <w:bottom w:val="none" w:sz="0" w:space="0" w:color="auto"/>
        <w:right w:val="none" w:sz="0" w:space="0" w:color="auto"/>
      </w:divBdr>
      <w:divsChild>
        <w:div w:id="1096056412">
          <w:marLeft w:val="0"/>
          <w:marRight w:val="0"/>
          <w:marTop w:val="0"/>
          <w:marBottom w:val="0"/>
          <w:divBdr>
            <w:top w:val="none" w:sz="0" w:space="0" w:color="auto"/>
            <w:left w:val="none" w:sz="0" w:space="0" w:color="auto"/>
            <w:bottom w:val="none" w:sz="0" w:space="0" w:color="auto"/>
            <w:right w:val="none" w:sz="0" w:space="0" w:color="auto"/>
          </w:divBdr>
        </w:div>
        <w:div w:id="1957060499">
          <w:marLeft w:val="0"/>
          <w:marRight w:val="0"/>
          <w:marTop w:val="0"/>
          <w:marBottom w:val="0"/>
          <w:divBdr>
            <w:top w:val="none" w:sz="0" w:space="0" w:color="auto"/>
            <w:left w:val="none" w:sz="0" w:space="0" w:color="auto"/>
            <w:bottom w:val="none" w:sz="0" w:space="0" w:color="auto"/>
            <w:right w:val="none" w:sz="0" w:space="0" w:color="auto"/>
          </w:divBdr>
        </w:div>
      </w:divsChild>
    </w:div>
    <w:div w:id="1041245636">
      <w:bodyDiv w:val="1"/>
      <w:marLeft w:val="0"/>
      <w:marRight w:val="0"/>
      <w:marTop w:val="0"/>
      <w:marBottom w:val="0"/>
      <w:divBdr>
        <w:top w:val="none" w:sz="0" w:space="0" w:color="auto"/>
        <w:left w:val="none" w:sz="0" w:space="0" w:color="auto"/>
        <w:bottom w:val="none" w:sz="0" w:space="0" w:color="auto"/>
        <w:right w:val="none" w:sz="0" w:space="0" w:color="auto"/>
      </w:divBdr>
      <w:divsChild>
        <w:div w:id="211814085">
          <w:marLeft w:val="1008"/>
          <w:marRight w:val="0"/>
          <w:marTop w:val="80"/>
          <w:marBottom w:val="0"/>
          <w:divBdr>
            <w:top w:val="none" w:sz="0" w:space="0" w:color="auto"/>
            <w:left w:val="none" w:sz="0" w:space="0" w:color="auto"/>
            <w:bottom w:val="none" w:sz="0" w:space="0" w:color="auto"/>
            <w:right w:val="none" w:sz="0" w:space="0" w:color="auto"/>
          </w:divBdr>
        </w:div>
        <w:div w:id="1024092049">
          <w:marLeft w:val="1008"/>
          <w:marRight w:val="0"/>
          <w:marTop w:val="80"/>
          <w:marBottom w:val="0"/>
          <w:divBdr>
            <w:top w:val="none" w:sz="0" w:space="0" w:color="auto"/>
            <w:left w:val="none" w:sz="0" w:space="0" w:color="auto"/>
            <w:bottom w:val="none" w:sz="0" w:space="0" w:color="auto"/>
            <w:right w:val="none" w:sz="0" w:space="0" w:color="auto"/>
          </w:divBdr>
        </w:div>
        <w:div w:id="1258757259">
          <w:marLeft w:val="1008"/>
          <w:marRight w:val="0"/>
          <w:marTop w:val="80"/>
          <w:marBottom w:val="0"/>
          <w:divBdr>
            <w:top w:val="none" w:sz="0" w:space="0" w:color="auto"/>
            <w:left w:val="none" w:sz="0" w:space="0" w:color="auto"/>
            <w:bottom w:val="none" w:sz="0" w:space="0" w:color="auto"/>
            <w:right w:val="none" w:sz="0" w:space="0" w:color="auto"/>
          </w:divBdr>
        </w:div>
      </w:divsChild>
    </w:div>
    <w:div w:id="1359967595">
      <w:bodyDiv w:val="1"/>
      <w:marLeft w:val="0"/>
      <w:marRight w:val="0"/>
      <w:marTop w:val="0"/>
      <w:marBottom w:val="0"/>
      <w:divBdr>
        <w:top w:val="none" w:sz="0" w:space="0" w:color="auto"/>
        <w:left w:val="none" w:sz="0" w:space="0" w:color="auto"/>
        <w:bottom w:val="none" w:sz="0" w:space="0" w:color="auto"/>
        <w:right w:val="none" w:sz="0" w:space="0" w:color="auto"/>
      </w:divBdr>
    </w:div>
    <w:div w:id="1415278541">
      <w:bodyDiv w:val="1"/>
      <w:marLeft w:val="0"/>
      <w:marRight w:val="0"/>
      <w:marTop w:val="0"/>
      <w:marBottom w:val="0"/>
      <w:divBdr>
        <w:top w:val="none" w:sz="0" w:space="0" w:color="auto"/>
        <w:left w:val="none" w:sz="0" w:space="0" w:color="auto"/>
        <w:bottom w:val="none" w:sz="0" w:space="0" w:color="auto"/>
        <w:right w:val="none" w:sz="0" w:space="0" w:color="auto"/>
      </w:divBdr>
    </w:div>
    <w:div w:id="1626540852">
      <w:bodyDiv w:val="1"/>
      <w:marLeft w:val="0"/>
      <w:marRight w:val="0"/>
      <w:marTop w:val="0"/>
      <w:marBottom w:val="0"/>
      <w:divBdr>
        <w:top w:val="none" w:sz="0" w:space="0" w:color="auto"/>
        <w:left w:val="none" w:sz="0" w:space="0" w:color="auto"/>
        <w:bottom w:val="none" w:sz="0" w:space="0" w:color="auto"/>
        <w:right w:val="none" w:sz="0" w:space="0" w:color="auto"/>
      </w:divBdr>
      <w:divsChild>
        <w:div w:id="33889969">
          <w:marLeft w:val="0"/>
          <w:marRight w:val="0"/>
          <w:marTop w:val="0"/>
          <w:marBottom w:val="0"/>
          <w:divBdr>
            <w:top w:val="none" w:sz="0" w:space="0" w:color="auto"/>
            <w:left w:val="none" w:sz="0" w:space="0" w:color="auto"/>
            <w:bottom w:val="none" w:sz="0" w:space="0" w:color="auto"/>
            <w:right w:val="none" w:sz="0" w:space="0" w:color="auto"/>
          </w:divBdr>
        </w:div>
        <w:div w:id="180821075">
          <w:marLeft w:val="0"/>
          <w:marRight w:val="0"/>
          <w:marTop w:val="0"/>
          <w:marBottom w:val="0"/>
          <w:divBdr>
            <w:top w:val="none" w:sz="0" w:space="0" w:color="auto"/>
            <w:left w:val="none" w:sz="0" w:space="0" w:color="auto"/>
            <w:bottom w:val="none" w:sz="0" w:space="0" w:color="auto"/>
            <w:right w:val="none" w:sz="0" w:space="0" w:color="auto"/>
          </w:divBdr>
        </w:div>
        <w:div w:id="296492347">
          <w:marLeft w:val="0"/>
          <w:marRight w:val="0"/>
          <w:marTop w:val="0"/>
          <w:marBottom w:val="0"/>
          <w:divBdr>
            <w:top w:val="none" w:sz="0" w:space="0" w:color="auto"/>
            <w:left w:val="none" w:sz="0" w:space="0" w:color="auto"/>
            <w:bottom w:val="none" w:sz="0" w:space="0" w:color="auto"/>
            <w:right w:val="none" w:sz="0" w:space="0" w:color="auto"/>
          </w:divBdr>
        </w:div>
        <w:div w:id="618802426">
          <w:marLeft w:val="0"/>
          <w:marRight w:val="0"/>
          <w:marTop w:val="0"/>
          <w:marBottom w:val="0"/>
          <w:divBdr>
            <w:top w:val="none" w:sz="0" w:space="0" w:color="auto"/>
            <w:left w:val="none" w:sz="0" w:space="0" w:color="auto"/>
            <w:bottom w:val="none" w:sz="0" w:space="0" w:color="auto"/>
            <w:right w:val="none" w:sz="0" w:space="0" w:color="auto"/>
          </w:divBdr>
        </w:div>
      </w:divsChild>
    </w:div>
    <w:div w:id="1679039610">
      <w:bodyDiv w:val="1"/>
      <w:marLeft w:val="0"/>
      <w:marRight w:val="0"/>
      <w:marTop w:val="0"/>
      <w:marBottom w:val="0"/>
      <w:divBdr>
        <w:top w:val="none" w:sz="0" w:space="0" w:color="auto"/>
        <w:left w:val="none" w:sz="0" w:space="0" w:color="auto"/>
        <w:bottom w:val="none" w:sz="0" w:space="0" w:color="auto"/>
        <w:right w:val="none" w:sz="0" w:space="0" w:color="auto"/>
      </w:divBdr>
    </w:div>
    <w:div w:id="1720008810">
      <w:bodyDiv w:val="1"/>
      <w:marLeft w:val="0"/>
      <w:marRight w:val="0"/>
      <w:marTop w:val="0"/>
      <w:marBottom w:val="0"/>
      <w:divBdr>
        <w:top w:val="none" w:sz="0" w:space="0" w:color="auto"/>
        <w:left w:val="none" w:sz="0" w:space="0" w:color="auto"/>
        <w:bottom w:val="none" w:sz="0" w:space="0" w:color="auto"/>
        <w:right w:val="none" w:sz="0" w:space="0" w:color="auto"/>
      </w:divBdr>
    </w:div>
    <w:div w:id="1795324429">
      <w:bodyDiv w:val="1"/>
      <w:marLeft w:val="0"/>
      <w:marRight w:val="0"/>
      <w:marTop w:val="0"/>
      <w:marBottom w:val="0"/>
      <w:divBdr>
        <w:top w:val="none" w:sz="0" w:space="0" w:color="auto"/>
        <w:left w:val="none" w:sz="0" w:space="0" w:color="auto"/>
        <w:bottom w:val="none" w:sz="0" w:space="0" w:color="auto"/>
        <w:right w:val="none" w:sz="0" w:space="0" w:color="auto"/>
      </w:divBdr>
    </w:div>
    <w:div w:id="1903055478">
      <w:bodyDiv w:val="1"/>
      <w:marLeft w:val="0"/>
      <w:marRight w:val="0"/>
      <w:marTop w:val="0"/>
      <w:marBottom w:val="0"/>
      <w:divBdr>
        <w:top w:val="none" w:sz="0" w:space="0" w:color="auto"/>
        <w:left w:val="none" w:sz="0" w:space="0" w:color="auto"/>
        <w:bottom w:val="none" w:sz="0" w:space="0" w:color="auto"/>
        <w:right w:val="none" w:sz="0" w:space="0" w:color="auto"/>
      </w:divBdr>
      <w:divsChild>
        <w:div w:id="313721098">
          <w:marLeft w:val="0"/>
          <w:marRight w:val="0"/>
          <w:marTop w:val="0"/>
          <w:marBottom w:val="0"/>
          <w:divBdr>
            <w:top w:val="none" w:sz="0" w:space="0" w:color="auto"/>
            <w:left w:val="none" w:sz="0" w:space="0" w:color="auto"/>
            <w:bottom w:val="none" w:sz="0" w:space="0" w:color="auto"/>
            <w:right w:val="none" w:sz="0" w:space="0" w:color="auto"/>
          </w:divBdr>
        </w:div>
        <w:div w:id="581181653">
          <w:marLeft w:val="0"/>
          <w:marRight w:val="0"/>
          <w:marTop w:val="0"/>
          <w:marBottom w:val="0"/>
          <w:divBdr>
            <w:top w:val="none" w:sz="0" w:space="0" w:color="auto"/>
            <w:left w:val="none" w:sz="0" w:space="0" w:color="auto"/>
            <w:bottom w:val="none" w:sz="0" w:space="0" w:color="auto"/>
            <w:right w:val="none" w:sz="0" w:space="0" w:color="auto"/>
          </w:divBdr>
        </w:div>
        <w:div w:id="1092166234">
          <w:marLeft w:val="0"/>
          <w:marRight w:val="0"/>
          <w:marTop w:val="0"/>
          <w:marBottom w:val="0"/>
          <w:divBdr>
            <w:top w:val="none" w:sz="0" w:space="0" w:color="auto"/>
            <w:left w:val="none" w:sz="0" w:space="0" w:color="auto"/>
            <w:bottom w:val="none" w:sz="0" w:space="0" w:color="auto"/>
            <w:right w:val="none" w:sz="0" w:space="0" w:color="auto"/>
          </w:divBdr>
        </w:div>
        <w:div w:id="1456827440">
          <w:marLeft w:val="0"/>
          <w:marRight w:val="0"/>
          <w:marTop w:val="0"/>
          <w:marBottom w:val="0"/>
          <w:divBdr>
            <w:top w:val="none" w:sz="0" w:space="0" w:color="auto"/>
            <w:left w:val="none" w:sz="0" w:space="0" w:color="auto"/>
            <w:bottom w:val="none" w:sz="0" w:space="0" w:color="auto"/>
            <w:right w:val="none" w:sz="0" w:space="0" w:color="auto"/>
          </w:divBdr>
        </w:div>
      </w:divsChild>
    </w:div>
    <w:div w:id="1958640690">
      <w:bodyDiv w:val="1"/>
      <w:marLeft w:val="0"/>
      <w:marRight w:val="0"/>
      <w:marTop w:val="0"/>
      <w:marBottom w:val="0"/>
      <w:divBdr>
        <w:top w:val="none" w:sz="0" w:space="0" w:color="auto"/>
        <w:left w:val="none" w:sz="0" w:space="0" w:color="auto"/>
        <w:bottom w:val="none" w:sz="0" w:space="0" w:color="auto"/>
        <w:right w:val="none" w:sz="0" w:space="0" w:color="auto"/>
      </w:divBdr>
    </w:div>
    <w:div w:id="2119174877">
      <w:bodyDiv w:val="1"/>
      <w:marLeft w:val="0"/>
      <w:marRight w:val="0"/>
      <w:marTop w:val="0"/>
      <w:marBottom w:val="0"/>
      <w:divBdr>
        <w:top w:val="none" w:sz="0" w:space="0" w:color="auto"/>
        <w:left w:val="none" w:sz="0" w:space="0" w:color="auto"/>
        <w:bottom w:val="none" w:sz="0" w:space="0" w:color="auto"/>
        <w:right w:val="none" w:sz="0" w:space="0" w:color="auto"/>
      </w:divBdr>
      <w:divsChild>
        <w:div w:id="46154011">
          <w:marLeft w:val="720"/>
          <w:marRight w:val="0"/>
          <w:marTop w:val="120"/>
          <w:marBottom w:val="120"/>
          <w:divBdr>
            <w:top w:val="none" w:sz="0" w:space="0" w:color="auto"/>
            <w:left w:val="none" w:sz="0" w:space="0" w:color="auto"/>
            <w:bottom w:val="none" w:sz="0" w:space="0" w:color="auto"/>
            <w:right w:val="none" w:sz="0" w:space="0" w:color="auto"/>
          </w:divBdr>
        </w:div>
        <w:div w:id="195973816">
          <w:marLeft w:val="720"/>
          <w:marRight w:val="0"/>
          <w:marTop w:val="120"/>
          <w:marBottom w:val="120"/>
          <w:divBdr>
            <w:top w:val="none" w:sz="0" w:space="0" w:color="auto"/>
            <w:left w:val="none" w:sz="0" w:space="0" w:color="auto"/>
            <w:bottom w:val="none" w:sz="0" w:space="0" w:color="auto"/>
            <w:right w:val="none" w:sz="0" w:space="0" w:color="auto"/>
          </w:divBdr>
        </w:div>
        <w:div w:id="216859481">
          <w:marLeft w:val="720"/>
          <w:marRight w:val="0"/>
          <w:marTop w:val="120"/>
          <w:marBottom w:val="120"/>
          <w:divBdr>
            <w:top w:val="none" w:sz="0" w:space="0" w:color="auto"/>
            <w:left w:val="none" w:sz="0" w:space="0" w:color="auto"/>
            <w:bottom w:val="none" w:sz="0" w:space="0" w:color="auto"/>
            <w:right w:val="none" w:sz="0" w:space="0" w:color="auto"/>
          </w:divBdr>
        </w:div>
        <w:div w:id="444927797">
          <w:marLeft w:val="720"/>
          <w:marRight w:val="0"/>
          <w:marTop w:val="120"/>
          <w:marBottom w:val="120"/>
          <w:divBdr>
            <w:top w:val="none" w:sz="0" w:space="0" w:color="auto"/>
            <w:left w:val="none" w:sz="0" w:space="0" w:color="auto"/>
            <w:bottom w:val="none" w:sz="0" w:space="0" w:color="auto"/>
            <w:right w:val="none" w:sz="0" w:space="0" w:color="auto"/>
          </w:divBdr>
        </w:div>
        <w:div w:id="455953470">
          <w:marLeft w:val="720"/>
          <w:marRight w:val="0"/>
          <w:marTop w:val="120"/>
          <w:marBottom w:val="120"/>
          <w:divBdr>
            <w:top w:val="none" w:sz="0" w:space="0" w:color="auto"/>
            <w:left w:val="none" w:sz="0" w:space="0" w:color="auto"/>
            <w:bottom w:val="none" w:sz="0" w:space="0" w:color="auto"/>
            <w:right w:val="none" w:sz="0" w:space="0" w:color="auto"/>
          </w:divBdr>
        </w:div>
        <w:div w:id="929432139">
          <w:marLeft w:val="720"/>
          <w:marRight w:val="0"/>
          <w:marTop w:val="120"/>
          <w:marBottom w:val="120"/>
          <w:divBdr>
            <w:top w:val="none" w:sz="0" w:space="0" w:color="auto"/>
            <w:left w:val="none" w:sz="0" w:space="0" w:color="auto"/>
            <w:bottom w:val="none" w:sz="0" w:space="0" w:color="auto"/>
            <w:right w:val="none" w:sz="0" w:space="0" w:color="auto"/>
          </w:divBdr>
        </w:div>
        <w:div w:id="1319067008">
          <w:marLeft w:val="720"/>
          <w:marRight w:val="0"/>
          <w:marTop w:val="120"/>
          <w:marBottom w:val="120"/>
          <w:divBdr>
            <w:top w:val="none" w:sz="0" w:space="0" w:color="auto"/>
            <w:left w:val="none" w:sz="0" w:space="0" w:color="auto"/>
            <w:bottom w:val="none" w:sz="0" w:space="0" w:color="auto"/>
            <w:right w:val="none" w:sz="0" w:space="0" w:color="auto"/>
          </w:divBdr>
        </w:div>
        <w:div w:id="1778910575">
          <w:marLeft w:val="720"/>
          <w:marRight w:val="0"/>
          <w:marTop w:val="120"/>
          <w:marBottom w:val="120"/>
          <w:divBdr>
            <w:top w:val="none" w:sz="0" w:space="0" w:color="auto"/>
            <w:left w:val="none" w:sz="0" w:space="0" w:color="auto"/>
            <w:bottom w:val="none" w:sz="0" w:space="0" w:color="auto"/>
            <w:right w:val="none" w:sz="0" w:space="0" w:color="auto"/>
          </w:divBdr>
        </w:div>
        <w:div w:id="1930117126">
          <w:marLeft w:val="720"/>
          <w:marRight w:val="0"/>
          <w:marTop w:val="120"/>
          <w:marBottom w:val="120"/>
          <w:divBdr>
            <w:top w:val="none" w:sz="0" w:space="0" w:color="auto"/>
            <w:left w:val="none" w:sz="0" w:space="0" w:color="auto"/>
            <w:bottom w:val="none" w:sz="0" w:space="0" w:color="auto"/>
            <w:right w:val="none" w:sz="0" w:space="0" w:color="auto"/>
          </w:divBdr>
        </w:div>
        <w:div w:id="1934164836">
          <w:marLeft w:val="720"/>
          <w:marRight w:val="0"/>
          <w:marTop w:val="120"/>
          <w:marBottom w:val="120"/>
          <w:divBdr>
            <w:top w:val="none" w:sz="0" w:space="0" w:color="auto"/>
            <w:left w:val="none" w:sz="0" w:space="0" w:color="auto"/>
            <w:bottom w:val="none" w:sz="0" w:space="0" w:color="auto"/>
            <w:right w:val="none" w:sz="0" w:space="0" w:color="auto"/>
          </w:divBdr>
        </w:div>
        <w:div w:id="1957173240">
          <w:marLeft w:val="720"/>
          <w:marRight w:val="0"/>
          <w:marTop w:val="120"/>
          <w:marBottom w:val="120"/>
          <w:divBdr>
            <w:top w:val="none" w:sz="0" w:space="0" w:color="auto"/>
            <w:left w:val="none" w:sz="0" w:space="0" w:color="auto"/>
            <w:bottom w:val="none" w:sz="0" w:space="0" w:color="auto"/>
            <w:right w:val="none" w:sz="0" w:space="0" w:color="auto"/>
          </w:divBdr>
        </w:div>
        <w:div w:id="1958098814">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E295A9-9335-4478-A06D-FEDAAA60C612}" type="doc">
      <dgm:prSet loTypeId="urn:microsoft.com/office/officeart/2005/8/layout/gear1" loCatId="process" qsTypeId="urn:microsoft.com/office/officeart/2005/8/quickstyle/simple1" qsCatId="simple" csTypeId="urn:microsoft.com/office/officeart/2005/8/colors/accent1_2" csCatId="accent1" phldr="0"/>
      <dgm:spPr/>
    </dgm:pt>
    <dgm:pt modelId="{DDA700AB-43A2-41F5-9302-FEA1A45D524A}">
      <dgm:prSet phldrT="[Texte]"/>
      <dgm:spPr>
        <a:xfrm>
          <a:off x="818029" y="340636"/>
          <a:ext cx="416333" cy="41633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solidFill>
              <a:sysClr val="window" lastClr="FFFFFF"/>
            </a:solidFill>
            <a:latin typeface="Calibri"/>
            <a:ea typeface="+mn-ea"/>
            <a:cs typeface="+mn-cs"/>
          </a:endParaRPr>
        </a:p>
      </dgm:t>
    </dgm:pt>
    <dgm:pt modelId="{1908947D-00E5-4963-B1C4-BD2B1928C857}" type="parTrans" cxnId="{0D6BD32D-BF5E-4315-BDC2-E4A994BD4327}">
      <dgm:prSet/>
      <dgm:spPr/>
      <dgm:t>
        <a:bodyPr/>
        <a:lstStyle/>
        <a:p>
          <a:endParaRPr lang="fr-FR"/>
        </a:p>
      </dgm:t>
    </dgm:pt>
    <dgm:pt modelId="{071196C8-7828-4A9B-8722-E79031044AD8}" type="sibTrans" cxnId="{0D6BD32D-BF5E-4315-BDC2-E4A994BD4327}">
      <dgm:prSet/>
      <dgm:spPr>
        <a:xfrm>
          <a:off x="757943" y="291297"/>
          <a:ext cx="532906" cy="532906"/>
        </a:xfrm>
        <a:solidFill>
          <a:srgbClr val="5B9BD5">
            <a:tint val="60000"/>
            <a:hueOff val="0"/>
            <a:satOff val="0"/>
            <a:lumOff val="0"/>
            <a:alphaOff val="0"/>
          </a:srgbClr>
        </a:solidFill>
        <a:ln>
          <a:noFill/>
        </a:ln>
        <a:effectLst/>
      </dgm:spPr>
      <dgm:t>
        <a:bodyPr/>
        <a:lstStyle/>
        <a:p>
          <a:endParaRPr lang="fr-FR"/>
        </a:p>
      </dgm:t>
    </dgm:pt>
    <dgm:pt modelId="{886426E0-E028-4C38-B940-A8AAEC6443F3}">
      <dgm:prSet phldrT="[Texte]"/>
      <dgm:spPr>
        <a:xfrm>
          <a:off x="575799" y="242230"/>
          <a:ext cx="302788" cy="30278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solidFill>
              <a:sysClr val="window" lastClr="FFFFFF"/>
            </a:solidFill>
            <a:latin typeface="Calibri"/>
            <a:ea typeface="+mn-ea"/>
            <a:cs typeface="+mn-cs"/>
          </a:endParaRPr>
        </a:p>
      </dgm:t>
    </dgm:pt>
    <dgm:pt modelId="{3022471A-14EC-481A-B17A-C57E9FA3F3B9}" type="parTrans" cxnId="{DA30B2C6-F019-465E-BF36-2474F263AF2F}">
      <dgm:prSet/>
      <dgm:spPr/>
      <dgm:t>
        <a:bodyPr/>
        <a:lstStyle/>
        <a:p>
          <a:endParaRPr lang="fr-FR"/>
        </a:p>
      </dgm:t>
    </dgm:pt>
    <dgm:pt modelId="{04BE7C97-5A2C-489B-9B21-71613C9A7F2D}" type="sibTrans" cxnId="{DA30B2C6-F019-465E-BF36-2474F263AF2F}">
      <dgm:prSet/>
      <dgm:spPr>
        <a:xfrm>
          <a:off x="522176" y="189986"/>
          <a:ext cx="387190" cy="387190"/>
        </a:xfrm>
        <a:solidFill>
          <a:srgbClr val="5B9BD5">
            <a:tint val="60000"/>
            <a:hueOff val="0"/>
            <a:satOff val="0"/>
            <a:lumOff val="0"/>
            <a:alphaOff val="0"/>
          </a:srgbClr>
        </a:solidFill>
        <a:ln>
          <a:noFill/>
        </a:ln>
        <a:effectLst/>
      </dgm:spPr>
      <dgm:t>
        <a:bodyPr/>
        <a:lstStyle/>
        <a:p>
          <a:endParaRPr lang="fr-FR"/>
        </a:p>
      </dgm:t>
    </dgm:pt>
    <dgm:pt modelId="{E452640F-ED3C-42C6-BB69-ADFE0ABCC0B6}">
      <dgm:prSet phldrT="[Texte]"/>
      <dgm:spPr>
        <a:xfrm rot="20700000">
          <a:off x="745391" y="33337"/>
          <a:ext cx="296670" cy="29667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fr-FR">
            <a:solidFill>
              <a:sysClr val="window" lastClr="FFFFFF"/>
            </a:solidFill>
            <a:latin typeface="Calibri"/>
            <a:ea typeface="+mn-ea"/>
            <a:cs typeface="+mn-cs"/>
          </a:endParaRPr>
        </a:p>
      </dgm:t>
    </dgm:pt>
    <dgm:pt modelId="{A4D3D45D-9A11-42E2-936B-762EF4FF4803}" type="parTrans" cxnId="{61F84C19-32F0-4783-90E5-9406CFE83A03}">
      <dgm:prSet/>
      <dgm:spPr/>
      <dgm:t>
        <a:bodyPr/>
        <a:lstStyle/>
        <a:p>
          <a:endParaRPr lang="fr-FR"/>
        </a:p>
      </dgm:t>
    </dgm:pt>
    <dgm:pt modelId="{C6C030E1-AD4D-411E-9785-EF44D4C4B481}" type="sibTrans" cxnId="{61F84C19-32F0-4783-90E5-9406CFE83A03}">
      <dgm:prSet/>
      <dgm:spPr>
        <a:xfrm>
          <a:off x="676768" y="-16892"/>
          <a:ext cx="417468" cy="417468"/>
        </a:xfrm>
        <a:solidFill>
          <a:srgbClr val="5B9BD5">
            <a:tint val="60000"/>
            <a:hueOff val="0"/>
            <a:satOff val="0"/>
            <a:lumOff val="0"/>
            <a:alphaOff val="0"/>
          </a:srgbClr>
        </a:solidFill>
        <a:ln>
          <a:noFill/>
        </a:ln>
        <a:effectLst/>
      </dgm:spPr>
      <dgm:t>
        <a:bodyPr/>
        <a:lstStyle/>
        <a:p>
          <a:endParaRPr lang="fr-FR"/>
        </a:p>
      </dgm:t>
    </dgm:pt>
    <dgm:pt modelId="{B78E6F24-1D06-45D2-9DD5-EAB2E296F975}" type="pres">
      <dgm:prSet presAssocID="{74E295A9-9335-4478-A06D-FEDAAA60C612}" presName="composite" presStyleCnt="0">
        <dgm:presLayoutVars>
          <dgm:chMax val="3"/>
          <dgm:animLvl val="lvl"/>
          <dgm:resizeHandles val="exact"/>
        </dgm:presLayoutVars>
      </dgm:prSet>
      <dgm:spPr/>
    </dgm:pt>
    <dgm:pt modelId="{0C298C3B-7766-404A-A14D-B23E004981F7}" type="pres">
      <dgm:prSet presAssocID="{DDA700AB-43A2-41F5-9302-FEA1A45D524A}" presName="gear1" presStyleLbl="node1" presStyleIdx="0" presStyleCnt="3">
        <dgm:presLayoutVars>
          <dgm:chMax val="1"/>
          <dgm:bulletEnabled val="1"/>
        </dgm:presLayoutVars>
      </dgm:prSet>
      <dgm:spPr>
        <a:prstGeom prst="gear9">
          <a:avLst/>
        </a:prstGeom>
      </dgm:spPr>
    </dgm:pt>
    <dgm:pt modelId="{ED4022AB-B29E-4489-9EA5-17C1114AB920}" type="pres">
      <dgm:prSet presAssocID="{DDA700AB-43A2-41F5-9302-FEA1A45D524A}" presName="gear1srcNode" presStyleLbl="node1" presStyleIdx="0" presStyleCnt="3"/>
      <dgm:spPr/>
    </dgm:pt>
    <dgm:pt modelId="{C587FA56-C45F-412E-BBEF-5055172F0076}" type="pres">
      <dgm:prSet presAssocID="{DDA700AB-43A2-41F5-9302-FEA1A45D524A}" presName="gear1dstNode" presStyleLbl="node1" presStyleIdx="0" presStyleCnt="3"/>
      <dgm:spPr/>
    </dgm:pt>
    <dgm:pt modelId="{16CCAE70-61BD-4380-80E5-5BF9DD4215AF}" type="pres">
      <dgm:prSet presAssocID="{886426E0-E028-4C38-B940-A8AAEC6443F3}" presName="gear2" presStyleLbl="node1" presStyleIdx="1" presStyleCnt="3">
        <dgm:presLayoutVars>
          <dgm:chMax val="1"/>
          <dgm:bulletEnabled val="1"/>
        </dgm:presLayoutVars>
      </dgm:prSet>
      <dgm:spPr>
        <a:prstGeom prst="gear6">
          <a:avLst/>
        </a:prstGeom>
      </dgm:spPr>
    </dgm:pt>
    <dgm:pt modelId="{9C28A494-80C7-4416-8C3F-415F2298AA53}" type="pres">
      <dgm:prSet presAssocID="{886426E0-E028-4C38-B940-A8AAEC6443F3}" presName="gear2srcNode" presStyleLbl="node1" presStyleIdx="1" presStyleCnt="3"/>
      <dgm:spPr/>
    </dgm:pt>
    <dgm:pt modelId="{A38757A8-014E-4DFA-AEF1-071AAB3F7EB2}" type="pres">
      <dgm:prSet presAssocID="{886426E0-E028-4C38-B940-A8AAEC6443F3}" presName="gear2dstNode" presStyleLbl="node1" presStyleIdx="1" presStyleCnt="3"/>
      <dgm:spPr/>
    </dgm:pt>
    <dgm:pt modelId="{B0FEAC73-1E66-49D9-AF65-D663B033404D}" type="pres">
      <dgm:prSet presAssocID="{E452640F-ED3C-42C6-BB69-ADFE0ABCC0B6}" presName="gear3" presStyleLbl="node1" presStyleIdx="2" presStyleCnt="3"/>
      <dgm:spPr>
        <a:prstGeom prst="gear6">
          <a:avLst/>
        </a:prstGeom>
      </dgm:spPr>
    </dgm:pt>
    <dgm:pt modelId="{D9A47095-EE64-47DC-8CE2-E7CE682A0CC1}" type="pres">
      <dgm:prSet presAssocID="{E452640F-ED3C-42C6-BB69-ADFE0ABCC0B6}" presName="gear3tx" presStyleLbl="node1" presStyleIdx="2" presStyleCnt="3">
        <dgm:presLayoutVars>
          <dgm:chMax val="1"/>
          <dgm:bulletEnabled val="1"/>
        </dgm:presLayoutVars>
      </dgm:prSet>
      <dgm:spPr/>
    </dgm:pt>
    <dgm:pt modelId="{28F0BA5C-5AB7-4446-BC61-778944B674D7}" type="pres">
      <dgm:prSet presAssocID="{E452640F-ED3C-42C6-BB69-ADFE0ABCC0B6}" presName="gear3srcNode" presStyleLbl="node1" presStyleIdx="2" presStyleCnt="3"/>
      <dgm:spPr/>
    </dgm:pt>
    <dgm:pt modelId="{0A89C3FF-4C37-49B4-AC77-355E1027C48D}" type="pres">
      <dgm:prSet presAssocID="{E452640F-ED3C-42C6-BB69-ADFE0ABCC0B6}" presName="gear3dstNode" presStyleLbl="node1" presStyleIdx="2" presStyleCnt="3"/>
      <dgm:spPr/>
    </dgm:pt>
    <dgm:pt modelId="{6F883E7B-C4B5-4F72-B781-BA4DBE40DEDF}" type="pres">
      <dgm:prSet presAssocID="{071196C8-7828-4A9B-8722-E79031044AD8}" presName="connector1" presStyleLbl="sibTrans2D1" presStyleIdx="0" presStyleCnt="3"/>
      <dgm:spPr>
        <a:prstGeom prst="circularArrow">
          <a:avLst>
            <a:gd name="adj1" fmla="val 4687"/>
            <a:gd name="adj2" fmla="val 299029"/>
            <a:gd name="adj3" fmla="val 2243965"/>
            <a:gd name="adj4" fmla="val 16690128"/>
            <a:gd name="adj5" fmla="val 5469"/>
          </a:avLst>
        </a:prstGeom>
      </dgm:spPr>
    </dgm:pt>
    <dgm:pt modelId="{94E63DA8-B58C-4333-9E17-C41FC6C6DAF6}" type="pres">
      <dgm:prSet presAssocID="{04BE7C97-5A2C-489B-9B21-71613C9A7F2D}" presName="connector2" presStyleLbl="sibTrans2D1" presStyleIdx="1" presStyleCnt="3"/>
      <dgm:spPr>
        <a:prstGeom prst="leftCircularArrow">
          <a:avLst>
            <a:gd name="adj1" fmla="val 6452"/>
            <a:gd name="adj2" fmla="val 429999"/>
            <a:gd name="adj3" fmla="val 10489124"/>
            <a:gd name="adj4" fmla="val 14837806"/>
            <a:gd name="adj5" fmla="val 7527"/>
          </a:avLst>
        </a:prstGeom>
      </dgm:spPr>
    </dgm:pt>
    <dgm:pt modelId="{DCA42FD7-ACCB-44AC-917C-EC03E95D3118}" type="pres">
      <dgm:prSet presAssocID="{C6C030E1-AD4D-411E-9785-EF44D4C4B481}" presName="connector3" presStyleLbl="sibTrans2D1" presStyleIdx="2" presStyleCnt="3"/>
      <dgm:spPr>
        <a:prstGeom prst="circularArrow">
          <a:avLst>
            <a:gd name="adj1" fmla="val 5984"/>
            <a:gd name="adj2" fmla="val 394124"/>
            <a:gd name="adj3" fmla="val 13313824"/>
            <a:gd name="adj4" fmla="val 10508221"/>
            <a:gd name="adj5" fmla="val 6981"/>
          </a:avLst>
        </a:prstGeom>
      </dgm:spPr>
    </dgm:pt>
  </dgm:ptLst>
  <dgm:cxnLst>
    <dgm:cxn modelId="{39FD8F11-8972-4100-85B9-F306B13E5DFB}" type="presOf" srcId="{E452640F-ED3C-42C6-BB69-ADFE0ABCC0B6}" destId="{0A89C3FF-4C37-49B4-AC77-355E1027C48D}" srcOrd="3" destOrd="0" presId="urn:microsoft.com/office/officeart/2005/8/layout/gear1"/>
    <dgm:cxn modelId="{32B7BB13-E288-44D6-930D-CFEBE63B1331}" type="presOf" srcId="{886426E0-E028-4C38-B940-A8AAEC6443F3}" destId="{A38757A8-014E-4DFA-AEF1-071AAB3F7EB2}" srcOrd="2" destOrd="0" presId="urn:microsoft.com/office/officeart/2005/8/layout/gear1"/>
    <dgm:cxn modelId="{61F84C19-32F0-4783-90E5-9406CFE83A03}" srcId="{74E295A9-9335-4478-A06D-FEDAAA60C612}" destId="{E452640F-ED3C-42C6-BB69-ADFE0ABCC0B6}" srcOrd="2" destOrd="0" parTransId="{A4D3D45D-9A11-42E2-936B-762EF4FF4803}" sibTransId="{C6C030E1-AD4D-411E-9785-EF44D4C4B481}"/>
    <dgm:cxn modelId="{0D6BD32D-BF5E-4315-BDC2-E4A994BD4327}" srcId="{74E295A9-9335-4478-A06D-FEDAAA60C612}" destId="{DDA700AB-43A2-41F5-9302-FEA1A45D524A}" srcOrd="0" destOrd="0" parTransId="{1908947D-00E5-4963-B1C4-BD2B1928C857}" sibTransId="{071196C8-7828-4A9B-8722-E79031044AD8}"/>
    <dgm:cxn modelId="{77F90475-3AD2-4102-B9CD-503EE2868AF2}" type="presOf" srcId="{E452640F-ED3C-42C6-BB69-ADFE0ABCC0B6}" destId="{D9A47095-EE64-47DC-8CE2-E7CE682A0CC1}" srcOrd="1" destOrd="0" presId="urn:microsoft.com/office/officeart/2005/8/layout/gear1"/>
    <dgm:cxn modelId="{F5075A55-DE6B-4263-9A44-BC616B1F1C88}" type="presOf" srcId="{74E295A9-9335-4478-A06D-FEDAAA60C612}" destId="{B78E6F24-1D06-45D2-9DD5-EAB2E296F975}" srcOrd="0" destOrd="0" presId="urn:microsoft.com/office/officeart/2005/8/layout/gear1"/>
    <dgm:cxn modelId="{A91DD881-406E-4CD0-AFAD-66AB95CEEC04}" type="presOf" srcId="{DDA700AB-43A2-41F5-9302-FEA1A45D524A}" destId="{ED4022AB-B29E-4489-9EA5-17C1114AB920}" srcOrd="1" destOrd="0" presId="urn:microsoft.com/office/officeart/2005/8/layout/gear1"/>
    <dgm:cxn modelId="{7C0F5486-4356-49F9-86ED-A6D8133BE671}" type="presOf" srcId="{886426E0-E028-4C38-B940-A8AAEC6443F3}" destId="{16CCAE70-61BD-4380-80E5-5BF9DD4215AF}" srcOrd="0" destOrd="0" presId="urn:microsoft.com/office/officeart/2005/8/layout/gear1"/>
    <dgm:cxn modelId="{A5EDD493-76E8-4A3A-9BBC-E31D743F8AD7}" type="presOf" srcId="{DDA700AB-43A2-41F5-9302-FEA1A45D524A}" destId="{C587FA56-C45F-412E-BBEF-5055172F0076}" srcOrd="2" destOrd="0" presId="urn:microsoft.com/office/officeart/2005/8/layout/gear1"/>
    <dgm:cxn modelId="{9CBD2799-0EF3-46F8-AC90-151C6CFCDCBA}" type="presOf" srcId="{C6C030E1-AD4D-411E-9785-EF44D4C4B481}" destId="{DCA42FD7-ACCB-44AC-917C-EC03E95D3118}" srcOrd="0" destOrd="0" presId="urn:microsoft.com/office/officeart/2005/8/layout/gear1"/>
    <dgm:cxn modelId="{37565EBD-9686-4816-B918-DD5967990843}" type="presOf" srcId="{04BE7C97-5A2C-489B-9B21-71613C9A7F2D}" destId="{94E63DA8-B58C-4333-9E17-C41FC6C6DAF6}" srcOrd="0" destOrd="0" presId="urn:microsoft.com/office/officeart/2005/8/layout/gear1"/>
    <dgm:cxn modelId="{44C82EC0-B5D5-414C-8130-73C2027D72B1}" type="presOf" srcId="{E452640F-ED3C-42C6-BB69-ADFE0ABCC0B6}" destId="{B0FEAC73-1E66-49D9-AF65-D663B033404D}" srcOrd="0" destOrd="0" presId="urn:microsoft.com/office/officeart/2005/8/layout/gear1"/>
    <dgm:cxn modelId="{E6F27AC2-3004-47FE-8B15-811A2DFD607A}" type="presOf" srcId="{E452640F-ED3C-42C6-BB69-ADFE0ABCC0B6}" destId="{28F0BA5C-5AB7-4446-BC61-778944B674D7}" srcOrd="2" destOrd="0" presId="urn:microsoft.com/office/officeart/2005/8/layout/gear1"/>
    <dgm:cxn modelId="{DA30B2C6-F019-465E-BF36-2474F263AF2F}" srcId="{74E295A9-9335-4478-A06D-FEDAAA60C612}" destId="{886426E0-E028-4C38-B940-A8AAEC6443F3}" srcOrd="1" destOrd="0" parTransId="{3022471A-14EC-481A-B17A-C57E9FA3F3B9}" sibTransId="{04BE7C97-5A2C-489B-9B21-71613C9A7F2D}"/>
    <dgm:cxn modelId="{EBF4BDCD-60DC-4501-B711-F266E28D527F}" type="presOf" srcId="{886426E0-E028-4C38-B940-A8AAEC6443F3}" destId="{9C28A494-80C7-4416-8C3F-415F2298AA53}" srcOrd="1" destOrd="0" presId="urn:microsoft.com/office/officeart/2005/8/layout/gear1"/>
    <dgm:cxn modelId="{0479C4F6-60E3-472E-ABE3-496084853FE3}" type="presOf" srcId="{DDA700AB-43A2-41F5-9302-FEA1A45D524A}" destId="{0C298C3B-7766-404A-A14D-B23E004981F7}" srcOrd="0" destOrd="0" presId="urn:microsoft.com/office/officeart/2005/8/layout/gear1"/>
    <dgm:cxn modelId="{073CD5FD-2435-471F-92C4-045FEE40D697}" type="presOf" srcId="{071196C8-7828-4A9B-8722-E79031044AD8}" destId="{6F883E7B-C4B5-4F72-B781-BA4DBE40DEDF}" srcOrd="0" destOrd="0" presId="urn:microsoft.com/office/officeart/2005/8/layout/gear1"/>
    <dgm:cxn modelId="{26043323-BC99-454F-8B99-017CA9D53017}" type="presParOf" srcId="{B78E6F24-1D06-45D2-9DD5-EAB2E296F975}" destId="{0C298C3B-7766-404A-A14D-B23E004981F7}" srcOrd="0" destOrd="0" presId="urn:microsoft.com/office/officeart/2005/8/layout/gear1"/>
    <dgm:cxn modelId="{CA217B27-D574-41B0-ACB1-9D68AF66999C}" type="presParOf" srcId="{B78E6F24-1D06-45D2-9DD5-EAB2E296F975}" destId="{ED4022AB-B29E-4489-9EA5-17C1114AB920}" srcOrd="1" destOrd="0" presId="urn:microsoft.com/office/officeart/2005/8/layout/gear1"/>
    <dgm:cxn modelId="{CBFC9AC4-CB62-44D0-9A23-592C60F66E62}" type="presParOf" srcId="{B78E6F24-1D06-45D2-9DD5-EAB2E296F975}" destId="{C587FA56-C45F-412E-BBEF-5055172F0076}" srcOrd="2" destOrd="0" presId="urn:microsoft.com/office/officeart/2005/8/layout/gear1"/>
    <dgm:cxn modelId="{AEF9BB0B-5AE7-457E-8D4D-ECC6C1B2521B}" type="presParOf" srcId="{B78E6F24-1D06-45D2-9DD5-EAB2E296F975}" destId="{16CCAE70-61BD-4380-80E5-5BF9DD4215AF}" srcOrd="3" destOrd="0" presId="urn:microsoft.com/office/officeart/2005/8/layout/gear1"/>
    <dgm:cxn modelId="{8D6DAE8F-9F10-45A4-88B8-FBB649085285}" type="presParOf" srcId="{B78E6F24-1D06-45D2-9DD5-EAB2E296F975}" destId="{9C28A494-80C7-4416-8C3F-415F2298AA53}" srcOrd="4" destOrd="0" presId="urn:microsoft.com/office/officeart/2005/8/layout/gear1"/>
    <dgm:cxn modelId="{F3F5DCCB-5243-4617-826B-D9D6758C3CAB}" type="presParOf" srcId="{B78E6F24-1D06-45D2-9DD5-EAB2E296F975}" destId="{A38757A8-014E-4DFA-AEF1-071AAB3F7EB2}" srcOrd="5" destOrd="0" presId="urn:microsoft.com/office/officeart/2005/8/layout/gear1"/>
    <dgm:cxn modelId="{4ABD09BD-0583-4634-8C96-CAE85776D266}" type="presParOf" srcId="{B78E6F24-1D06-45D2-9DD5-EAB2E296F975}" destId="{B0FEAC73-1E66-49D9-AF65-D663B033404D}" srcOrd="6" destOrd="0" presId="urn:microsoft.com/office/officeart/2005/8/layout/gear1"/>
    <dgm:cxn modelId="{F09739BD-CD94-44B2-A419-1CFCF7442A25}" type="presParOf" srcId="{B78E6F24-1D06-45D2-9DD5-EAB2E296F975}" destId="{D9A47095-EE64-47DC-8CE2-E7CE682A0CC1}" srcOrd="7" destOrd="0" presId="urn:microsoft.com/office/officeart/2005/8/layout/gear1"/>
    <dgm:cxn modelId="{CAC2355F-7F79-482C-8567-F1D1FC18BF04}" type="presParOf" srcId="{B78E6F24-1D06-45D2-9DD5-EAB2E296F975}" destId="{28F0BA5C-5AB7-4446-BC61-778944B674D7}" srcOrd="8" destOrd="0" presId="urn:microsoft.com/office/officeart/2005/8/layout/gear1"/>
    <dgm:cxn modelId="{816D8B54-599D-4DE5-94DD-A3517531B862}" type="presParOf" srcId="{B78E6F24-1D06-45D2-9DD5-EAB2E296F975}" destId="{0A89C3FF-4C37-49B4-AC77-355E1027C48D}" srcOrd="9" destOrd="0" presId="urn:microsoft.com/office/officeart/2005/8/layout/gear1"/>
    <dgm:cxn modelId="{38299EEC-6698-433F-A09F-0FE671DAF569}" type="presParOf" srcId="{B78E6F24-1D06-45D2-9DD5-EAB2E296F975}" destId="{6F883E7B-C4B5-4F72-B781-BA4DBE40DEDF}" srcOrd="10" destOrd="0" presId="urn:microsoft.com/office/officeart/2005/8/layout/gear1"/>
    <dgm:cxn modelId="{590D76D3-1344-499F-8831-866B5CECF449}" type="presParOf" srcId="{B78E6F24-1D06-45D2-9DD5-EAB2E296F975}" destId="{94E63DA8-B58C-4333-9E17-C41FC6C6DAF6}" srcOrd="11" destOrd="0" presId="urn:microsoft.com/office/officeart/2005/8/layout/gear1"/>
    <dgm:cxn modelId="{96641C83-6847-4327-8A42-2E8C2FC77C6B}" type="presParOf" srcId="{B78E6F24-1D06-45D2-9DD5-EAB2E296F975}" destId="{DCA42FD7-ACCB-44AC-917C-EC03E95D3118}" srcOrd="12" destOrd="0" presId="urn:microsoft.com/office/officeart/2005/8/layout/gear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298C3B-7766-404A-A14D-B23E004981F7}">
      <dsp:nvSpPr>
        <dsp:cNvPr id="0" name=""/>
        <dsp:cNvSpPr/>
      </dsp:nvSpPr>
      <dsp:spPr>
        <a:xfrm>
          <a:off x="818029" y="340636"/>
          <a:ext cx="416333" cy="416333"/>
        </a:xfrm>
        <a:prstGeom prst="gear9">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fr-FR" sz="1200" kern="1200">
            <a:solidFill>
              <a:sysClr val="window" lastClr="FFFFFF"/>
            </a:solidFill>
            <a:latin typeface="Calibri"/>
            <a:ea typeface="+mn-ea"/>
            <a:cs typeface="+mn-cs"/>
          </a:endParaRPr>
        </a:p>
      </dsp:txBody>
      <dsp:txXfrm>
        <a:off x="901730" y="438160"/>
        <a:ext cx="248931" cy="214004"/>
      </dsp:txXfrm>
    </dsp:sp>
    <dsp:sp modelId="{16CCAE70-61BD-4380-80E5-5BF9DD4215AF}">
      <dsp:nvSpPr>
        <dsp:cNvPr id="0" name=""/>
        <dsp:cNvSpPr/>
      </dsp:nvSpPr>
      <dsp:spPr>
        <a:xfrm>
          <a:off x="575799" y="242230"/>
          <a:ext cx="302788" cy="302788"/>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fr-FR" sz="900" kern="1200">
            <a:solidFill>
              <a:sysClr val="window" lastClr="FFFFFF"/>
            </a:solidFill>
            <a:latin typeface="Calibri"/>
            <a:ea typeface="+mn-ea"/>
            <a:cs typeface="+mn-cs"/>
          </a:endParaRPr>
        </a:p>
      </dsp:txBody>
      <dsp:txXfrm>
        <a:off x="652027" y="318919"/>
        <a:ext cx="150332" cy="149410"/>
      </dsp:txXfrm>
    </dsp:sp>
    <dsp:sp modelId="{B0FEAC73-1E66-49D9-AF65-D663B033404D}">
      <dsp:nvSpPr>
        <dsp:cNvPr id="0" name=""/>
        <dsp:cNvSpPr/>
      </dsp:nvSpPr>
      <dsp:spPr>
        <a:xfrm rot="20700000">
          <a:off x="745391" y="33337"/>
          <a:ext cx="296670" cy="296670"/>
        </a:xfrm>
        <a:prstGeom prst="gear6">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fr-FR" sz="1000" kern="1200">
            <a:solidFill>
              <a:sysClr val="window" lastClr="FFFFFF"/>
            </a:solidFill>
            <a:latin typeface="Calibri"/>
            <a:ea typeface="+mn-ea"/>
            <a:cs typeface="+mn-cs"/>
          </a:endParaRPr>
        </a:p>
      </dsp:txBody>
      <dsp:txXfrm rot="-20700000">
        <a:off x="810460" y="98406"/>
        <a:ext cx="166533" cy="166533"/>
      </dsp:txXfrm>
    </dsp:sp>
    <dsp:sp modelId="{6F883E7B-C4B5-4F72-B781-BA4DBE40DEDF}">
      <dsp:nvSpPr>
        <dsp:cNvPr id="0" name=""/>
        <dsp:cNvSpPr/>
      </dsp:nvSpPr>
      <dsp:spPr>
        <a:xfrm>
          <a:off x="757943" y="291297"/>
          <a:ext cx="532906" cy="532906"/>
        </a:xfrm>
        <a:prstGeom prst="circularArrow">
          <a:avLst>
            <a:gd name="adj1" fmla="val 4687"/>
            <a:gd name="adj2" fmla="val 299029"/>
            <a:gd name="adj3" fmla="val 2243965"/>
            <a:gd name="adj4" fmla="val 16690128"/>
            <a:gd name="adj5" fmla="val 5469"/>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4E63DA8-B58C-4333-9E17-C41FC6C6DAF6}">
      <dsp:nvSpPr>
        <dsp:cNvPr id="0" name=""/>
        <dsp:cNvSpPr/>
      </dsp:nvSpPr>
      <dsp:spPr>
        <a:xfrm>
          <a:off x="522176" y="189986"/>
          <a:ext cx="387190" cy="387190"/>
        </a:xfrm>
        <a:prstGeom prst="leftCircularArrow">
          <a:avLst>
            <a:gd name="adj1" fmla="val 6452"/>
            <a:gd name="adj2" fmla="val 429999"/>
            <a:gd name="adj3" fmla="val 10489124"/>
            <a:gd name="adj4" fmla="val 14837806"/>
            <a:gd name="adj5" fmla="val 7527"/>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DCA42FD7-ACCB-44AC-917C-EC03E95D3118}">
      <dsp:nvSpPr>
        <dsp:cNvPr id="0" name=""/>
        <dsp:cNvSpPr/>
      </dsp:nvSpPr>
      <dsp:spPr>
        <a:xfrm>
          <a:off x="676768" y="-16892"/>
          <a:ext cx="417468" cy="417468"/>
        </a:xfrm>
        <a:prstGeom prst="circularArrow">
          <a:avLst>
            <a:gd name="adj1" fmla="val 5984"/>
            <a:gd name="adj2" fmla="val 394124"/>
            <a:gd name="adj3" fmla="val 13313824"/>
            <a:gd name="adj4" fmla="val 10508221"/>
            <a:gd name="adj5" fmla="val 6981"/>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254D9-C2F1-48A0-97E1-4B0FB21E3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20464</Words>
  <Characters>112556</Characters>
  <Application>Microsoft Office Word</Application>
  <DocSecurity>0</DocSecurity>
  <Lines>937</Lines>
  <Paragraphs>265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132755</CharactersWithSpaces>
  <SharedDoc>false</SharedDoc>
  <HLinks>
    <vt:vector size="564" baseType="variant">
      <vt:variant>
        <vt:i4>7995477</vt:i4>
      </vt:variant>
      <vt:variant>
        <vt:i4>432</vt:i4>
      </vt:variant>
      <vt:variant>
        <vt:i4>0</vt:i4>
      </vt:variant>
      <vt:variant>
        <vt:i4>5</vt:i4>
      </vt:variant>
      <vt:variant>
        <vt:lpwstr>mailto:vincentkerema@yahoo.com</vt:lpwstr>
      </vt:variant>
      <vt:variant>
        <vt:lpwstr/>
      </vt:variant>
      <vt:variant>
        <vt:i4>6684743</vt:i4>
      </vt:variant>
      <vt:variant>
        <vt:i4>429</vt:i4>
      </vt:variant>
      <vt:variant>
        <vt:i4>0</vt:i4>
      </vt:variant>
      <vt:variant>
        <vt:i4>5</vt:i4>
      </vt:variant>
      <vt:variant>
        <vt:lpwstr>mailto:salyoul@yahoo.fr</vt:lpwstr>
      </vt:variant>
      <vt:variant>
        <vt:lpwstr/>
      </vt:variant>
      <vt:variant>
        <vt:i4>327723</vt:i4>
      </vt:variant>
      <vt:variant>
        <vt:i4>426</vt:i4>
      </vt:variant>
      <vt:variant>
        <vt:i4>0</vt:i4>
      </vt:variant>
      <vt:variant>
        <vt:i4>5</vt:i4>
      </vt:variant>
      <vt:variant>
        <vt:lpwstr>mailto:jcremiebre@gmail.com</vt:lpwstr>
      </vt:variant>
      <vt:variant>
        <vt:lpwstr/>
      </vt:variant>
      <vt:variant>
        <vt:i4>8323166</vt:i4>
      </vt:variant>
      <vt:variant>
        <vt:i4>423</vt:i4>
      </vt:variant>
      <vt:variant>
        <vt:i4>0</vt:i4>
      </vt:variant>
      <vt:variant>
        <vt:i4>5</vt:i4>
      </vt:variant>
      <vt:variant>
        <vt:lpwstr>mailto:saajeantolno@gmail.com</vt:lpwstr>
      </vt:variant>
      <vt:variant>
        <vt:lpwstr/>
      </vt:variant>
      <vt:variant>
        <vt:i4>1638436</vt:i4>
      </vt:variant>
      <vt:variant>
        <vt:i4>420</vt:i4>
      </vt:variant>
      <vt:variant>
        <vt:i4>0</vt:i4>
      </vt:variant>
      <vt:variant>
        <vt:i4>5</vt:i4>
      </vt:variant>
      <vt:variant>
        <vt:lpwstr>mailto:agnatomakamano@gmail.com</vt:lpwstr>
      </vt:variant>
      <vt:variant>
        <vt:lpwstr/>
      </vt:variant>
      <vt:variant>
        <vt:i4>917536</vt:i4>
      </vt:variant>
      <vt:variant>
        <vt:i4>417</vt:i4>
      </vt:variant>
      <vt:variant>
        <vt:i4>0</vt:i4>
      </vt:variant>
      <vt:variant>
        <vt:i4>5</vt:i4>
      </vt:variant>
      <vt:variant>
        <vt:lpwstr>mailto:millimounophilippe@gmail.com</vt:lpwstr>
      </vt:variant>
      <vt:variant>
        <vt:lpwstr/>
      </vt:variant>
      <vt:variant>
        <vt:i4>4063301</vt:i4>
      </vt:variant>
      <vt:variant>
        <vt:i4>414</vt:i4>
      </vt:variant>
      <vt:variant>
        <vt:i4>0</vt:i4>
      </vt:variant>
      <vt:variant>
        <vt:i4>5</vt:i4>
      </vt:variant>
      <vt:variant>
        <vt:lpwstr>mailto:fayakamano3@yahoo.fr</vt:lpwstr>
      </vt:variant>
      <vt:variant>
        <vt:lpwstr/>
      </vt:variant>
      <vt:variant>
        <vt:i4>786537</vt:i4>
      </vt:variant>
      <vt:variant>
        <vt:i4>411</vt:i4>
      </vt:variant>
      <vt:variant>
        <vt:i4>0</vt:i4>
      </vt:variant>
      <vt:variant>
        <vt:i4>5</vt:i4>
      </vt:variant>
      <vt:variant>
        <vt:lpwstr>mailto:627200033/fayakamano3@yahoo.fr</vt:lpwstr>
      </vt:variant>
      <vt:variant>
        <vt:lpwstr/>
      </vt:variant>
      <vt:variant>
        <vt:i4>7405661</vt:i4>
      </vt:variant>
      <vt:variant>
        <vt:i4>408</vt:i4>
      </vt:variant>
      <vt:variant>
        <vt:i4>0</vt:i4>
      </vt:variant>
      <vt:variant>
        <vt:i4>5</vt:i4>
      </vt:variant>
      <vt:variant>
        <vt:lpwstr>mailto:moustobay@gmail.com</vt:lpwstr>
      </vt:variant>
      <vt:variant>
        <vt:lpwstr/>
      </vt:variant>
      <vt:variant>
        <vt:i4>131111</vt:i4>
      </vt:variant>
      <vt:variant>
        <vt:i4>405</vt:i4>
      </vt:variant>
      <vt:variant>
        <vt:i4>0</vt:i4>
      </vt:variant>
      <vt:variant>
        <vt:i4>5</vt:i4>
      </vt:variant>
      <vt:variant>
        <vt:lpwstr>mailto:saajacquesleno@gmail.com</vt:lpwstr>
      </vt:variant>
      <vt:variant>
        <vt:lpwstr/>
      </vt:variant>
      <vt:variant>
        <vt:i4>655406</vt:i4>
      </vt:variant>
      <vt:variant>
        <vt:i4>402</vt:i4>
      </vt:variant>
      <vt:variant>
        <vt:i4>0</vt:i4>
      </vt:variant>
      <vt:variant>
        <vt:i4>5</vt:i4>
      </vt:variant>
      <vt:variant>
        <vt:lpwstr>mailto:alybadarabangus@gmail.com</vt:lpwstr>
      </vt:variant>
      <vt:variant>
        <vt:lpwstr/>
      </vt:variant>
      <vt:variant>
        <vt:i4>4784167</vt:i4>
      </vt:variant>
      <vt:variant>
        <vt:i4>399</vt:i4>
      </vt:variant>
      <vt:variant>
        <vt:i4>0</vt:i4>
      </vt:variant>
      <vt:variant>
        <vt:i4>5</vt:i4>
      </vt:variant>
      <vt:variant>
        <vt:lpwstr>mailto:mahmoud.conde@undp.org</vt:lpwstr>
      </vt:variant>
      <vt:variant>
        <vt:lpwstr/>
      </vt:variant>
      <vt:variant>
        <vt:i4>4915317</vt:i4>
      </vt:variant>
      <vt:variant>
        <vt:i4>396</vt:i4>
      </vt:variant>
      <vt:variant>
        <vt:i4>0</vt:i4>
      </vt:variant>
      <vt:variant>
        <vt:i4>5</vt:i4>
      </vt:variant>
      <vt:variant>
        <vt:lpwstr>mailto:628360305%20/mahmoud.conde@undp.org</vt:lpwstr>
      </vt:variant>
      <vt:variant>
        <vt:lpwstr/>
      </vt:variant>
      <vt:variant>
        <vt:i4>6029416</vt:i4>
      </vt:variant>
      <vt:variant>
        <vt:i4>393</vt:i4>
      </vt:variant>
      <vt:variant>
        <vt:i4>0</vt:i4>
      </vt:variant>
      <vt:variant>
        <vt:i4>5</vt:i4>
      </vt:variant>
      <vt:variant>
        <vt:lpwstr>mailto:analakourouma92@gmail.com</vt:lpwstr>
      </vt:variant>
      <vt:variant>
        <vt:lpwstr/>
      </vt:variant>
      <vt:variant>
        <vt:i4>4653102</vt:i4>
      </vt:variant>
      <vt:variant>
        <vt:i4>390</vt:i4>
      </vt:variant>
      <vt:variant>
        <vt:i4>0</vt:i4>
      </vt:variant>
      <vt:variant>
        <vt:i4>5</vt:i4>
      </vt:variant>
      <vt:variant>
        <vt:lpwstr>mailto:wassayah.kzupp@gmail.com</vt:lpwstr>
      </vt:variant>
      <vt:variant>
        <vt:lpwstr/>
      </vt:variant>
      <vt:variant>
        <vt:i4>7471170</vt:i4>
      </vt:variant>
      <vt:variant>
        <vt:i4>387</vt:i4>
      </vt:variant>
      <vt:variant>
        <vt:i4>0</vt:i4>
      </vt:variant>
      <vt:variant>
        <vt:i4>5</vt:i4>
      </vt:variant>
      <vt:variant>
        <vt:lpwstr>mailto:kondianodanieldounia@gmail.com</vt:lpwstr>
      </vt:variant>
      <vt:variant>
        <vt:lpwstr/>
      </vt:variant>
      <vt:variant>
        <vt:i4>327724</vt:i4>
      </vt:variant>
      <vt:variant>
        <vt:i4>384</vt:i4>
      </vt:variant>
      <vt:variant>
        <vt:i4>0</vt:i4>
      </vt:variant>
      <vt:variant>
        <vt:i4>5</vt:i4>
      </vt:variant>
      <vt:variant>
        <vt:lpwstr>mailto:fayabawakamano@gmail.com</vt:lpwstr>
      </vt:variant>
      <vt:variant>
        <vt:lpwstr/>
      </vt:variant>
      <vt:variant>
        <vt:i4>589856</vt:i4>
      </vt:variant>
      <vt:variant>
        <vt:i4>381</vt:i4>
      </vt:variant>
      <vt:variant>
        <vt:i4>0</vt:i4>
      </vt:variant>
      <vt:variant>
        <vt:i4>5</vt:i4>
      </vt:variant>
      <vt:variant>
        <vt:lpwstr>mailto:cecileleno@gmail.com</vt:lpwstr>
      </vt:variant>
      <vt:variant>
        <vt:lpwstr/>
      </vt:variant>
      <vt:variant>
        <vt:i4>2031661</vt:i4>
      </vt:variant>
      <vt:variant>
        <vt:i4>378</vt:i4>
      </vt:variant>
      <vt:variant>
        <vt:i4>0</vt:i4>
      </vt:variant>
      <vt:variant>
        <vt:i4>5</vt:i4>
      </vt:variant>
      <vt:variant>
        <vt:lpwstr>mailto:yandjisayon@gmail.com</vt:lpwstr>
      </vt:variant>
      <vt:variant>
        <vt:lpwstr/>
      </vt:variant>
      <vt:variant>
        <vt:i4>1245296</vt:i4>
      </vt:variant>
      <vt:variant>
        <vt:i4>375</vt:i4>
      </vt:variant>
      <vt:variant>
        <vt:i4>0</vt:i4>
      </vt:variant>
      <vt:variant>
        <vt:i4>5</vt:i4>
      </vt:variant>
      <vt:variant>
        <vt:lpwstr>mailto:joseph.kadouno@undp.org</vt:lpwstr>
      </vt:variant>
      <vt:variant>
        <vt:lpwstr/>
      </vt:variant>
      <vt:variant>
        <vt:i4>524347</vt:i4>
      </vt:variant>
      <vt:variant>
        <vt:i4>372</vt:i4>
      </vt:variant>
      <vt:variant>
        <vt:i4>0</vt:i4>
      </vt:variant>
      <vt:variant>
        <vt:i4>5</vt:i4>
      </vt:variant>
      <vt:variant>
        <vt:lpwstr>mailto:sowboye@gmail.com</vt:lpwstr>
      </vt:variant>
      <vt:variant>
        <vt:lpwstr/>
      </vt:variant>
      <vt:variant>
        <vt:i4>7667780</vt:i4>
      </vt:variant>
      <vt:variant>
        <vt:i4>369</vt:i4>
      </vt:variant>
      <vt:variant>
        <vt:i4>0</vt:i4>
      </vt:variant>
      <vt:variant>
        <vt:i4>5</vt:i4>
      </vt:variant>
      <vt:variant>
        <vt:lpwstr>mailto:fbintadiallo@gmail.com</vt:lpwstr>
      </vt:variant>
      <vt:variant>
        <vt:lpwstr/>
      </vt:variant>
      <vt:variant>
        <vt:i4>1638458</vt:i4>
      </vt:variant>
      <vt:variant>
        <vt:i4>366</vt:i4>
      </vt:variant>
      <vt:variant>
        <vt:i4>0</vt:i4>
      </vt:variant>
      <vt:variant>
        <vt:i4>5</vt:i4>
      </vt:variant>
      <vt:variant>
        <vt:lpwstr>mailto:evacrosdiakhaby@gmail.com</vt:lpwstr>
      </vt:variant>
      <vt:variant>
        <vt:lpwstr/>
      </vt:variant>
      <vt:variant>
        <vt:i4>2687067</vt:i4>
      </vt:variant>
      <vt:variant>
        <vt:i4>363</vt:i4>
      </vt:variant>
      <vt:variant>
        <vt:i4>0</vt:i4>
      </vt:variant>
      <vt:variant>
        <vt:i4>5</vt:i4>
      </vt:variant>
      <vt:variant>
        <vt:lpwstr>mailto:ambaldepride3@gmail.com</vt:lpwstr>
      </vt:variant>
      <vt:variant>
        <vt:lpwstr/>
      </vt:variant>
      <vt:variant>
        <vt:i4>65580</vt:i4>
      </vt:variant>
      <vt:variant>
        <vt:i4>360</vt:i4>
      </vt:variant>
      <vt:variant>
        <vt:i4>0</vt:i4>
      </vt:variant>
      <vt:variant>
        <vt:i4>5</vt:i4>
      </vt:variant>
      <vt:variant>
        <vt:lpwstr>mailto:djantoutraore@hotmail.com</vt:lpwstr>
      </vt:variant>
      <vt:variant>
        <vt:lpwstr/>
      </vt:variant>
      <vt:variant>
        <vt:i4>6422622</vt:i4>
      </vt:variant>
      <vt:variant>
        <vt:i4>357</vt:i4>
      </vt:variant>
      <vt:variant>
        <vt:i4>0</vt:i4>
      </vt:variant>
      <vt:variant>
        <vt:i4>5</vt:i4>
      </vt:variant>
      <vt:variant>
        <vt:lpwstr>mailto:hawabintadiallo@yahoo.fr</vt:lpwstr>
      </vt:variant>
      <vt:variant>
        <vt:lpwstr/>
      </vt:variant>
      <vt:variant>
        <vt:i4>262252</vt:i4>
      </vt:variant>
      <vt:variant>
        <vt:i4>354</vt:i4>
      </vt:variant>
      <vt:variant>
        <vt:i4>0</vt:i4>
      </vt:variant>
      <vt:variant>
        <vt:i4>5</vt:i4>
      </vt:variant>
      <vt:variant>
        <vt:lpwstr>mailto:dalokho2@hotmail.com</vt:lpwstr>
      </vt:variant>
      <vt:variant>
        <vt:lpwstr/>
      </vt:variant>
      <vt:variant>
        <vt:i4>3276806</vt:i4>
      </vt:variant>
      <vt:variant>
        <vt:i4>351</vt:i4>
      </vt:variant>
      <vt:variant>
        <vt:i4>0</vt:i4>
      </vt:variant>
      <vt:variant>
        <vt:i4>5</vt:i4>
      </vt:variant>
      <vt:variant>
        <vt:lpwstr>mailto:mabinta54@gmail.com</vt:lpwstr>
      </vt:variant>
      <vt:variant>
        <vt:lpwstr/>
      </vt:variant>
      <vt:variant>
        <vt:i4>1900647</vt:i4>
      </vt:variant>
      <vt:variant>
        <vt:i4>348</vt:i4>
      </vt:variant>
      <vt:variant>
        <vt:i4>0</vt:i4>
      </vt:variant>
      <vt:variant>
        <vt:i4>5</vt:i4>
      </vt:variant>
      <vt:variant>
        <vt:lpwstr>mailto:abdoul.haidara@undp.org</vt:lpwstr>
      </vt:variant>
      <vt:variant>
        <vt:lpwstr/>
      </vt:variant>
      <vt:variant>
        <vt:i4>6094883</vt:i4>
      </vt:variant>
      <vt:variant>
        <vt:i4>345</vt:i4>
      </vt:variant>
      <vt:variant>
        <vt:i4>0</vt:i4>
      </vt:variant>
      <vt:variant>
        <vt:i4>5</vt:i4>
      </vt:variant>
      <vt:variant>
        <vt:lpwstr>mailto:mariame.barry@undp.org</vt:lpwstr>
      </vt:variant>
      <vt:variant>
        <vt:lpwstr/>
      </vt:variant>
      <vt:variant>
        <vt:i4>5177382</vt:i4>
      </vt:variant>
      <vt:variant>
        <vt:i4>342</vt:i4>
      </vt:variant>
      <vt:variant>
        <vt:i4>0</vt:i4>
      </vt:variant>
      <vt:variant>
        <vt:i4>5</vt:i4>
      </vt:variant>
      <vt:variant>
        <vt:lpwstr>mailto:sylvain.ki@undp.org</vt:lpwstr>
      </vt:variant>
      <vt:variant>
        <vt:lpwstr/>
      </vt:variant>
      <vt:variant>
        <vt:i4>7667795</vt:i4>
      </vt:variant>
      <vt:variant>
        <vt:i4>339</vt:i4>
      </vt:variant>
      <vt:variant>
        <vt:i4>0</vt:i4>
      </vt:variant>
      <vt:variant>
        <vt:i4>5</vt:i4>
      </vt:variant>
      <vt:variant>
        <vt:lpwstr>mailto:kablito@yahoo.fr</vt:lpwstr>
      </vt:variant>
      <vt:variant>
        <vt:lpwstr/>
      </vt:variant>
      <vt:variant>
        <vt:i4>1572899</vt:i4>
      </vt:variant>
      <vt:variant>
        <vt:i4>336</vt:i4>
      </vt:variant>
      <vt:variant>
        <vt:i4>0</vt:i4>
      </vt:variant>
      <vt:variant>
        <vt:i4>5</vt:i4>
      </vt:variant>
      <vt:variant>
        <vt:lpwstr>mailto:cheick.santigui.camara@undp.org</vt:lpwstr>
      </vt:variant>
      <vt:variant>
        <vt:lpwstr/>
      </vt:variant>
      <vt:variant>
        <vt:i4>6291530</vt:i4>
      </vt:variant>
      <vt:variant>
        <vt:i4>333</vt:i4>
      </vt:variant>
      <vt:variant>
        <vt:i4>0</vt:i4>
      </vt:variant>
      <vt:variant>
        <vt:i4>5</vt:i4>
      </vt:variant>
      <vt:variant>
        <vt:lpwstr>mailto:bayoibro1963@gmail.com</vt:lpwstr>
      </vt:variant>
      <vt:variant>
        <vt:lpwstr/>
      </vt:variant>
      <vt:variant>
        <vt:i4>7667791</vt:i4>
      </vt:variant>
      <vt:variant>
        <vt:i4>330</vt:i4>
      </vt:variant>
      <vt:variant>
        <vt:i4>0</vt:i4>
      </vt:variant>
      <vt:variant>
        <vt:i4>5</vt:i4>
      </vt:variant>
      <vt:variant>
        <vt:lpwstr>mailto:bahmaadjou@hotmail.fr</vt:lpwstr>
      </vt:variant>
      <vt:variant>
        <vt:lpwstr/>
      </vt:variant>
      <vt:variant>
        <vt:i4>6750291</vt:i4>
      </vt:variant>
      <vt:variant>
        <vt:i4>327</vt:i4>
      </vt:variant>
      <vt:variant>
        <vt:i4>0</vt:i4>
      </vt:variant>
      <vt:variant>
        <vt:i4>5</vt:i4>
      </vt:variant>
      <vt:variant>
        <vt:lpwstr>mailto:mamadou.lamarana.diallo@undp.org</vt:lpwstr>
      </vt:variant>
      <vt:variant>
        <vt:lpwstr/>
      </vt:variant>
      <vt:variant>
        <vt:i4>983091</vt:i4>
      </vt:variant>
      <vt:variant>
        <vt:i4>324</vt:i4>
      </vt:variant>
      <vt:variant>
        <vt:i4>0</vt:i4>
      </vt:variant>
      <vt:variant>
        <vt:i4>5</vt:i4>
      </vt:variant>
      <vt:variant>
        <vt:lpwstr>mailto:mamadoukalidoudiallo@unp.org</vt:lpwstr>
      </vt:variant>
      <vt:variant>
        <vt:lpwstr/>
      </vt:variant>
      <vt:variant>
        <vt:i4>7602267</vt:i4>
      </vt:variant>
      <vt:variant>
        <vt:i4>321</vt:i4>
      </vt:variant>
      <vt:variant>
        <vt:i4>0</vt:i4>
      </vt:variant>
      <vt:variant>
        <vt:i4>5</vt:i4>
      </vt:variant>
      <vt:variant>
        <vt:lpwstr>mailto:kandebangoura@gmail.com</vt:lpwstr>
      </vt:variant>
      <vt:variant>
        <vt:lpwstr/>
      </vt:variant>
      <vt:variant>
        <vt:i4>5767218</vt:i4>
      </vt:variant>
      <vt:variant>
        <vt:i4>318</vt:i4>
      </vt:variant>
      <vt:variant>
        <vt:i4>0</vt:i4>
      </vt:variant>
      <vt:variant>
        <vt:i4>5</vt:i4>
      </vt:variant>
      <vt:variant>
        <vt:lpwstr>mailto:ousmane.bocoum@undp.org</vt:lpwstr>
      </vt:variant>
      <vt:variant>
        <vt:lpwstr/>
      </vt:variant>
      <vt:variant>
        <vt:i4>4128833</vt:i4>
      </vt:variant>
      <vt:variant>
        <vt:i4>315</vt:i4>
      </vt:variant>
      <vt:variant>
        <vt:i4>0</vt:i4>
      </vt:variant>
      <vt:variant>
        <vt:i4>5</vt:i4>
      </vt:variant>
      <vt:variant>
        <vt:lpwstr>mailto:aboubacar.youla@undp.org</vt:lpwstr>
      </vt:variant>
      <vt:variant>
        <vt:lpwstr/>
      </vt:variant>
      <vt:variant>
        <vt:i4>6291530</vt:i4>
      </vt:variant>
      <vt:variant>
        <vt:i4>312</vt:i4>
      </vt:variant>
      <vt:variant>
        <vt:i4>0</vt:i4>
      </vt:variant>
      <vt:variant>
        <vt:i4>5</vt:i4>
      </vt:variant>
      <vt:variant>
        <vt:lpwstr>mailto:mamadou.cire.camara@undp.org</vt:lpwstr>
      </vt:variant>
      <vt:variant>
        <vt:lpwstr/>
      </vt:variant>
      <vt:variant>
        <vt:i4>1835047</vt:i4>
      </vt:variant>
      <vt:variant>
        <vt:i4>309</vt:i4>
      </vt:variant>
      <vt:variant>
        <vt:i4>0</vt:i4>
      </vt:variant>
      <vt:variant>
        <vt:i4>5</vt:i4>
      </vt:variant>
      <vt:variant>
        <vt:lpwstr>mailto:camaraselly@gmail.com</vt:lpwstr>
      </vt:variant>
      <vt:variant>
        <vt:lpwstr/>
      </vt:variant>
      <vt:variant>
        <vt:i4>2883671</vt:i4>
      </vt:variant>
      <vt:variant>
        <vt:i4>306</vt:i4>
      </vt:variant>
      <vt:variant>
        <vt:i4>0</vt:i4>
      </vt:variant>
      <vt:variant>
        <vt:i4>5</vt:i4>
      </vt:variant>
      <vt:variant>
        <vt:lpwstr>mailto:aboubacar.sylla@undp.org</vt:lpwstr>
      </vt:variant>
      <vt:variant>
        <vt:lpwstr/>
      </vt:variant>
      <vt:variant>
        <vt:i4>3407874</vt:i4>
      </vt:variant>
      <vt:variant>
        <vt:i4>303</vt:i4>
      </vt:variant>
      <vt:variant>
        <vt:i4>0</vt:i4>
      </vt:variant>
      <vt:variant>
        <vt:i4>5</vt:i4>
      </vt:variant>
      <vt:variant>
        <vt:lpwstr>mailto:eloi.kouadio.iv@undp.org</vt:lpwstr>
      </vt:variant>
      <vt:variant>
        <vt:lpwstr/>
      </vt:variant>
      <vt:variant>
        <vt:i4>1638448</vt:i4>
      </vt:variant>
      <vt:variant>
        <vt:i4>296</vt:i4>
      </vt:variant>
      <vt:variant>
        <vt:i4>0</vt:i4>
      </vt:variant>
      <vt:variant>
        <vt:i4>5</vt:i4>
      </vt:variant>
      <vt:variant>
        <vt:lpwstr/>
      </vt:variant>
      <vt:variant>
        <vt:lpwstr>_Toc466626088</vt:lpwstr>
      </vt:variant>
      <vt:variant>
        <vt:i4>1638448</vt:i4>
      </vt:variant>
      <vt:variant>
        <vt:i4>290</vt:i4>
      </vt:variant>
      <vt:variant>
        <vt:i4>0</vt:i4>
      </vt:variant>
      <vt:variant>
        <vt:i4>5</vt:i4>
      </vt:variant>
      <vt:variant>
        <vt:lpwstr/>
      </vt:variant>
      <vt:variant>
        <vt:lpwstr>_Toc466626086</vt:lpwstr>
      </vt:variant>
      <vt:variant>
        <vt:i4>1638448</vt:i4>
      </vt:variant>
      <vt:variant>
        <vt:i4>284</vt:i4>
      </vt:variant>
      <vt:variant>
        <vt:i4>0</vt:i4>
      </vt:variant>
      <vt:variant>
        <vt:i4>5</vt:i4>
      </vt:variant>
      <vt:variant>
        <vt:lpwstr/>
      </vt:variant>
      <vt:variant>
        <vt:lpwstr>_Toc466626085</vt:lpwstr>
      </vt:variant>
      <vt:variant>
        <vt:i4>1638448</vt:i4>
      </vt:variant>
      <vt:variant>
        <vt:i4>278</vt:i4>
      </vt:variant>
      <vt:variant>
        <vt:i4>0</vt:i4>
      </vt:variant>
      <vt:variant>
        <vt:i4>5</vt:i4>
      </vt:variant>
      <vt:variant>
        <vt:lpwstr/>
      </vt:variant>
      <vt:variant>
        <vt:lpwstr>_Toc466626084</vt:lpwstr>
      </vt:variant>
      <vt:variant>
        <vt:i4>1638448</vt:i4>
      </vt:variant>
      <vt:variant>
        <vt:i4>272</vt:i4>
      </vt:variant>
      <vt:variant>
        <vt:i4>0</vt:i4>
      </vt:variant>
      <vt:variant>
        <vt:i4>5</vt:i4>
      </vt:variant>
      <vt:variant>
        <vt:lpwstr/>
      </vt:variant>
      <vt:variant>
        <vt:lpwstr>_Toc466626083</vt:lpwstr>
      </vt:variant>
      <vt:variant>
        <vt:i4>1638448</vt:i4>
      </vt:variant>
      <vt:variant>
        <vt:i4>266</vt:i4>
      </vt:variant>
      <vt:variant>
        <vt:i4>0</vt:i4>
      </vt:variant>
      <vt:variant>
        <vt:i4>5</vt:i4>
      </vt:variant>
      <vt:variant>
        <vt:lpwstr/>
      </vt:variant>
      <vt:variant>
        <vt:lpwstr>_Toc466626082</vt:lpwstr>
      </vt:variant>
      <vt:variant>
        <vt:i4>1638448</vt:i4>
      </vt:variant>
      <vt:variant>
        <vt:i4>260</vt:i4>
      </vt:variant>
      <vt:variant>
        <vt:i4>0</vt:i4>
      </vt:variant>
      <vt:variant>
        <vt:i4>5</vt:i4>
      </vt:variant>
      <vt:variant>
        <vt:lpwstr/>
      </vt:variant>
      <vt:variant>
        <vt:lpwstr>_Toc466626081</vt:lpwstr>
      </vt:variant>
      <vt:variant>
        <vt:i4>1638448</vt:i4>
      </vt:variant>
      <vt:variant>
        <vt:i4>254</vt:i4>
      </vt:variant>
      <vt:variant>
        <vt:i4>0</vt:i4>
      </vt:variant>
      <vt:variant>
        <vt:i4>5</vt:i4>
      </vt:variant>
      <vt:variant>
        <vt:lpwstr/>
      </vt:variant>
      <vt:variant>
        <vt:lpwstr>_Toc466626080</vt:lpwstr>
      </vt:variant>
      <vt:variant>
        <vt:i4>1441840</vt:i4>
      </vt:variant>
      <vt:variant>
        <vt:i4>248</vt:i4>
      </vt:variant>
      <vt:variant>
        <vt:i4>0</vt:i4>
      </vt:variant>
      <vt:variant>
        <vt:i4>5</vt:i4>
      </vt:variant>
      <vt:variant>
        <vt:lpwstr/>
      </vt:variant>
      <vt:variant>
        <vt:lpwstr>_Toc466626079</vt:lpwstr>
      </vt:variant>
      <vt:variant>
        <vt:i4>1441840</vt:i4>
      </vt:variant>
      <vt:variant>
        <vt:i4>242</vt:i4>
      </vt:variant>
      <vt:variant>
        <vt:i4>0</vt:i4>
      </vt:variant>
      <vt:variant>
        <vt:i4>5</vt:i4>
      </vt:variant>
      <vt:variant>
        <vt:lpwstr/>
      </vt:variant>
      <vt:variant>
        <vt:lpwstr>_Toc466626078</vt:lpwstr>
      </vt:variant>
      <vt:variant>
        <vt:i4>1441840</vt:i4>
      </vt:variant>
      <vt:variant>
        <vt:i4>236</vt:i4>
      </vt:variant>
      <vt:variant>
        <vt:i4>0</vt:i4>
      </vt:variant>
      <vt:variant>
        <vt:i4>5</vt:i4>
      </vt:variant>
      <vt:variant>
        <vt:lpwstr/>
      </vt:variant>
      <vt:variant>
        <vt:lpwstr>_Toc466626077</vt:lpwstr>
      </vt:variant>
      <vt:variant>
        <vt:i4>1441840</vt:i4>
      </vt:variant>
      <vt:variant>
        <vt:i4>230</vt:i4>
      </vt:variant>
      <vt:variant>
        <vt:i4>0</vt:i4>
      </vt:variant>
      <vt:variant>
        <vt:i4>5</vt:i4>
      </vt:variant>
      <vt:variant>
        <vt:lpwstr/>
      </vt:variant>
      <vt:variant>
        <vt:lpwstr>_Toc466626076</vt:lpwstr>
      </vt:variant>
      <vt:variant>
        <vt:i4>1441840</vt:i4>
      </vt:variant>
      <vt:variant>
        <vt:i4>224</vt:i4>
      </vt:variant>
      <vt:variant>
        <vt:i4>0</vt:i4>
      </vt:variant>
      <vt:variant>
        <vt:i4>5</vt:i4>
      </vt:variant>
      <vt:variant>
        <vt:lpwstr/>
      </vt:variant>
      <vt:variant>
        <vt:lpwstr>_Toc466626075</vt:lpwstr>
      </vt:variant>
      <vt:variant>
        <vt:i4>1441840</vt:i4>
      </vt:variant>
      <vt:variant>
        <vt:i4>218</vt:i4>
      </vt:variant>
      <vt:variant>
        <vt:i4>0</vt:i4>
      </vt:variant>
      <vt:variant>
        <vt:i4>5</vt:i4>
      </vt:variant>
      <vt:variant>
        <vt:lpwstr/>
      </vt:variant>
      <vt:variant>
        <vt:lpwstr>_Toc466626074</vt:lpwstr>
      </vt:variant>
      <vt:variant>
        <vt:i4>1441840</vt:i4>
      </vt:variant>
      <vt:variant>
        <vt:i4>212</vt:i4>
      </vt:variant>
      <vt:variant>
        <vt:i4>0</vt:i4>
      </vt:variant>
      <vt:variant>
        <vt:i4>5</vt:i4>
      </vt:variant>
      <vt:variant>
        <vt:lpwstr/>
      </vt:variant>
      <vt:variant>
        <vt:lpwstr>_Toc466626073</vt:lpwstr>
      </vt:variant>
      <vt:variant>
        <vt:i4>1441840</vt:i4>
      </vt:variant>
      <vt:variant>
        <vt:i4>206</vt:i4>
      </vt:variant>
      <vt:variant>
        <vt:i4>0</vt:i4>
      </vt:variant>
      <vt:variant>
        <vt:i4>5</vt:i4>
      </vt:variant>
      <vt:variant>
        <vt:lpwstr/>
      </vt:variant>
      <vt:variant>
        <vt:lpwstr>_Toc466626072</vt:lpwstr>
      </vt:variant>
      <vt:variant>
        <vt:i4>1441840</vt:i4>
      </vt:variant>
      <vt:variant>
        <vt:i4>200</vt:i4>
      </vt:variant>
      <vt:variant>
        <vt:i4>0</vt:i4>
      </vt:variant>
      <vt:variant>
        <vt:i4>5</vt:i4>
      </vt:variant>
      <vt:variant>
        <vt:lpwstr/>
      </vt:variant>
      <vt:variant>
        <vt:lpwstr>_Toc466626071</vt:lpwstr>
      </vt:variant>
      <vt:variant>
        <vt:i4>1441840</vt:i4>
      </vt:variant>
      <vt:variant>
        <vt:i4>194</vt:i4>
      </vt:variant>
      <vt:variant>
        <vt:i4>0</vt:i4>
      </vt:variant>
      <vt:variant>
        <vt:i4>5</vt:i4>
      </vt:variant>
      <vt:variant>
        <vt:lpwstr/>
      </vt:variant>
      <vt:variant>
        <vt:lpwstr>_Toc466626070</vt:lpwstr>
      </vt:variant>
      <vt:variant>
        <vt:i4>1507376</vt:i4>
      </vt:variant>
      <vt:variant>
        <vt:i4>188</vt:i4>
      </vt:variant>
      <vt:variant>
        <vt:i4>0</vt:i4>
      </vt:variant>
      <vt:variant>
        <vt:i4>5</vt:i4>
      </vt:variant>
      <vt:variant>
        <vt:lpwstr/>
      </vt:variant>
      <vt:variant>
        <vt:lpwstr>_Toc466626069</vt:lpwstr>
      </vt:variant>
      <vt:variant>
        <vt:i4>1507376</vt:i4>
      </vt:variant>
      <vt:variant>
        <vt:i4>182</vt:i4>
      </vt:variant>
      <vt:variant>
        <vt:i4>0</vt:i4>
      </vt:variant>
      <vt:variant>
        <vt:i4>5</vt:i4>
      </vt:variant>
      <vt:variant>
        <vt:lpwstr/>
      </vt:variant>
      <vt:variant>
        <vt:lpwstr>_Toc466626068</vt:lpwstr>
      </vt:variant>
      <vt:variant>
        <vt:i4>1507376</vt:i4>
      </vt:variant>
      <vt:variant>
        <vt:i4>176</vt:i4>
      </vt:variant>
      <vt:variant>
        <vt:i4>0</vt:i4>
      </vt:variant>
      <vt:variant>
        <vt:i4>5</vt:i4>
      </vt:variant>
      <vt:variant>
        <vt:lpwstr/>
      </vt:variant>
      <vt:variant>
        <vt:lpwstr>_Toc466626067</vt:lpwstr>
      </vt:variant>
      <vt:variant>
        <vt:i4>1507376</vt:i4>
      </vt:variant>
      <vt:variant>
        <vt:i4>170</vt:i4>
      </vt:variant>
      <vt:variant>
        <vt:i4>0</vt:i4>
      </vt:variant>
      <vt:variant>
        <vt:i4>5</vt:i4>
      </vt:variant>
      <vt:variant>
        <vt:lpwstr/>
      </vt:variant>
      <vt:variant>
        <vt:lpwstr>_Toc466626066</vt:lpwstr>
      </vt:variant>
      <vt:variant>
        <vt:i4>1507376</vt:i4>
      </vt:variant>
      <vt:variant>
        <vt:i4>164</vt:i4>
      </vt:variant>
      <vt:variant>
        <vt:i4>0</vt:i4>
      </vt:variant>
      <vt:variant>
        <vt:i4>5</vt:i4>
      </vt:variant>
      <vt:variant>
        <vt:lpwstr/>
      </vt:variant>
      <vt:variant>
        <vt:lpwstr>_Toc466626065</vt:lpwstr>
      </vt:variant>
      <vt:variant>
        <vt:i4>1507376</vt:i4>
      </vt:variant>
      <vt:variant>
        <vt:i4>158</vt:i4>
      </vt:variant>
      <vt:variant>
        <vt:i4>0</vt:i4>
      </vt:variant>
      <vt:variant>
        <vt:i4>5</vt:i4>
      </vt:variant>
      <vt:variant>
        <vt:lpwstr/>
      </vt:variant>
      <vt:variant>
        <vt:lpwstr>_Toc466626064</vt:lpwstr>
      </vt:variant>
      <vt:variant>
        <vt:i4>1507376</vt:i4>
      </vt:variant>
      <vt:variant>
        <vt:i4>152</vt:i4>
      </vt:variant>
      <vt:variant>
        <vt:i4>0</vt:i4>
      </vt:variant>
      <vt:variant>
        <vt:i4>5</vt:i4>
      </vt:variant>
      <vt:variant>
        <vt:lpwstr/>
      </vt:variant>
      <vt:variant>
        <vt:lpwstr>_Toc466626063</vt:lpwstr>
      </vt:variant>
      <vt:variant>
        <vt:i4>1507376</vt:i4>
      </vt:variant>
      <vt:variant>
        <vt:i4>146</vt:i4>
      </vt:variant>
      <vt:variant>
        <vt:i4>0</vt:i4>
      </vt:variant>
      <vt:variant>
        <vt:i4>5</vt:i4>
      </vt:variant>
      <vt:variant>
        <vt:lpwstr/>
      </vt:variant>
      <vt:variant>
        <vt:lpwstr>_Toc466626062</vt:lpwstr>
      </vt:variant>
      <vt:variant>
        <vt:i4>1507376</vt:i4>
      </vt:variant>
      <vt:variant>
        <vt:i4>140</vt:i4>
      </vt:variant>
      <vt:variant>
        <vt:i4>0</vt:i4>
      </vt:variant>
      <vt:variant>
        <vt:i4>5</vt:i4>
      </vt:variant>
      <vt:variant>
        <vt:lpwstr/>
      </vt:variant>
      <vt:variant>
        <vt:lpwstr>_Toc466626061</vt:lpwstr>
      </vt:variant>
      <vt:variant>
        <vt:i4>1507376</vt:i4>
      </vt:variant>
      <vt:variant>
        <vt:i4>134</vt:i4>
      </vt:variant>
      <vt:variant>
        <vt:i4>0</vt:i4>
      </vt:variant>
      <vt:variant>
        <vt:i4>5</vt:i4>
      </vt:variant>
      <vt:variant>
        <vt:lpwstr/>
      </vt:variant>
      <vt:variant>
        <vt:lpwstr>_Toc466626060</vt:lpwstr>
      </vt:variant>
      <vt:variant>
        <vt:i4>1310768</vt:i4>
      </vt:variant>
      <vt:variant>
        <vt:i4>128</vt:i4>
      </vt:variant>
      <vt:variant>
        <vt:i4>0</vt:i4>
      </vt:variant>
      <vt:variant>
        <vt:i4>5</vt:i4>
      </vt:variant>
      <vt:variant>
        <vt:lpwstr/>
      </vt:variant>
      <vt:variant>
        <vt:lpwstr>_Toc466626059</vt:lpwstr>
      </vt:variant>
      <vt:variant>
        <vt:i4>1310768</vt:i4>
      </vt:variant>
      <vt:variant>
        <vt:i4>122</vt:i4>
      </vt:variant>
      <vt:variant>
        <vt:i4>0</vt:i4>
      </vt:variant>
      <vt:variant>
        <vt:i4>5</vt:i4>
      </vt:variant>
      <vt:variant>
        <vt:lpwstr/>
      </vt:variant>
      <vt:variant>
        <vt:lpwstr>_Toc466626058</vt:lpwstr>
      </vt:variant>
      <vt:variant>
        <vt:i4>1310768</vt:i4>
      </vt:variant>
      <vt:variant>
        <vt:i4>116</vt:i4>
      </vt:variant>
      <vt:variant>
        <vt:i4>0</vt:i4>
      </vt:variant>
      <vt:variant>
        <vt:i4>5</vt:i4>
      </vt:variant>
      <vt:variant>
        <vt:lpwstr/>
      </vt:variant>
      <vt:variant>
        <vt:lpwstr>_Toc466626057</vt:lpwstr>
      </vt:variant>
      <vt:variant>
        <vt:i4>1310768</vt:i4>
      </vt:variant>
      <vt:variant>
        <vt:i4>110</vt:i4>
      </vt:variant>
      <vt:variant>
        <vt:i4>0</vt:i4>
      </vt:variant>
      <vt:variant>
        <vt:i4>5</vt:i4>
      </vt:variant>
      <vt:variant>
        <vt:lpwstr/>
      </vt:variant>
      <vt:variant>
        <vt:lpwstr>_Toc466626056</vt:lpwstr>
      </vt:variant>
      <vt:variant>
        <vt:i4>1310768</vt:i4>
      </vt:variant>
      <vt:variant>
        <vt:i4>104</vt:i4>
      </vt:variant>
      <vt:variant>
        <vt:i4>0</vt:i4>
      </vt:variant>
      <vt:variant>
        <vt:i4>5</vt:i4>
      </vt:variant>
      <vt:variant>
        <vt:lpwstr/>
      </vt:variant>
      <vt:variant>
        <vt:lpwstr>_Toc466626055</vt:lpwstr>
      </vt:variant>
      <vt:variant>
        <vt:i4>1310768</vt:i4>
      </vt:variant>
      <vt:variant>
        <vt:i4>98</vt:i4>
      </vt:variant>
      <vt:variant>
        <vt:i4>0</vt:i4>
      </vt:variant>
      <vt:variant>
        <vt:i4>5</vt:i4>
      </vt:variant>
      <vt:variant>
        <vt:lpwstr/>
      </vt:variant>
      <vt:variant>
        <vt:lpwstr>_Toc466626054</vt:lpwstr>
      </vt:variant>
      <vt:variant>
        <vt:i4>1310768</vt:i4>
      </vt:variant>
      <vt:variant>
        <vt:i4>92</vt:i4>
      </vt:variant>
      <vt:variant>
        <vt:i4>0</vt:i4>
      </vt:variant>
      <vt:variant>
        <vt:i4>5</vt:i4>
      </vt:variant>
      <vt:variant>
        <vt:lpwstr/>
      </vt:variant>
      <vt:variant>
        <vt:lpwstr>_Toc466626053</vt:lpwstr>
      </vt:variant>
      <vt:variant>
        <vt:i4>1310768</vt:i4>
      </vt:variant>
      <vt:variant>
        <vt:i4>86</vt:i4>
      </vt:variant>
      <vt:variant>
        <vt:i4>0</vt:i4>
      </vt:variant>
      <vt:variant>
        <vt:i4>5</vt:i4>
      </vt:variant>
      <vt:variant>
        <vt:lpwstr/>
      </vt:variant>
      <vt:variant>
        <vt:lpwstr>_Toc466626052</vt:lpwstr>
      </vt:variant>
      <vt:variant>
        <vt:i4>1310768</vt:i4>
      </vt:variant>
      <vt:variant>
        <vt:i4>80</vt:i4>
      </vt:variant>
      <vt:variant>
        <vt:i4>0</vt:i4>
      </vt:variant>
      <vt:variant>
        <vt:i4>5</vt:i4>
      </vt:variant>
      <vt:variant>
        <vt:lpwstr/>
      </vt:variant>
      <vt:variant>
        <vt:lpwstr>_Toc466626051</vt:lpwstr>
      </vt:variant>
      <vt:variant>
        <vt:i4>1310768</vt:i4>
      </vt:variant>
      <vt:variant>
        <vt:i4>74</vt:i4>
      </vt:variant>
      <vt:variant>
        <vt:i4>0</vt:i4>
      </vt:variant>
      <vt:variant>
        <vt:i4>5</vt:i4>
      </vt:variant>
      <vt:variant>
        <vt:lpwstr/>
      </vt:variant>
      <vt:variant>
        <vt:lpwstr>_Toc466626050</vt:lpwstr>
      </vt:variant>
      <vt:variant>
        <vt:i4>1376304</vt:i4>
      </vt:variant>
      <vt:variant>
        <vt:i4>68</vt:i4>
      </vt:variant>
      <vt:variant>
        <vt:i4>0</vt:i4>
      </vt:variant>
      <vt:variant>
        <vt:i4>5</vt:i4>
      </vt:variant>
      <vt:variant>
        <vt:lpwstr/>
      </vt:variant>
      <vt:variant>
        <vt:lpwstr>_Toc466626049</vt:lpwstr>
      </vt:variant>
      <vt:variant>
        <vt:i4>1376304</vt:i4>
      </vt:variant>
      <vt:variant>
        <vt:i4>62</vt:i4>
      </vt:variant>
      <vt:variant>
        <vt:i4>0</vt:i4>
      </vt:variant>
      <vt:variant>
        <vt:i4>5</vt:i4>
      </vt:variant>
      <vt:variant>
        <vt:lpwstr/>
      </vt:variant>
      <vt:variant>
        <vt:lpwstr>_Toc466626048</vt:lpwstr>
      </vt:variant>
      <vt:variant>
        <vt:i4>1376304</vt:i4>
      </vt:variant>
      <vt:variant>
        <vt:i4>56</vt:i4>
      </vt:variant>
      <vt:variant>
        <vt:i4>0</vt:i4>
      </vt:variant>
      <vt:variant>
        <vt:i4>5</vt:i4>
      </vt:variant>
      <vt:variant>
        <vt:lpwstr/>
      </vt:variant>
      <vt:variant>
        <vt:lpwstr>_Toc466626047</vt:lpwstr>
      </vt:variant>
      <vt:variant>
        <vt:i4>1376304</vt:i4>
      </vt:variant>
      <vt:variant>
        <vt:i4>50</vt:i4>
      </vt:variant>
      <vt:variant>
        <vt:i4>0</vt:i4>
      </vt:variant>
      <vt:variant>
        <vt:i4>5</vt:i4>
      </vt:variant>
      <vt:variant>
        <vt:lpwstr/>
      </vt:variant>
      <vt:variant>
        <vt:lpwstr>_Toc466626046</vt:lpwstr>
      </vt:variant>
      <vt:variant>
        <vt:i4>1376304</vt:i4>
      </vt:variant>
      <vt:variant>
        <vt:i4>44</vt:i4>
      </vt:variant>
      <vt:variant>
        <vt:i4>0</vt:i4>
      </vt:variant>
      <vt:variant>
        <vt:i4>5</vt:i4>
      </vt:variant>
      <vt:variant>
        <vt:lpwstr/>
      </vt:variant>
      <vt:variant>
        <vt:lpwstr>_Toc466626045</vt:lpwstr>
      </vt:variant>
      <vt:variant>
        <vt:i4>1376304</vt:i4>
      </vt:variant>
      <vt:variant>
        <vt:i4>38</vt:i4>
      </vt:variant>
      <vt:variant>
        <vt:i4>0</vt:i4>
      </vt:variant>
      <vt:variant>
        <vt:i4>5</vt:i4>
      </vt:variant>
      <vt:variant>
        <vt:lpwstr/>
      </vt:variant>
      <vt:variant>
        <vt:lpwstr>_Toc466626044</vt:lpwstr>
      </vt:variant>
      <vt:variant>
        <vt:i4>1376304</vt:i4>
      </vt:variant>
      <vt:variant>
        <vt:i4>32</vt:i4>
      </vt:variant>
      <vt:variant>
        <vt:i4>0</vt:i4>
      </vt:variant>
      <vt:variant>
        <vt:i4>5</vt:i4>
      </vt:variant>
      <vt:variant>
        <vt:lpwstr/>
      </vt:variant>
      <vt:variant>
        <vt:lpwstr>_Toc466626043</vt:lpwstr>
      </vt:variant>
      <vt:variant>
        <vt:i4>1376304</vt:i4>
      </vt:variant>
      <vt:variant>
        <vt:i4>26</vt:i4>
      </vt:variant>
      <vt:variant>
        <vt:i4>0</vt:i4>
      </vt:variant>
      <vt:variant>
        <vt:i4>5</vt:i4>
      </vt:variant>
      <vt:variant>
        <vt:lpwstr/>
      </vt:variant>
      <vt:variant>
        <vt:lpwstr>_Toc466626042</vt:lpwstr>
      </vt:variant>
      <vt:variant>
        <vt:i4>1376304</vt:i4>
      </vt:variant>
      <vt:variant>
        <vt:i4>20</vt:i4>
      </vt:variant>
      <vt:variant>
        <vt:i4>0</vt:i4>
      </vt:variant>
      <vt:variant>
        <vt:i4>5</vt:i4>
      </vt:variant>
      <vt:variant>
        <vt:lpwstr/>
      </vt:variant>
      <vt:variant>
        <vt:lpwstr>_Toc466626041</vt:lpwstr>
      </vt:variant>
      <vt:variant>
        <vt:i4>1376304</vt:i4>
      </vt:variant>
      <vt:variant>
        <vt:i4>14</vt:i4>
      </vt:variant>
      <vt:variant>
        <vt:i4>0</vt:i4>
      </vt:variant>
      <vt:variant>
        <vt:i4>5</vt:i4>
      </vt:variant>
      <vt:variant>
        <vt:lpwstr/>
      </vt:variant>
      <vt:variant>
        <vt:lpwstr>_Toc466626040</vt:lpwstr>
      </vt:variant>
      <vt:variant>
        <vt:i4>1179696</vt:i4>
      </vt:variant>
      <vt:variant>
        <vt:i4>8</vt:i4>
      </vt:variant>
      <vt:variant>
        <vt:i4>0</vt:i4>
      </vt:variant>
      <vt:variant>
        <vt:i4>5</vt:i4>
      </vt:variant>
      <vt:variant>
        <vt:lpwstr/>
      </vt:variant>
      <vt:variant>
        <vt:lpwstr>_Toc466626039</vt:lpwstr>
      </vt:variant>
      <vt:variant>
        <vt:i4>1179696</vt:i4>
      </vt:variant>
      <vt:variant>
        <vt:i4>2</vt:i4>
      </vt:variant>
      <vt:variant>
        <vt:i4>0</vt:i4>
      </vt:variant>
      <vt:variant>
        <vt:i4>5</vt:i4>
      </vt:variant>
      <vt:variant>
        <vt:lpwstr/>
      </vt:variant>
      <vt:variant>
        <vt:lpwstr>_Toc466626038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dc:creator>
  <cp:lastModifiedBy>Francis Kouami Negue</cp:lastModifiedBy>
  <cp:revision>2</cp:revision>
  <cp:lastPrinted>2015-10-01T12:38:00Z</cp:lastPrinted>
  <dcterms:created xsi:type="dcterms:W3CDTF">2018-02-19T13:17:00Z</dcterms:created>
  <dcterms:modified xsi:type="dcterms:W3CDTF">2018-02-19T13:17:00Z</dcterms:modified>
</cp:coreProperties>
</file>