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DF" w:rsidRPr="00617ADF" w:rsidRDefault="00617ADF" w:rsidP="00617ADF">
      <w:pPr>
        <w:spacing w:after="200" w:line="276" w:lineRule="auto"/>
        <w:contextualSpacing/>
        <w:jc w:val="both"/>
        <w:rPr>
          <w:rFonts w:ascii="Times New Roman" w:eastAsia="Times New Roman" w:hAnsi="Times New Roman" w:cs="Times New Roman"/>
          <w:b/>
          <w:bCs/>
          <w:sz w:val="20"/>
          <w:szCs w:val="20"/>
          <w:lang w:val="en-GB" w:eastAsia="x-none"/>
        </w:rPr>
      </w:pPr>
      <w:bookmarkStart w:id="0" w:name="_Toc372808654"/>
      <w:bookmarkStart w:id="1" w:name="_Toc372819508"/>
      <w:r w:rsidRPr="00617ADF">
        <w:rPr>
          <w:rFonts w:ascii="Times New Roman" w:eastAsia="Times New Roman" w:hAnsi="Times New Roman" w:cs="Times New Roman"/>
          <w:b/>
          <w:bCs/>
          <w:sz w:val="20"/>
          <w:szCs w:val="20"/>
          <w:lang w:val="en-GB" w:eastAsia="x-none"/>
        </w:rPr>
        <w:t>Annex I: Terms of Reference for Terminal Evaluation</w:t>
      </w:r>
      <w:bookmarkEnd w:id="0"/>
      <w:bookmarkEnd w:id="1"/>
    </w:p>
    <w:p w:rsidR="00617ADF" w:rsidRPr="00617ADF" w:rsidRDefault="00617ADF" w:rsidP="00617ADF">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both"/>
        <w:outlineLvl w:val="1"/>
        <w:rPr>
          <w:rFonts w:ascii="Calibri" w:eastAsia="Times New Roman" w:hAnsi="Calibri" w:cs="Times New Roman"/>
          <w:caps/>
          <w:spacing w:val="15"/>
          <w:lang w:bidi="en-US"/>
        </w:rPr>
      </w:pPr>
      <w:bookmarkStart w:id="2" w:name="_Toc321341546"/>
      <w:bookmarkStart w:id="3" w:name="_Toc323119582"/>
      <w:r w:rsidRPr="00617ADF">
        <w:rPr>
          <w:rFonts w:ascii="Calibri" w:eastAsia="Times New Roman" w:hAnsi="Calibri" w:cs="Times New Roman"/>
          <w:caps/>
          <w:spacing w:val="15"/>
          <w:lang w:bidi="en-US"/>
        </w:rPr>
        <w:t>Terminal Evaluation Terms of Reference</w:t>
      </w:r>
      <w:bookmarkEnd w:id="2"/>
      <w:bookmarkEnd w:id="3"/>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4" w:name="_Toc299126613"/>
      <w:r w:rsidRPr="00617ADF">
        <w:rPr>
          <w:rFonts w:ascii="Calibri" w:eastAsia="Times New Roman" w:hAnsi="Calibri" w:cs="Times New Roman"/>
          <w:b/>
          <w:caps/>
          <w:spacing w:val="10"/>
          <w:lang w:bidi="en-US"/>
        </w:rPr>
        <w:t>INTRODUCTION</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In accordance with UNDP and AF M&amp;E policies and procedures, all regular sized UNDP supported AF financed projects are required to undergo a terminal evaluation upon completion of implementation. </w:t>
      </w:r>
      <w:r w:rsidRPr="00617ADF">
        <w:rPr>
          <w:rFonts w:ascii="Calibri" w:eastAsia="Times New Roman" w:hAnsi="Calibri" w:cs="Times New Roman"/>
          <w:sz w:val="20"/>
          <w:szCs w:val="20"/>
          <w:lang w:val="en-GB" w:bidi="en-US"/>
        </w:rPr>
        <w:t xml:space="preserve">These terms </w:t>
      </w:r>
      <w:r w:rsidRPr="00617ADF">
        <w:rPr>
          <w:rFonts w:ascii="Calibri" w:eastAsia="Times New Roman" w:hAnsi="Calibri" w:cs="Times New Roman"/>
          <w:sz w:val="20"/>
          <w:szCs w:val="20"/>
          <w:lang w:bidi="en-US"/>
        </w:rPr>
        <w:t xml:space="preserve">of </w:t>
      </w:r>
      <w:r w:rsidRPr="00617ADF">
        <w:rPr>
          <w:rFonts w:ascii="Calibri" w:eastAsia="Times New Roman" w:hAnsi="Calibri" w:cs="Times New Roman"/>
          <w:sz w:val="20"/>
          <w:szCs w:val="20"/>
          <w:lang w:val="en-GB" w:bidi="en-US"/>
        </w:rPr>
        <w:t>reference</w:t>
      </w:r>
      <w:r w:rsidRPr="00617ADF">
        <w:rPr>
          <w:rFonts w:ascii="Calibri" w:eastAsia="Times New Roman" w:hAnsi="Calibri" w:cs="Times New Roman"/>
          <w:sz w:val="20"/>
          <w:szCs w:val="20"/>
          <w:lang w:bidi="en-US"/>
        </w:rPr>
        <w:t xml:space="preserve"> (TOR) sets </w:t>
      </w:r>
      <w:r w:rsidRPr="00617ADF">
        <w:rPr>
          <w:rFonts w:ascii="Calibri" w:eastAsia="Times New Roman" w:hAnsi="Calibri" w:cs="Times New Roman"/>
          <w:sz w:val="20"/>
          <w:szCs w:val="20"/>
          <w:lang w:val="en-GB" w:bidi="en-US"/>
        </w:rPr>
        <w:t xml:space="preserve">out the </w:t>
      </w:r>
      <w:r w:rsidRPr="00617ADF">
        <w:rPr>
          <w:rFonts w:ascii="Calibri" w:eastAsia="Times New Roman" w:hAnsi="Calibri" w:cs="Times New Roman"/>
          <w:sz w:val="20"/>
          <w:szCs w:val="20"/>
          <w:lang w:bidi="en-US"/>
        </w:rPr>
        <w:t>expectations for a Terminal Evaluation (TE) of the</w:t>
      </w:r>
      <w:r w:rsidRPr="00617ADF">
        <w:rPr>
          <w:rFonts w:ascii="Calibri" w:eastAsia="Times New Roman" w:hAnsi="Calibri" w:cs="Times New Roman"/>
          <w:i/>
          <w:sz w:val="20"/>
          <w:szCs w:val="20"/>
          <w:lang w:bidi="en-US"/>
        </w:rPr>
        <w:t xml:space="preserve"> </w:t>
      </w:r>
      <w:r w:rsidRPr="00617ADF">
        <w:rPr>
          <w:rFonts w:ascii="Calibri" w:eastAsia="Calibri" w:hAnsi="Calibri" w:cs="Times New Roman"/>
          <w:sz w:val="20"/>
          <w:szCs w:val="20"/>
          <w:lang w:val="mn-MN" w:bidi="en-US"/>
        </w:rPr>
        <w:t>“Ecosystem Based Adaptation Approach to Maintaining Water Security in Critical Water Catchments in Mon</w:t>
      </w:r>
      <w:bookmarkStart w:id="5" w:name="_GoBack"/>
      <w:bookmarkEnd w:id="5"/>
      <w:r w:rsidRPr="00617ADF">
        <w:rPr>
          <w:rFonts w:ascii="Calibri" w:eastAsia="Calibri" w:hAnsi="Calibri" w:cs="Times New Roman"/>
          <w:sz w:val="20"/>
          <w:szCs w:val="20"/>
          <w:lang w:val="mn-MN" w:bidi="en-US"/>
        </w:rPr>
        <w:t xml:space="preserve">golia” </w:t>
      </w:r>
      <w:r w:rsidRPr="00617ADF">
        <w:rPr>
          <w:rFonts w:ascii="Calibri" w:eastAsia="Calibri" w:hAnsi="Calibri" w:cs="Times New Roman"/>
          <w:sz w:val="20"/>
          <w:szCs w:val="20"/>
          <w:lang w:bidi="en-US"/>
        </w:rPr>
        <w:t>(</w:t>
      </w:r>
      <w:r w:rsidRPr="00617ADF">
        <w:rPr>
          <w:rFonts w:ascii="Calibri" w:eastAsia="Calibri" w:hAnsi="Calibri" w:cs="Times New Roman"/>
          <w:sz w:val="20"/>
          <w:szCs w:val="20"/>
          <w:lang w:val="mn-MN" w:bidi="en-US"/>
        </w:rPr>
        <w:t>MON/12/301</w:t>
      </w:r>
      <w:r w:rsidRPr="00617ADF">
        <w:rPr>
          <w:rFonts w:ascii="Calibri" w:eastAsia="Calibri" w:hAnsi="Calibri" w:cs="Times New Roman"/>
          <w:sz w:val="20"/>
          <w:szCs w:val="20"/>
          <w:lang w:bidi="en-US"/>
        </w:rPr>
        <w:t xml:space="preserve">) project </w:t>
      </w:r>
      <w:r w:rsidRPr="00617ADF">
        <w:rPr>
          <w:rFonts w:ascii="Calibri" w:eastAsia="Times New Roman" w:hAnsi="Calibri" w:cs="Times New Roman"/>
          <w:sz w:val="20"/>
          <w:szCs w:val="20"/>
          <w:lang w:bidi="en-US"/>
        </w:rPr>
        <w:t>(PIMS #4505).</w:t>
      </w:r>
    </w:p>
    <w:p w:rsidR="00617ADF" w:rsidRPr="00617ADF" w:rsidRDefault="00617ADF" w:rsidP="00617ADF">
      <w:pPr>
        <w:spacing w:after="0" w:line="240"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essentials of the project to be evaluated are as follows: </w:t>
      </w:r>
    </w:p>
    <w:p w:rsidR="00617ADF" w:rsidRPr="00617ADF" w:rsidRDefault="00617ADF" w:rsidP="00617ADF">
      <w:pPr>
        <w:pBdr>
          <w:bottom w:val="single" w:sz="6" w:space="1" w:color="4F81BD"/>
        </w:pBdr>
        <w:spacing w:after="0" w:line="276" w:lineRule="auto"/>
        <w:jc w:val="both"/>
        <w:outlineLvl w:val="4"/>
        <w:rPr>
          <w:rFonts w:ascii="Calibri" w:eastAsia="Times New Roman" w:hAnsi="Calibri" w:cs="Times New Roman"/>
          <w:b/>
          <w:caps/>
          <w:spacing w:val="10"/>
          <w:lang w:bidi="en-US"/>
        </w:rPr>
      </w:pPr>
      <w:bookmarkStart w:id="6" w:name="_Toc321341548"/>
      <w:r w:rsidRPr="00617ADF">
        <w:rPr>
          <w:rFonts w:ascii="Calibri" w:eastAsia="Times New Roman" w:hAnsi="Calibri" w:cs="Times New Roman"/>
          <w:b/>
          <w:caps/>
          <w:spacing w:val="10"/>
          <w:lang w:bidi="en-US"/>
        </w:rPr>
        <w:t>Project Summary Table</w:t>
      </w:r>
      <w:bookmarkEnd w:id="6"/>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84"/>
        <w:gridCol w:w="669"/>
        <w:gridCol w:w="1444"/>
        <w:gridCol w:w="2727"/>
        <w:gridCol w:w="371"/>
        <w:gridCol w:w="1716"/>
        <w:gridCol w:w="1907"/>
      </w:tblGrid>
      <w:tr w:rsidR="00617ADF" w:rsidRPr="00617ADF" w:rsidTr="00A22B68">
        <w:trPr>
          <w:trHeight w:val="359"/>
        </w:trPr>
        <w:tc>
          <w:tcPr>
            <w:tcW w:w="455" w:type="pct"/>
            <w:shd w:val="clear" w:color="auto" w:fill="7F7F7F"/>
            <w:vAlign w:val="center"/>
          </w:tcPr>
          <w:p w:rsidR="00617ADF" w:rsidRPr="00617ADF" w:rsidRDefault="00617ADF" w:rsidP="00617ADF">
            <w:pPr>
              <w:spacing w:after="0" w:line="276" w:lineRule="auto"/>
              <w:contextualSpacing/>
              <w:jc w:val="both"/>
              <w:rPr>
                <w:rFonts w:ascii="Calibri" w:eastAsia="Times New Roman" w:hAnsi="Calibri" w:cs="Calibri"/>
                <w:bCs/>
                <w:color w:val="FFFFFF"/>
                <w:sz w:val="20"/>
                <w:szCs w:val="20"/>
                <w:lang w:bidi="en-US"/>
              </w:rPr>
            </w:pPr>
            <w:r w:rsidRPr="00617ADF">
              <w:rPr>
                <w:rFonts w:ascii="Calibri" w:eastAsia="Times New Roman" w:hAnsi="Calibri" w:cs="Calibri"/>
                <w:bCs/>
                <w:color w:val="FFFFFF"/>
                <w:sz w:val="20"/>
                <w:szCs w:val="20"/>
                <w:lang w:bidi="en-US"/>
              </w:rPr>
              <w:t xml:space="preserve">Project Title: </w:t>
            </w:r>
          </w:p>
        </w:tc>
        <w:tc>
          <w:tcPr>
            <w:tcW w:w="4545" w:type="pct"/>
            <w:gridSpan w:val="6"/>
            <w:shd w:val="clear" w:color="auto" w:fill="FFFFFF"/>
            <w:vAlign w:val="center"/>
          </w:tcPr>
          <w:p w:rsidR="00617ADF" w:rsidRPr="00617ADF" w:rsidRDefault="00617ADF" w:rsidP="00617ADF">
            <w:pPr>
              <w:spacing w:after="0" w:line="276" w:lineRule="auto"/>
              <w:contextualSpacing/>
              <w:jc w:val="both"/>
              <w:rPr>
                <w:rFonts w:ascii="Calibri" w:eastAsia="Times New Roman" w:hAnsi="Calibri" w:cs="Calibri"/>
                <w:bCs/>
                <w:sz w:val="20"/>
                <w:szCs w:val="20"/>
                <w:lang w:bidi="en-US"/>
              </w:rPr>
            </w:pPr>
            <w:r w:rsidRPr="00617ADF">
              <w:rPr>
                <w:rFonts w:ascii="Calibri" w:eastAsia="Calibri" w:hAnsi="Calibri" w:cs="Times New Roman"/>
                <w:sz w:val="20"/>
                <w:szCs w:val="20"/>
                <w:lang w:val="mn-MN" w:bidi="en-US"/>
              </w:rPr>
              <w:t xml:space="preserve">“Ecosystem Based Adaptation Approach to Maintaining Water Security in Critical Water Catchments in Mongolia” </w:t>
            </w:r>
            <w:r w:rsidRPr="00617ADF">
              <w:rPr>
                <w:rFonts w:ascii="Calibri" w:eastAsia="Calibri" w:hAnsi="Calibri" w:cs="Times New Roman"/>
                <w:sz w:val="20"/>
                <w:szCs w:val="20"/>
                <w:lang w:bidi="en-US"/>
              </w:rPr>
              <w:t>(</w:t>
            </w:r>
            <w:r w:rsidRPr="00617ADF">
              <w:rPr>
                <w:rFonts w:ascii="Calibri" w:eastAsia="Calibri" w:hAnsi="Calibri" w:cs="Times New Roman"/>
                <w:sz w:val="20"/>
                <w:szCs w:val="20"/>
                <w:lang w:val="mn-MN" w:bidi="en-US"/>
              </w:rPr>
              <w:t>MON/12/301</w:t>
            </w:r>
            <w:r w:rsidRPr="00617ADF">
              <w:rPr>
                <w:rFonts w:ascii="Calibri" w:eastAsia="Calibri" w:hAnsi="Calibri" w:cs="Times New Roman"/>
                <w:sz w:val="20"/>
                <w:szCs w:val="20"/>
                <w:lang w:bidi="en-US"/>
              </w:rPr>
              <w:t>) project</w:t>
            </w:r>
          </w:p>
        </w:tc>
      </w:tr>
      <w:tr w:rsidR="00617ADF" w:rsidRPr="00617ADF" w:rsidTr="00A22B68">
        <w:tblPrEx>
          <w:shd w:val="clear" w:color="auto" w:fill="auto"/>
        </w:tblPrEx>
        <w:trPr>
          <w:trHeight w:val="553"/>
        </w:trPr>
        <w:tc>
          <w:tcPr>
            <w:tcW w:w="799" w:type="pct"/>
            <w:gridSpan w:val="2"/>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color w:val="000000"/>
                <w:sz w:val="20"/>
                <w:szCs w:val="20"/>
                <w:lang w:bidi="en-US"/>
              </w:rPr>
              <w:t>AF Project ID:</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MNG/MIE/EBA/2011/1</w:t>
            </w:r>
          </w:p>
        </w:tc>
        <w:tc>
          <w:tcPr>
            <w:tcW w:w="1403" w:type="pct"/>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t> </w:t>
            </w:r>
          </w:p>
        </w:tc>
        <w:tc>
          <w:tcPr>
            <w:tcW w:w="1074" w:type="pct"/>
            <w:gridSpan w:val="2"/>
          </w:tcPr>
          <w:p w:rsidR="00617ADF" w:rsidRPr="00617ADF" w:rsidRDefault="00617ADF" w:rsidP="00617ADF">
            <w:pPr>
              <w:spacing w:after="0" w:line="276" w:lineRule="auto"/>
              <w:rPr>
                <w:rFonts w:ascii="Calibri" w:eastAsia="Arial Unicode MS" w:hAnsi="Calibri" w:cs="Times New Roman"/>
                <w:i/>
                <w:color w:val="000000"/>
                <w:sz w:val="20"/>
                <w:szCs w:val="20"/>
                <w:u w:val="single"/>
                <w:lang w:bidi="en-US"/>
              </w:rPr>
            </w:pPr>
            <w:r w:rsidRPr="00617ADF">
              <w:rPr>
                <w:rFonts w:ascii="Calibri" w:eastAsia="Times New Roman" w:hAnsi="Calibri" w:cs="Times New Roman"/>
                <w:i/>
                <w:color w:val="000000"/>
                <w:sz w:val="20"/>
                <w:szCs w:val="20"/>
                <w:u w:val="single"/>
                <w:lang w:bidi="en-US"/>
              </w:rPr>
              <w:t>at endorsement (Million US$)</w:t>
            </w:r>
          </w:p>
        </w:tc>
        <w:tc>
          <w:tcPr>
            <w:tcW w:w="981" w:type="pct"/>
          </w:tcPr>
          <w:p w:rsidR="00617ADF" w:rsidRPr="00617ADF" w:rsidRDefault="00617ADF" w:rsidP="00617ADF">
            <w:pPr>
              <w:spacing w:after="0" w:line="276" w:lineRule="auto"/>
              <w:rPr>
                <w:rFonts w:ascii="Calibri" w:eastAsia="Arial Unicode MS" w:hAnsi="Calibri" w:cs="Times New Roman"/>
                <w:i/>
                <w:color w:val="000000"/>
                <w:sz w:val="20"/>
                <w:szCs w:val="20"/>
                <w:u w:val="single"/>
                <w:lang w:bidi="en-US"/>
              </w:rPr>
            </w:pPr>
            <w:r w:rsidRPr="00617ADF">
              <w:rPr>
                <w:rFonts w:ascii="Calibri" w:eastAsia="Times New Roman" w:hAnsi="Calibri" w:cs="Times New Roman"/>
                <w:i/>
                <w:color w:val="000000"/>
                <w:sz w:val="20"/>
                <w:szCs w:val="20"/>
                <w:u w:val="single"/>
                <w:lang w:bidi="en-US"/>
              </w:rPr>
              <w:t>at completion (Million US$)</w:t>
            </w:r>
          </w:p>
        </w:tc>
      </w:tr>
      <w:tr w:rsidR="00617ADF" w:rsidRPr="00617ADF" w:rsidTr="00A22B68">
        <w:tblPrEx>
          <w:shd w:val="clear" w:color="auto" w:fill="auto"/>
        </w:tblPrEx>
        <w:trPr>
          <w:trHeight w:val="278"/>
        </w:trPr>
        <w:tc>
          <w:tcPr>
            <w:tcW w:w="799" w:type="pct"/>
            <w:gridSpan w:val="2"/>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color w:val="000000"/>
                <w:sz w:val="20"/>
                <w:szCs w:val="20"/>
                <w:lang w:bidi="en-US"/>
              </w:rPr>
              <w:t>UNDP Project ID:</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00079875</w:t>
            </w:r>
          </w:p>
        </w:tc>
        <w:tc>
          <w:tcPr>
            <w:tcW w:w="1403" w:type="pct"/>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color w:val="000000"/>
                <w:sz w:val="20"/>
                <w:szCs w:val="20"/>
                <w:lang w:bidi="en-US"/>
              </w:rPr>
              <w:t xml:space="preserve">AF financing: </w:t>
            </w:r>
          </w:p>
        </w:tc>
        <w:tc>
          <w:tcPr>
            <w:tcW w:w="1074" w:type="pct"/>
            <w:gridSpan w:val="2"/>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t>5,069,124</w:t>
            </w:r>
          </w:p>
        </w:tc>
        <w:tc>
          <w:tcPr>
            <w:tcW w:w="981" w:type="pct"/>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t>4,440778.07</w:t>
            </w:r>
          </w:p>
        </w:tc>
      </w:tr>
      <w:tr w:rsidR="00617ADF" w:rsidRPr="00617ADF" w:rsidTr="00A22B68">
        <w:tblPrEx>
          <w:shd w:val="clear" w:color="auto" w:fill="auto"/>
        </w:tblPrEx>
        <w:trPr>
          <w:trHeight w:val="269"/>
        </w:trPr>
        <w:tc>
          <w:tcPr>
            <w:tcW w:w="799" w:type="pct"/>
            <w:gridSpan w:val="2"/>
          </w:tcPr>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Country:</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sz w:val="20"/>
                <w:szCs w:val="20"/>
                <w:lang w:bidi="en-US"/>
              </w:rPr>
              <w:t>Mongolia</w:t>
            </w:r>
          </w:p>
        </w:tc>
        <w:tc>
          <w:tcPr>
            <w:tcW w:w="1403" w:type="pct"/>
          </w:tcPr>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bCs/>
                <w:sz w:val="20"/>
                <w:szCs w:val="20"/>
                <w:lang w:bidi="en-US"/>
              </w:rPr>
              <w:t>IA/EA own:</w:t>
            </w:r>
          </w:p>
        </w:tc>
        <w:tc>
          <w:tcPr>
            <w:tcW w:w="1074" w:type="pct"/>
            <w:gridSpan w:val="2"/>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981" w:type="pct"/>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shd w:val="clear" w:color="auto" w:fill="auto"/>
        </w:tblPrEx>
        <w:trPr>
          <w:trHeight w:val="296"/>
        </w:trPr>
        <w:tc>
          <w:tcPr>
            <w:tcW w:w="799" w:type="pct"/>
            <w:gridSpan w:val="2"/>
          </w:tcPr>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Region:</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val="es-ES_tradnl" w:bidi="en-US"/>
              </w:rPr>
            </w:pPr>
            <w:r w:rsidRPr="00617ADF">
              <w:rPr>
                <w:rFonts w:ascii="Calibri" w:eastAsia="Times New Roman" w:hAnsi="Calibri" w:cs="Times New Roman"/>
                <w:sz w:val="20"/>
                <w:szCs w:val="20"/>
                <w:lang w:bidi="en-US"/>
              </w:rPr>
              <w:t>Asia-Pacific</w:t>
            </w:r>
          </w:p>
        </w:tc>
        <w:tc>
          <w:tcPr>
            <w:tcW w:w="1403" w:type="pct"/>
          </w:tcPr>
          <w:p w:rsidR="00617ADF" w:rsidRPr="00617ADF" w:rsidRDefault="00617ADF" w:rsidP="00617ADF">
            <w:pPr>
              <w:spacing w:after="0" w:line="276" w:lineRule="auto"/>
              <w:jc w:val="both"/>
              <w:rPr>
                <w:rFonts w:ascii="Calibri" w:eastAsia="Times New Roman" w:hAnsi="Calibri" w:cs="Times New Roman"/>
                <w:bCs/>
                <w:sz w:val="20"/>
                <w:szCs w:val="20"/>
                <w:lang w:bidi="en-US"/>
              </w:rPr>
            </w:pPr>
            <w:r w:rsidRPr="00617ADF">
              <w:rPr>
                <w:rFonts w:ascii="Calibri" w:eastAsia="Times New Roman" w:hAnsi="Calibri" w:cs="Times New Roman"/>
                <w:bCs/>
                <w:sz w:val="20"/>
                <w:szCs w:val="20"/>
                <w:lang w:bidi="en-US"/>
              </w:rPr>
              <w:t>Government:</w:t>
            </w:r>
          </w:p>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bCs/>
                <w:sz w:val="20"/>
                <w:szCs w:val="20"/>
                <w:lang w:bidi="en-US"/>
              </w:rPr>
              <w:t>In kind contributions</w:t>
            </w:r>
          </w:p>
        </w:tc>
        <w:tc>
          <w:tcPr>
            <w:tcW w:w="1074" w:type="pct"/>
            <w:gridSpan w:val="2"/>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t>5,000,000</w:t>
            </w:r>
          </w:p>
        </w:tc>
        <w:tc>
          <w:tcPr>
            <w:tcW w:w="9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shd w:val="clear" w:color="auto" w:fill="auto"/>
        </w:tblPrEx>
        <w:trPr>
          <w:trHeight w:val="314"/>
        </w:trPr>
        <w:tc>
          <w:tcPr>
            <w:tcW w:w="799" w:type="pct"/>
            <w:gridSpan w:val="2"/>
          </w:tcPr>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Executing Agency:</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Ministry of Environment and Tourism (MET)</w:t>
            </w:r>
          </w:p>
        </w:tc>
        <w:tc>
          <w:tcPr>
            <w:tcW w:w="1403" w:type="pct"/>
          </w:tcPr>
          <w:p w:rsidR="00617ADF" w:rsidRPr="00617ADF" w:rsidRDefault="00617ADF" w:rsidP="00617ADF">
            <w:pPr>
              <w:spacing w:after="0" w:line="276" w:lineRule="auto"/>
              <w:jc w:val="both"/>
              <w:rPr>
                <w:rFonts w:ascii="Calibri" w:eastAsia="Times New Roman" w:hAnsi="Calibri" w:cs="Times New Roman"/>
                <w:bCs/>
                <w:sz w:val="20"/>
                <w:szCs w:val="20"/>
                <w:lang w:bidi="en-US"/>
              </w:rPr>
            </w:pPr>
            <w:r w:rsidRPr="00617ADF">
              <w:rPr>
                <w:rFonts w:ascii="Calibri" w:eastAsia="Times New Roman" w:hAnsi="Calibri" w:cs="Times New Roman"/>
                <w:bCs/>
                <w:sz w:val="20"/>
                <w:szCs w:val="20"/>
                <w:lang w:bidi="en-US"/>
              </w:rPr>
              <w:t>Other:</w:t>
            </w:r>
          </w:p>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bCs/>
                <w:sz w:val="20"/>
                <w:szCs w:val="20"/>
                <w:lang w:bidi="en-US"/>
              </w:rPr>
              <w:t>UNDP</w:t>
            </w:r>
          </w:p>
        </w:tc>
        <w:tc>
          <w:tcPr>
            <w:tcW w:w="1074" w:type="pct"/>
            <w:gridSpan w:val="2"/>
            <w:vAlign w:val="center"/>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500,000</w:t>
            </w:r>
          </w:p>
        </w:tc>
        <w:tc>
          <w:tcPr>
            <w:tcW w:w="981" w:type="pct"/>
            <w:vAlign w:val="center"/>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492,062.66</w:t>
            </w:r>
          </w:p>
        </w:tc>
      </w:tr>
      <w:tr w:rsidR="00617ADF" w:rsidRPr="00617ADF" w:rsidTr="00A22B68">
        <w:tblPrEx>
          <w:shd w:val="clear" w:color="auto" w:fill="auto"/>
        </w:tblPrEx>
        <w:trPr>
          <w:trHeight w:val="553"/>
        </w:trPr>
        <w:tc>
          <w:tcPr>
            <w:tcW w:w="799" w:type="pct"/>
            <w:gridSpan w:val="2"/>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sz w:val="20"/>
                <w:szCs w:val="20"/>
                <w:lang w:bidi="en-US"/>
              </w:rPr>
              <w:t>Other Partners involved:</w:t>
            </w: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 xml:space="preserve">UNDP </w:t>
            </w:r>
          </w:p>
        </w:tc>
        <w:tc>
          <w:tcPr>
            <w:tcW w:w="1403" w:type="pct"/>
          </w:tcPr>
          <w:p w:rsidR="00617ADF" w:rsidRPr="00617ADF" w:rsidRDefault="00617ADF" w:rsidP="00617ADF">
            <w:pPr>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Total co-financing:</w:t>
            </w:r>
          </w:p>
        </w:tc>
        <w:tc>
          <w:tcPr>
            <w:tcW w:w="1074" w:type="pct"/>
            <w:gridSpan w:val="2"/>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9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shd w:val="clear" w:color="auto" w:fill="auto"/>
        </w:tblPrEx>
        <w:trPr>
          <w:trHeight w:val="341"/>
        </w:trPr>
        <w:tc>
          <w:tcPr>
            <w:tcW w:w="799" w:type="pct"/>
            <w:gridSpan w:val="2"/>
            <w:vAlign w:val="center"/>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p>
        </w:tc>
        <w:tc>
          <w:tcPr>
            <w:tcW w:w="743"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1403" w:type="pct"/>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color w:val="000000"/>
                <w:sz w:val="20"/>
                <w:szCs w:val="20"/>
                <w:lang w:bidi="en-US"/>
              </w:rPr>
              <w:t>Total Project Cost:</w:t>
            </w:r>
          </w:p>
        </w:tc>
        <w:tc>
          <w:tcPr>
            <w:tcW w:w="1074" w:type="pct"/>
            <w:gridSpan w:val="2"/>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Times New Roman" w:hAnsi="Calibri" w:cs="Times New Roman"/>
                <w:sz w:val="20"/>
                <w:szCs w:val="20"/>
                <w:lang w:bidi="en-US"/>
              </w:rPr>
              <w:t>10,569,124</w:t>
            </w:r>
          </w:p>
        </w:tc>
        <w:tc>
          <w:tcPr>
            <w:tcW w:w="981" w:type="pct"/>
          </w:tcPr>
          <w:p w:rsidR="00617ADF" w:rsidRPr="00617ADF" w:rsidRDefault="00617ADF" w:rsidP="00617ADF">
            <w:pPr>
              <w:spacing w:after="0" w:line="276" w:lineRule="auto"/>
              <w:jc w:val="both"/>
              <w:rPr>
                <w:rFonts w:ascii="Calibri" w:eastAsia="Arial Unicode MS" w:hAnsi="Calibri" w:cs="Times New Roman"/>
                <w:sz w:val="20"/>
                <w:szCs w:val="20"/>
                <w:lang w:bidi="en-US"/>
              </w:rPr>
            </w:pPr>
            <w:r w:rsidRPr="00617ADF">
              <w:rPr>
                <w:rFonts w:ascii="Calibri" w:eastAsia="Arial Unicode MS" w:hAnsi="Calibri" w:cs="Times New Roman"/>
                <w:sz w:val="20"/>
                <w:szCs w:val="20"/>
                <w:lang w:bidi="en-US"/>
              </w:rPr>
              <w:t>4,932,840.73</w:t>
            </w:r>
          </w:p>
        </w:tc>
      </w:tr>
      <w:tr w:rsidR="00617ADF" w:rsidRPr="00617ADF" w:rsidTr="00A22B68">
        <w:tblPrEx>
          <w:shd w:val="clear" w:color="auto" w:fill="auto"/>
        </w:tblPrEx>
        <w:trPr>
          <w:trHeight w:val="368"/>
        </w:trPr>
        <w:tc>
          <w:tcPr>
            <w:tcW w:w="799" w:type="pct"/>
            <w:gridSpan w:val="2"/>
            <w:vMerge w:val="restart"/>
          </w:tcPr>
          <w:p w:rsidR="00617ADF" w:rsidRPr="00617ADF" w:rsidRDefault="00617ADF" w:rsidP="00617ADF">
            <w:pPr>
              <w:spacing w:after="0" w:line="276" w:lineRule="auto"/>
              <w:jc w:val="both"/>
              <w:rPr>
                <w:rFonts w:ascii="Calibri" w:eastAsia="Arial Unicode MS" w:hAnsi="Calibri" w:cs="Times New Roman"/>
                <w:sz w:val="20"/>
                <w:szCs w:val="20"/>
                <w:lang w:bidi="en-US"/>
              </w:rPr>
            </w:pPr>
          </w:p>
        </w:tc>
        <w:tc>
          <w:tcPr>
            <w:tcW w:w="743" w:type="pct"/>
            <w:vMerge w:val="restart"/>
            <w:vAlign w:val="center"/>
          </w:tcPr>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477" w:type="pct"/>
            <w:gridSpan w:val="3"/>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color w:val="000000"/>
                <w:sz w:val="20"/>
                <w:szCs w:val="20"/>
                <w:lang w:bidi="en-US"/>
              </w:rPr>
              <w:t xml:space="preserve">ProDoc Signature (date project began): </w:t>
            </w:r>
          </w:p>
        </w:tc>
        <w:tc>
          <w:tcPr>
            <w:tcW w:w="981" w:type="pct"/>
            <w:vAlign w:val="center"/>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18 Nov 2011</w:t>
            </w:r>
          </w:p>
        </w:tc>
      </w:tr>
      <w:tr w:rsidR="00617ADF" w:rsidRPr="00617ADF" w:rsidTr="00A22B68">
        <w:tblPrEx>
          <w:shd w:val="clear" w:color="auto" w:fill="auto"/>
        </w:tblPrEx>
        <w:trPr>
          <w:trHeight w:val="144"/>
        </w:trPr>
        <w:tc>
          <w:tcPr>
            <w:tcW w:w="799" w:type="pct"/>
            <w:gridSpan w:val="2"/>
            <w:vMerge/>
            <w:vAlign w:val="center"/>
          </w:tcPr>
          <w:p w:rsidR="00617ADF" w:rsidRPr="00617ADF" w:rsidRDefault="00617ADF" w:rsidP="00617ADF">
            <w:pPr>
              <w:spacing w:after="0" w:line="276" w:lineRule="auto"/>
              <w:jc w:val="both"/>
              <w:rPr>
                <w:rFonts w:ascii="Calibri" w:eastAsia="Arial Unicode MS" w:hAnsi="Calibri" w:cs="Times New Roman"/>
                <w:sz w:val="20"/>
                <w:szCs w:val="20"/>
                <w:lang w:bidi="en-US"/>
              </w:rPr>
            </w:pPr>
          </w:p>
        </w:tc>
        <w:tc>
          <w:tcPr>
            <w:tcW w:w="743" w:type="pct"/>
            <w:vMerge/>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p>
        </w:tc>
        <w:tc>
          <w:tcPr>
            <w:tcW w:w="1594" w:type="pct"/>
            <w:gridSpan w:val="2"/>
          </w:tcPr>
          <w:p w:rsidR="00617ADF" w:rsidRPr="00617ADF" w:rsidRDefault="00617ADF" w:rsidP="00617ADF">
            <w:pPr>
              <w:spacing w:after="0" w:line="276" w:lineRule="auto"/>
              <w:jc w:val="both"/>
              <w:rPr>
                <w:rFonts w:ascii="Calibri" w:eastAsia="Arial Unicode MS" w:hAnsi="Calibri" w:cs="Times New Roman"/>
                <w:color w:val="000000"/>
                <w:sz w:val="20"/>
                <w:szCs w:val="20"/>
                <w:lang w:bidi="en-US"/>
              </w:rPr>
            </w:pPr>
            <w:r w:rsidRPr="00617ADF">
              <w:rPr>
                <w:rFonts w:ascii="Calibri" w:eastAsia="Times New Roman" w:hAnsi="Calibri" w:cs="Times New Roman"/>
                <w:color w:val="000000"/>
                <w:sz w:val="20"/>
                <w:szCs w:val="20"/>
                <w:lang w:bidi="en-US"/>
              </w:rPr>
              <w:t>(Operational) Closing Date:</w:t>
            </w:r>
          </w:p>
        </w:tc>
        <w:tc>
          <w:tcPr>
            <w:tcW w:w="883" w:type="pct"/>
          </w:tcPr>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color w:val="000000"/>
                <w:sz w:val="20"/>
                <w:szCs w:val="20"/>
                <w:lang w:bidi="en-US"/>
              </w:rPr>
              <w:t>Proposed:</w:t>
            </w:r>
          </w:p>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sz w:val="20"/>
                <w:szCs w:val="20"/>
                <w:lang w:bidi="en-US"/>
              </w:rPr>
              <w:t>31 Dec 2017</w:t>
            </w:r>
          </w:p>
        </w:tc>
        <w:tc>
          <w:tcPr>
            <w:tcW w:w="981" w:type="pct"/>
          </w:tcPr>
          <w:p w:rsidR="00617ADF" w:rsidRPr="00617ADF" w:rsidRDefault="00617ADF" w:rsidP="00617ADF">
            <w:pPr>
              <w:tabs>
                <w:tab w:val="right" w:pos="0"/>
              </w:tabs>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color w:val="000000"/>
                <w:sz w:val="20"/>
                <w:szCs w:val="20"/>
                <w:lang w:bidi="en-US"/>
              </w:rPr>
              <w:t>Actual:</w:t>
            </w:r>
          </w:p>
          <w:p w:rsidR="00617ADF" w:rsidRPr="00617ADF" w:rsidRDefault="00617ADF" w:rsidP="00617ADF">
            <w:pPr>
              <w:tabs>
                <w:tab w:val="right" w:pos="0"/>
              </w:tabs>
              <w:spacing w:after="0" w:line="276" w:lineRule="auto"/>
              <w:jc w:val="both"/>
              <w:rPr>
                <w:rFonts w:ascii="Calibri" w:eastAsia="Times New Roman" w:hAnsi="Calibri" w:cs="Times New Roman"/>
                <w:color w:val="000000"/>
                <w:sz w:val="20"/>
                <w:szCs w:val="20"/>
                <w:lang w:bidi="en-US"/>
              </w:rPr>
            </w:pPr>
            <w:r w:rsidRPr="00617ADF">
              <w:rPr>
                <w:rFonts w:ascii="Calibri" w:eastAsia="Times New Roman" w:hAnsi="Calibri" w:cs="Times New Roman"/>
                <w:sz w:val="20"/>
                <w:szCs w:val="20"/>
                <w:lang w:bidi="en-US"/>
              </w:rPr>
              <w:t>31 Dec 2017</w:t>
            </w: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7" w:name="_Toc321341549"/>
      <w:r w:rsidRPr="00617ADF">
        <w:rPr>
          <w:rFonts w:ascii="Calibri" w:eastAsia="Times New Roman" w:hAnsi="Calibri" w:cs="Times New Roman"/>
          <w:b/>
          <w:caps/>
          <w:spacing w:val="10"/>
          <w:lang w:bidi="en-US"/>
        </w:rPr>
        <w:t xml:space="preserve">PROJECT BACKGROUND INFORMATION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Mongolia is witnessing significant alterations to water and ambient air temperatures and precipitation patterns.  Both the frequency and severity of extreme weather events are increasing. From 1940 to 2007, the annual mean air temperature in Mongolia increased by approximately 2.14</w:t>
      </w:r>
      <w:r w:rsidRPr="00617ADF">
        <w:rPr>
          <w:rFonts w:ascii="Calibri" w:eastAsia="Times New Roman" w:hAnsi="Calibri" w:cs="Times New Roman"/>
          <w:sz w:val="20"/>
          <w:szCs w:val="20"/>
          <w:vertAlign w:val="superscript"/>
          <w:lang w:bidi="en-US"/>
        </w:rPr>
        <w:t>0</w:t>
      </w:r>
      <w:r w:rsidRPr="00617ADF">
        <w:rPr>
          <w:rFonts w:ascii="Calibri" w:eastAsia="Times New Roman" w:hAnsi="Calibri" w:cs="Times New Roman"/>
          <w:sz w:val="20"/>
          <w:szCs w:val="20"/>
          <w:lang w:bidi="en-US"/>
        </w:rPr>
        <w:t>C. This is three times higher than the global average.  Warming is projected to further increase up to 5</w:t>
      </w:r>
      <w:r w:rsidRPr="00617ADF">
        <w:rPr>
          <w:rFonts w:ascii="Calibri" w:eastAsia="Times New Roman" w:hAnsi="Calibri" w:cs="Times New Roman"/>
          <w:sz w:val="20"/>
          <w:szCs w:val="20"/>
          <w:vertAlign w:val="superscript"/>
          <w:lang w:bidi="en-US"/>
        </w:rPr>
        <w:t>0</w:t>
      </w:r>
      <w:r w:rsidRPr="00617ADF">
        <w:rPr>
          <w:rFonts w:ascii="Calibri" w:eastAsia="Times New Roman" w:hAnsi="Calibri" w:cs="Times New Roman"/>
          <w:sz w:val="20"/>
          <w:szCs w:val="20"/>
          <w:lang w:bidi="en-US"/>
        </w:rPr>
        <w:t xml:space="preserve">C by the end of the 21st   century.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To address the additional ecological challenges presented by climate change, there is still an urgent need to conserve and rehabilitate the ecosystem services upon which Mongolia</w:t>
      </w:r>
      <w:r w:rsidRPr="00617ADF">
        <w:rPr>
          <w:rFonts w:ascii="Calibri" w:eastAsia="Times New Roman" w:hAnsi="Calibri" w:cs="Times New Roman" w:hint="eastAsia"/>
          <w:sz w:val="20"/>
          <w:szCs w:val="20"/>
          <w:lang w:bidi="en-US"/>
        </w:rPr>
        <w:t>’</w:t>
      </w:r>
      <w:r w:rsidRPr="00617ADF">
        <w:rPr>
          <w:rFonts w:ascii="Calibri" w:eastAsia="Times New Roman" w:hAnsi="Calibri" w:cs="Times New Roman"/>
          <w:sz w:val="20"/>
          <w:szCs w:val="20"/>
          <w:lang w:bidi="en-US"/>
        </w:rPr>
        <w:t xml:space="preserve">s rural economy, traditional culture, and rich biodiversity depend. This required a paradigm shift to ensure that the very foundation of human livelihood - ecosystems and their services - is sufficiently resilient to climate change pressure, and to enable communities to adapt to climate change.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lastRenderedPageBreak/>
        <w:t xml:space="preserve">The project was designed to maintain ecosystem functions and water provisioning services addressing the needs of critical for survival of rural communities and national economy. The project is implemented at two large landscapes: </w:t>
      </w:r>
      <w:r w:rsidRPr="00617ADF">
        <w:rPr>
          <w:rFonts w:ascii="Calibri" w:eastAsia="Times New Roman" w:hAnsi="Calibri" w:cs="Times New Roman"/>
          <w:b/>
          <w:sz w:val="20"/>
          <w:szCs w:val="20"/>
          <w:lang w:bidi="en-US"/>
        </w:rPr>
        <w:t>the Turgen/Kharkhiraa sub-river basin</w:t>
      </w:r>
      <w:r w:rsidRPr="00617ADF">
        <w:rPr>
          <w:rFonts w:ascii="Calibri" w:eastAsia="Times New Roman" w:hAnsi="Calibri" w:cs="Times New Roman"/>
          <w:sz w:val="20"/>
          <w:szCs w:val="20"/>
          <w:lang w:bidi="en-US"/>
        </w:rPr>
        <w:t xml:space="preserve"> in Altai Mountains and Great Lakes Depression (Altai/GLD) eco-region and </w:t>
      </w:r>
      <w:r w:rsidRPr="00617ADF">
        <w:rPr>
          <w:rFonts w:ascii="Calibri" w:eastAsia="Times New Roman" w:hAnsi="Calibri" w:cs="Times New Roman"/>
          <w:b/>
          <w:sz w:val="20"/>
          <w:szCs w:val="20"/>
          <w:lang w:bidi="en-US"/>
        </w:rPr>
        <w:t>the Ulz river basin</w:t>
      </w:r>
      <w:r w:rsidRPr="00617ADF">
        <w:rPr>
          <w:rFonts w:ascii="Calibri" w:eastAsia="Times New Roman" w:hAnsi="Calibri" w:cs="Times New Roman"/>
          <w:sz w:val="20"/>
          <w:szCs w:val="20"/>
          <w:lang w:bidi="en-US"/>
        </w:rPr>
        <w:t xml:space="preserve"> in the Dornod steppe and Mongol Daurian eco-region.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The target landscapes represent a significant portion of Mongolia</w:t>
      </w:r>
      <w:r w:rsidRPr="00617ADF">
        <w:rPr>
          <w:rFonts w:ascii="Calibri" w:eastAsia="Times New Roman" w:hAnsi="Calibri" w:cs="Times New Roman" w:hint="eastAsia"/>
          <w:sz w:val="20"/>
          <w:szCs w:val="20"/>
          <w:lang w:bidi="en-US"/>
        </w:rPr>
        <w:t>’</w:t>
      </w:r>
      <w:r w:rsidRPr="00617ADF">
        <w:rPr>
          <w:rFonts w:ascii="Calibri" w:eastAsia="Times New Roman" w:hAnsi="Calibri" w:cs="Times New Roman"/>
          <w:sz w:val="20"/>
          <w:szCs w:val="20"/>
          <w:lang w:bidi="en-US"/>
        </w:rPr>
        <w:t>s water resources and encompass an array of representative ecological, social and economic samples in the country, with potential for generating a variety of experiences and lessons.  Both eco-regions and watersheds are emblematic of Mongolia</w:t>
      </w:r>
      <w:r w:rsidRPr="00617ADF">
        <w:rPr>
          <w:rFonts w:ascii="Calibri" w:eastAsia="Times New Roman" w:hAnsi="Calibri" w:cs="Times New Roman" w:hint="eastAsia"/>
          <w:sz w:val="20"/>
          <w:szCs w:val="20"/>
          <w:lang w:bidi="en-US"/>
        </w:rPr>
        <w:t>’</w:t>
      </w:r>
      <w:r w:rsidRPr="00617ADF">
        <w:rPr>
          <w:rFonts w:ascii="Calibri" w:eastAsia="Times New Roman" w:hAnsi="Calibri" w:cs="Times New Roman"/>
          <w:sz w:val="20"/>
          <w:szCs w:val="20"/>
          <w:lang w:bidi="en-US"/>
        </w:rPr>
        <w:t>s resilience barriers and concrete adaptation challenges, e.g., over-grazing, riparian disturbance, and over-appropriation.</w:t>
      </w:r>
      <w:r w:rsidRPr="00617ADF">
        <w:rPr>
          <w:rFonts w:ascii="Calibri" w:eastAsia="Times New Roman" w:hAnsi="Calibri" w:cs="Times New Roman"/>
          <w:sz w:val="20"/>
          <w:szCs w:val="20"/>
          <w:lang w:bidi="en-US"/>
        </w:rPr>
        <w:tab/>
        <w:t xml:space="preserve"> The specific locations were selected because they are: (1) “distinct”, offering two very different ecological zones for establishing EBA practices; (2) “representative” of key climate change challenges; (3) appropriately scaled both in terms geographic size and population to allow for substantial, landscape level improvements within budget constraints; and, (4) strategic in that the locations are priorities for government action and allow for building upon and/or coordinating with on-going programming.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Based on these studies Ecosystem based adaptation (EbA) guidance was prepared on adaptation measures for current and future climate change   and variability and   associated disaster risks.  Adaptation practices and technologies for sustaining social, economic, cultural services provided by ecosystem are introduced in accordance with these recommendations aimed to maintain regional ecosystem resilience at present and in the future.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main objective of the project is to maintain the water provisioning services supplied by mountain and steppe ecosystems by internalizing climate change risks within land and water resource management regimes. The project is implemented between 2012 and 2017. Geographically, the project covers i) the Altai Mountains and Great Lakes Basin Eco-region; ii) the Eastern Steppe Eco-region; focusing on the Turgen/Kharkhiraa sub-river basin – (Turgen, Ulaangom, Sagil, Bukhmurun, Khovd, Tarialan, Naranbulag soums of Uvs Aimag); and the Ulz River Basin – (Chuluunkhoroot, Dashbalbar, Bayandun, Bayan-Uul, Gruvanzagal, Choibalsan, Sergelen soums of Dornod aimag; Bayan-Adarga, Batnorov, Norovlin soums of Khentii aimag). </w:t>
      </w:r>
    </w:p>
    <w:p w:rsidR="00617ADF" w:rsidRPr="00617ADF" w:rsidRDefault="00617ADF" w:rsidP="00617ADF">
      <w:pPr>
        <w:autoSpaceDE w:val="0"/>
        <w:autoSpaceDN w:val="0"/>
        <w:adjustRightInd w:val="0"/>
        <w:spacing w:before="120" w:after="120" w:line="276" w:lineRule="auto"/>
        <w:jc w:val="both"/>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The project has three interconnected components: </w:t>
      </w:r>
    </w:p>
    <w:p w:rsidR="00617ADF" w:rsidRPr="00617ADF" w:rsidRDefault="00617ADF" w:rsidP="00617ADF">
      <w:pPr>
        <w:numPr>
          <w:ilvl w:val="0"/>
          <w:numId w:val="2"/>
        </w:numPr>
        <w:autoSpaceDE w:val="0"/>
        <w:autoSpaceDN w:val="0"/>
        <w:adjustRightInd w:val="0"/>
        <w:spacing w:after="0" w:line="276" w:lineRule="auto"/>
        <w:ind w:left="567" w:hanging="425"/>
        <w:jc w:val="both"/>
        <w:rPr>
          <w:rFonts w:ascii="Calibri" w:eastAsia="Calibri" w:hAnsi="Calibri" w:cs="Times New Roman"/>
          <w:sz w:val="20"/>
          <w:szCs w:val="20"/>
          <w:lang w:bidi="en-US"/>
        </w:rPr>
      </w:pPr>
      <w:r w:rsidRPr="00617ADF">
        <w:rPr>
          <w:rFonts w:ascii="Calibri" w:eastAsia="Calibri" w:hAnsi="Calibri" w:cs="Times New Roman"/>
          <w:sz w:val="20"/>
          <w:szCs w:val="20"/>
          <w:lang w:bidi="en-US"/>
        </w:rPr>
        <w:t>Landscape Level integrated land use and water resources monitoring and planning system focused upon reduction of ecosystem vulnerability to climate change developed and under implementation;</w:t>
      </w:r>
    </w:p>
    <w:p w:rsidR="00617ADF" w:rsidRPr="00617ADF" w:rsidRDefault="00617ADF" w:rsidP="00617ADF">
      <w:pPr>
        <w:numPr>
          <w:ilvl w:val="0"/>
          <w:numId w:val="2"/>
        </w:numPr>
        <w:autoSpaceDE w:val="0"/>
        <w:autoSpaceDN w:val="0"/>
        <w:adjustRightInd w:val="0"/>
        <w:spacing w:after="0" w:line="276" w:lineRule="auto"/>
        <w:ind w:left="567" w:hanging="425"/>
        <w:jc w:val="both"/>
        <w:rPr>
          <w:rFonts w:ascii="Calibri" w:eastAsia="Calibri" w:hAnsi="Calibri" w:cs="Times New Roman"/>
          <w:sz w:val="20"/>
          <w:szCs w:val="20"/>
          <w:lang w:bidi="en-US"/>
        </w:rPr>
      </w:pPr>
      <w:r w:rsidRPr="00617ADF">
        <w:rPr>
          <w:rFonts w:ascii="Calibri" w:eastAsia="Calibri" w:hAnsi="Calibri" w:cs="Times New Roman"/>
          <w:sz w:val="20"/>
          <w:szCs w:val="20"/>
          <w:lang w:bidi="en-US"/>
        </w:rPr>
        <w:t>Implementing landscape level adaptation techniques to maintain ecosystem integrity and water security under conditions of climate change;</w:t>
      </w:r>
    </w:p>
    <w:p w:rsidR="00617ADF" w:rsidRPr="00617ADF" w:rsidRDefault="00617ADF" w:rsidP="00617ADF">
      <w:pPr>
        <w:numPr>
          <w:ilvl w:val="0"/>
          <w:numId w:val="2"/>
        </w:numPr>
        <w:autoSpaceDE w:val="0"/>
        <w:autoSpaceDN w:val="0"/>
        <w:adjustRightInd w:val="0"/>
        <w:spacing w:after="0" w:line="276" w:lineRule="auto"/>
        <w:ind w:left="567" w:hanging="425"/>
        <w:jc w:val="both"/>
        <w:rPr>
          <w:rFonts w:ascii="Calibri" w:eastAsia="Calibri" w:hAnsi="Calibri" w:cs="Times New Roman"/>
          <w:sz w:val="20"/>
          <w:szCs w:val="20"/>
          <w:lang w:bidi="en-US"/>
        </w:rPr>
      </w:pPr>
      <w:r w:rsidRPr="00617ADF">
        <w:rPr>
          <w:rFonts w:ascii="Calibri" w:eastAsia="Calibri" w:hAnsi="Calibri" w:cs="Times New Roman"/>
          <w:sz w:val="20"/>
          <w:szCs w:val="20"/>
          <w:lang w:bidi="en-US"/>
        </w:rPr>
        <w:t>Strengthening institutional capacities to support integrated river basin management, its replication and mainstreaming in sector policies;</w:t>
      </w:r>
    </w:p>
    <w:p w:rsidR="00617ADF" w:rsidRPr="00617ADF" w:rsidRDefault="00617ADF" w:rsidP="00617ADF">
      <w:pPr>
        <w:spacing w:after="0" w:line="240" w:lineRule="auto"/>
        <w:jc w:val="both"/>
        <w:rPr>
          <w:rFonts w:ascii="Calibri" w:eastAsia="Calibri" w:hAnsi="Calibri" w:cs="Times New Roman"/>
          <w:i/>
          <w:sz w:val="20"/>
          <w:szCs w:val="20"/>
          <w:lang w:bidi="en-US"/>
        </w:rPr>
      </w:pPr>
      <w:r w:rsidRPr="00617ADF">
        <w:rPr>
          <w:rFonts w:ascii="Calibri" w:eastAsia="Calibri" w:hAnsi="Calibri" w:cs="Times New Roman"/>
          <w:sz w:val="20"/>
          <w:szCs w:val="20"/>
          <w:lang w:val="en-GB" w:bidi="en-US"/>
        </w:rPr>
        <w:t xml:space="preserve">Upon the request of the Government of Mongolia, UNDP is the Multilateral Implementing Agency (MIE) for this project.  The Project is implemented following UNDP’s National Implementation Modality (NIM). The designated Implementing Partner of the project is the </w:t>
      </w:r>
      <w:hyperlink r:id="rId7" w:tgtFrame="_blank" w:history="1">
        <w:r w:rsidRPr="00617ADF">
          <w:rPr>
            <w:rFonts w:ascii="Calibri" w:eastAsia="Calibri" w:hAnsi="Calibri" w:cs="Times New Roman"/>
            <w:sz w:val="20"/>
            <w:szCs w:val="20"/>
            <w:lang w:val="en-GB" w:bidi="en-US"/>
          </w:rPr>
          <w:t>Ministry of Environment and Tourism</w:t>
        </w:r>
      </w:hyperlink>
      <w:r w:rsidRPr="00617ADF">
        <w:rPr>
          <w:rFonts w:ascii="Calibri" w:eastAsia="Calibri" w:hAnsi="Calibri" w:cs="Times New Roman"/>
          <w:sz w:val="20"/>
          <w:szCs w:val="20"/>
          <w:lang w:val="en-GB" w:bidi="en-US"/>
        </w:rPr>
        <w:t xml:space="preserve"> (MET).  MET is responsible for implementing UNFCCC and water resource management and holds the responsibility of the senior supplier. MET is ultimately responsible for the timely delivery of inputs and outputs and for coordination of all other Responsible parties including other line ministries, relevant agencies, and local government Authorities. The MET appointed the National Project Director, the chair and members of the Project Board (PB), responsible for making management decisions for the project and plays a critical role in project monitoring and evaluations by quality assuring these processes and products, and using evaluations for performance improvement, accountability and learning. </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r w:rsidRPr="00617ADF">
        <w:rPr>
          <w:rFonts w:ascii="Calibri" w:eastAsia="Times New Roman" w:hAnsi="Calibri" w:cs="Times New Roman"/>
          <w:b/>
          <w:caps/>
          <w:spacing w:val="10"/>
          <w:lang w:bidi="en-US"/>
        </w:rPr>
        <w:t>Objective and Scope</w:t>
      </w:r>
      <w:bookmarkEnd w:id="7"/>
    </w:p>
    <w:p w:rsidR="00617ADF" w:rsidRPr="00617ADF" w:rsidRDefault="00617ADF" w:rsidP="00617ADF">
      <w:pPr>
        <w:spacing w:before="120" w:after="0" w:line="240"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lastRenderedPageBreak/>
        <w:t xml:space="preserve">The project was designed to maintain ecosystem functions and water provisioning services addressing the needs of critical for survival of rural communities and national economy. The project is implemented at two large landscapes: the Turgen/Kharkhiraa sub-river basin in Altai Mountains and Great Lakes Depression (Altai/GLD) eco-region and the Ulz river basin in the Dornod steppe and Mongol Daurian eco-region. </w:t>
      </w:r>
    </w:p>
    <w:p w:rsidR="00617ADF" w:rsidRPr="00617ADF" w:rsidRDefault="00617ADF" w:rsidP="00617ADF">
      <w:pPr>
        <w:spacing w:before="200" w:after="20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sz w:val="20"/>
          <w:szCs w:val="20"/>
          <w:lang w:bidi="en-US"/>
        </w:rPr>
        <w:t>The TE will be conducted according to the guidance, rules and procedures established by UNDP and GEF as reflected in the UNDP Evaluation Guidance for GEF Financed Projects</w:t>
      </w:r>
      <w:r w:rsidRPr="00617ADF">
        <w:rPr>
          <w:rFonts w:ascii="Calibri" w:eastAsia="Times New Roman" w:hAnsi="Calibri" w:cs="Times New Roman"/>
          <w:sz w:val="20"/>
          <w:szCs w:val="20"/>
          <w:vertAlign w:val="superscript"/>
          <w:lang w:bidi="en-US"/>
        </w:rPr>
        <w:footnoteReference w:id="1"/>
      </w:r>
      <w:r w:rsidRPr="00617ADF">
        <w:rPr>
          <w:rFonts w:ascii="Calibri" w:eastAsia="Times New Roman" w:hAnsi="Calibri" w:cs="Times New Roman"/>
          <w:sz w:val="20"/>
          <w:szCs w:val="20"/>
          <w:lang w:bidi="en-US"/>
        </w:rPr>
        <w:t xml:space="preserve">.  </w:t>
      </w:r>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objectives of the evaluation are to assess the achievement of project results, and to draw lessons that can both improve the sustainability of benefits from this project, and aid in the overall enhancement of UNDP programming.   </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8" w:name="_Toc299133043"/>
      <w:bookmarkStart w:id="9" w:name="_Toc321341550"/>
      <w:r w:rsidRPr="00617ADF">
        <w:rPr>
          <w:rFonts w:ascii="Calibri" w:eastAsia="Times New Roman" w:hAnsi="Calibri" w:cs="Times New Roman"/>
          <w:b/>
          <w:caps/>
          <w:spacing w:val="10"/>
          <w:lang w:bidi="en-US"/>
        </w:rPr>
        <w:t>Evaluation approach and method</w:t>
      </w:r>
      <w:bookmarkEnd w:id="8"/>
      <w:bookmarkEnd w:id="9"/>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An overall approach and method</w:t>
      </w:r>
      <w:r w:rsidRPr="00617ADF">
        <w:rPr>
          <w:rFonts w:ascii="Calibri" w:eastAsia="Times New Roman" w:hAnsi="Calibri" w:cs="Times New Roman"/>
          <w:sz w:val="20"/>
          <w:szCs w:val="20"/>
          <w:vertAlign w:val="superscript"/>
          <w:lang w:bidi="en-US"/>
        </w:rPr>
        <w:footnoteReference w:id="2"/>
      </w:r>
      <w:r w:rsidRPr="00617ADF">
        <w:rPr>
          <w:rFonts w:ascii="Calibri" w:eastAsia="Times New Roman" w:hAnsi="Calibri" w:cs="Times New Roman"/>
          <w:sz w:val="20"/>
          <w:szCs w:val="20"/>
          <w:lang w:bidi="en-US"/>
        </w:rPr>
        <w:t xml:space="preserve"> for conducting project terminal evaluations of UNDP supported AF financed projects has developed over time. The evaluation should include a mixed methodology of document review, interviews, and observations from project site visits, at minimum, and the evaluators should make an effort to triangulate information. The evaluator is expected to frame the evaluation effort using the criteria of </w:t>
      </w:r>
      <w:r w:rsidRPr="00617ADF">
        <w:rPr>
          <w:rFonts w:ascii="Calibri" w:eastAsia="Times New Roman" w:hAnsi="Calibri" w:cs="Times New Roman"/>
          <w:b/>
          <w:sz w:val="20"/>
          <w:szCs w:val="20"/>
          <w:lang w:bidi="en-US"/>
        </w:rPr>
        <w:t xml:space="preserve">relevance, effectiveness, efficiency, sustainability, and impact, </w:t>
      </w:r>
      <w:r w:rsidRPr="00617ADF">
        <w:rPr>
          <w:rFonts w:ascii="Calibri" w:eastAsia="Times New Roman" w:hAnsi="Calibri" w:cs="Times New Roman"/>
          <w:sz w:val="20"/>
          <w:szCs w:val="20"/>
          <w:lang w:bidi="en-US"/>
        </w:rPr>
        <w:t xml:space="preserve">as defined and explained in the </w:t>
      </w:r>
      <w:r w:rsidRPr="00617ADF">
        <w:rPr>
          <w:rFonts w:ascii="Calibri" w:eastAsia="Times New Roman" w:hAnsi="Calibri" w:cs="Times New Roman"/>
          <w:sz w:val="20"/>
          <w:szCs w:val="20"/>
          <w:u w:val="single"/>
          <w:lang w:bidi="en-US"/>
        </w:rPr>
        <w:t>UNDP Guidance for Conducting Terminal Evaluations of UNDP-supported, GEF-financed Projects</w:t>
      </w:r>
      <w:r w:rsidRPr="00617ADF">
        <w:rPr>
          <w:rFonts w:ascii="Calibri" w:eastAsia="Times New Roman" w:hAnsi="Calibri" w:cs="Times New Roman"/>
          <w:sz w:val="20"/>
          <w:szCs w:val="20"/>
          <w:lang w:bidi="en-US"/>
        </w:rPr>
        <w:t xml:space="preserve">.    A  set of questions covering each of these criteria have been drafted and are included with this TOR </w:t>
      </w:r>
      <w:r w:rsidRPr="00617ADF">
        <w:rPr>
          <w:rFonts w:ascii="Calibri" w:eastAsia="Times New Roman" w:hAnsi="Calibri" w:cs="Times New Roman"/>
          <w:sz w:val="20"/>
          <w:szCs w:val="20"/>
          <w:shd w:val="clear" w:color="auto" w:fill="BFBFBF"/>
          <w:lang w:bidi="en-US"/>
        </w:rPr>
        <w:t>(</w:t>
      </w:r>
      <w:r w:rsidRPr="00617ADF">
        <w:rPr>
          <w:rFonts w:ascii="Calibri" w:eastAsia="Times New Roman" w:hAnsi="Calibri" w:cs="Times New Roman"/>
          <w:i/>
          <w:sz w:val="20"/>
          <w:szCs w:val="20"/>
          <w:shd w:val="clear" w:color="auto" w:fill="BFBFBF"/>
          <w:lang w:bidi="en-US"/>
        </w:rPr>
        <w:t xml:space="preserve">fill in </w:t>
      </w:r>
      <w:hyperlink w:anchor="_TOR_Annex_C:" w:history="1">
        <w:r w:rsidRPr="00617ADF">
          <w:rPr>
            <w:rFonts w:ascii="Calibri" w:eastAsia="Times New Roman" w:hAnsi="Calibri" w:cs="Times New Roman"/>
            <w:i/>
            <w:color w:val="0000FF"/>
            <w:sz w:val="20"/>
            <w:szCs w:val="20"/>
            <w:u w:val="single"/>
            <w:shd w:val="clear" w:color="auto" w:fill="BFBFBF"/>
            <w:lang w:bidi="en-US"/>
          </w:rPr>
          <w:t>Annex C</w:t>
        </w:r>
      </w:hyperlink>
      <w:r w:rsidRPr="00617ADF">
        <w:rPr>
          <w:rFonts w:ascii="Calibri" w:eastAsia="Times New Roman" w:hAnsi="Calibri" w:cs="Times New Roman"/>
          <w:sz w:val="20"/>
          <w:szCs w:val="20"/>
          <w:shd w:val="clear" w:color="auto" w:fill="D9D9D9"/>
          <w:lang w:bidi="en-US"/>
        </w:rPr>
        <w:t>)</w:t>
      </w:r>
      <w:r w:rsidRPr="00617ADF">
        <w:rPr>
          <w:rFonts w:ascii="Calibri" w:eastAsia="Times New Roman" w:hAnsi="Calibri" w:cs="Times New Roman"/>
          <w:sz w:val="20"/>
          <w:szCs w:val="20"/>
          <w:lang w:bidi="en-US"/>
        </w:rPr>
        <w:t xml:space="preserve"> The evaluator is expected to amend, complete and submit this matrix as part of  an evaluation inception report, and shall include it as an annex to the final report.  </w:t>
      </w:r>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evaluation must provide evidence‐based information that is credible, reliable and useful. The evaluator is expected to follow a participatory and consultative approach ensuring close engagement with government counterparts, in particular the AF operational focal point, UNDP Country Office, project team, UNDP GEF Technical Adviser based in the region and key stakeholders. The evaluator is expected to conduct a field mission to Mongolia, including the following project sites: </w:t>
      </w:r>
      <w:r w:rsidRPr="00617ADF">
        <w:rPr>
          <w:rFonts w:ascii="Calibri" w:eastAsia="Times New Roman" w:hAnsi="Calibri" w:cs="Times New Roman"/>
          <w:b/>
          <w:sz w:val="20"/>
          <w:szCs w:val="20"/>
          <w:lang w:bidi="en-US"/>
        </w:rPr>
        <w:t>the Turgen/Kharkhiraa sub-river basin</w:t>
      </w:r>
      <w:r w:rsidRPr="00617ADF">
        <w:rPr>
          <w:rFonts w:ascii="Calibri" w:eastAsia="Times New Roman" w:hAnsi="Calibri" w:cs="Times New Roman"/>
          <w:sz w:val="20"/>
          <w:szCs w:val="20"/>
          <w:lang w:bidi="en-US"/>
        </w:rPr>
        <w:t xml:space="preserve"> and </w:t>
      </w:r>
      <w:r w:rsidRPr="00617ADF">
        <w:rPr>
          <w:rFonts w:ascii="Calibri" w:eastAsia="Times New Roman" w:hAnsi="Calibri" w:cs="Times New Roman"/>
          <w:b/>
          <w:sz w:val="20"/>
          <w:szCs w:val="20"/>
          <w:lang w:bidi="en-US"/>
        </w:rPr>
        <w:t>Ulz river basin</w:t>
      </w:r>
      <w:r w:rsidRPr="00617ADF">
        <w:rPr>
          <w:rFonts w:ascii="Calibri" w:eastAsia="Times New Roman" w:hAnsi="Calibri" w:cs="Times New Roman"/>
          <w:sz w:val="20"/>
          <w:szCs w:val="20"/>
          <w:lang w:bidi="en-US"/>
        </w:rPr>
        <w:t xml:space="preserve">. Interviews will be held with the following organizations and individuals at a minimum: </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hyperlink r:id="rId8" w:tgtFrame="_blank" w:history="1">
        <w:r w:rsidRPr="00617ADF">
          <w:rPr>
            <w:rFonts w:ascii="Calibri" w:eastAsia="Times New Roman" w:hAnsi="Calibri" w:cs="Times New Roman"/>
            <w:sz w:val="20"/>
            <w:szCs w:val="20"/>
            <w:lang w:bidi="en-US"/>
          </w:rPr>
          <w:t>Ministry of Environment and Tourism</w:t>
        </w:r>
      </w:hyperlink>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hyperlink r:id="rId9" w:history="1">
        <w:r w:rsidRPr="00617ADF">
          <w:rPr>
            <w:rFonts w:ascii="Calibri" w:eastAsia="Times New Roman" w:hAnsi="Calibri" w:cs="Times New Roman"/>
            <w:sz w:val="20"/>
            <w:szCs w:val="20"/>
            <w:lang w:bidi="en-US"/>
          </w:rPr>
          <w:t>Ministry of Food, Agriculture, Light Industry</w:t>
        </w:r>
      </w:hyperlink>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hyperlink r:id="rId10" w:tgtFrame="_blank" w:history="1">
        <w:r w:rsidRPr="00617ADF">
          <w:rPr>
            <w:rFonts w:ascii="Calibri" w:eastAsia="Times New Roman" w:hAnsi="Calibri" w:cs="Times New Roman"/>
            <w:sz w:val="20"/>
            <w:szCs w:val="20"/>
            <w:lang w:bidi="en-US"/>
          </w:rPr>
          <w:t>Ministry of Finance</w:t>
        </w:r>
      </w:hyperlink>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Local Government (aimags and soums in the 2 target eco-regional landscapes) </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hyperlink r:id="rId11" w:tgtFrame="_blank" w:history="1">
        <w:r w:rsidRPr="00617ADF">
          <w:rPr>
            <w:rFonts w:ascii="Calibri" w:eastAsia="Times New Roman" w:hAnsi="Calibri" w:cs="Times New Roman"/>
            <w:sz w:val="20"/>
            <w:szCs w:val="20"/>
            <w:lang w:bidi="en-US"/>
          </w:rPr>
          <w:t>Administration of Land Affairs, Geodesy and Cartography</w:t>
        </w:r>
      </w:hyperlink>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hyperlink r:id="rId12" w:tgtFrame="_blank" w:history="1">
        <w:r w:rsidRPr="00617ADF">
          <w:rPr>
            <w:rFonts w:ascii="Calibri" w:eastAsia="Times New Roman" w:hAnsi="Calibri" w:cs="Times New Roman"/>
            <w:sz w:val="20"/>
            <w:szCs w:val="20"/>
            <w:lang w:bidi="en-US"/>
          </w:rPr>
          <w:t>National Agency for Meteorology and Environment Monitoring</w:t>
        </w:r>
      </w:hyperlink>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The Nature Conservancy</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World Wildlife Fund</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Mongolian Academy of Science and research institutes </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River basin administrations</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River basin councils/ Water user groups</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Communities </w:t>
      </w:r>
    </w:p>
    <w:p w:rsidR="00617ADF" w:rsidRPr="00617ADF" w:rsidRDefault="00617ADF" w:rsidP="00617ADF">
      <w:pPr>
        <w:numPr>
          <w:ilvl w:val="0"/>
          <w:numId w:val="3"/>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National media etc. </w:t>
      </w:r>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lastRenderedPageBreak/>
        <w:t xml:space="preserve">The evaluator will review all relevant sources of information, such as the project document, project reports – including Annual PPR, project budget revisions, midterm review, progress reports, AF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617ADF">
          <w:rPr>
            <w:rFonts w:ascii="Calibri" w:eastAsia="Times New Roman" w:hAnsi="Calibri" w:cs="Times New Roman"/>
            <w:color w:val="0000FF"/>
            <w:sz w:val="20"/>
            <w:szCs w:val="20"/>
            <w:u w:val="single"/>
            <w:shd w:val="clear" w:color="auto" w:fill="FFFFFF"/>
            <w:lang w:bidi="en-US"/>
          </w:rPr>
          <w:t>Annex B</w:t>
        </w:r>
      </w:hyperlink>
      <w:r w:rsidRPr="00617ADF">
        <w:rPr>
          <w:rFonts w:ascii="Calibri" w:eastAsia="Times New Roman" w:hAnsi="Calibri" w:cs="Times New Roman"/>
          <w:color w:val="0000FF"/>
          <w:sz w:val="20"/>
          <w:szCs w:val="20"/>
          <w:u w:val="single"/>
          <w:shd w:val="clear" w:color="auto" w:fill="FFFFFF"/>
          <w:lang w:bidi="en-US"/>
        </w:rPr>
        <w:t xml:space="preserve"> </w:t>
      </w:r>
      <w:r w:rsidRPr="00617ADF">
        <w:rPr>
          <w:rFonts w:ascii="Calibri" w:eastAsia="Times New Roman" w:hAnsi="Calibri" w:cs="Times New Roman"/>
          <w:sz w:val="20"/>
          <w:szCs w:val="20"/>
          <w:lang w:bidi="en-US"/>
        </w:rPr>
        <w:t>of this Terms of Reference.</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10" w:name="_Toc321341551"/>
      <w:r w:rsidRPr="00617ADF">
        <w:rPr>
          <w:rFonts w:ascii="Calibri" w:eastAsia="Times New Roman" w:hAnsi="Calibri" w:cs="Times New Roman"/>
          <w:b/>
          <w:caps/>
          <w:spacing w:val="10"/>
          <w:lang w:bidi="en-US"/>
        </w:rPr>
        <w:t>Evaluation Criteria &amp; Ratings</w:t>
      </w:r>
      <w:bookmarkEnd w:id="10"/>
    </w:p>
    <w:p w:rsidR="00617ADF" w:rsidRPr="00617ADF" w:rsidRDefault="00617ADF" w:rsidP="00617ADF">
      <w:pPr>
        <w:autoSpaceDE w:val="0"/>
        <w:autoSpaceDN w:val="0"/>
        <w:adjustRightInd w:val="0"/>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An assessment of project performance will be carried out, based against expectations set out in the Project Logical Framework/Results Framework (see</w:t>
      </w:r>
      <w:hyperlink w:anchor="_TOR_Annex_A:" w:history="1">
        <w:r w:rsidRPr="00617ADF">
          <w:rPr>
            <w:rFonts w:ascii="Calibri" w:eastAsia="Times New Roman" w:hAnsi="Calibri" w:cs="Times New Roman"/>
            <w:color w:val="0000FF"/>
            <w:sz w:val="20"/>
            <w:szCs w:val="20"/>
            <w:u w:val="single"/>
            <w:lang w:bidi="en-US"/>
          </w:rPr>
          <w:t xml:space="preserve"> Annex A</w:t>
        </w:r>
      </w:hyperlink>
      <w:r w:rsidRPr="00617ADF">
        <w:rPr>
          <w:rFonts w:ascii="Calibri" w:eastAsia="Times New Roman" w:hAnsi="Calibri" w:cs="Times New Roman"/>
          <w:color w:val="0000FF"/>
          <w:sz w:val="20"/>
          <w:szCs w:val="20"/>
          <w:u w:val="single"/>
          <w:lang w:bidi="en-US"/>
        </w:rPr>
        <w:t>)</w:t>
      </w:r>
      <w:r w:rsidRPr="00617ADF">
        <w:rPr>
          <w:rFonts w:ascii="Calibri" w:eastAsia="Times New Roman" w:hAnsi="Calibri" w:cs="Times New Roman"/>
          <w:sz w:val="20"/>
          <w:szCs w:val="20"/>
          <w:lang w:bidi="en-US"/>
        </w:rPr>
        <w:t>, which provides performance and impact indicators for project implementation along with their corresponding means of verification</w:t>
      </w:r>
      <w:r w:rsidRPr="00617ADF">
        <w:rPr>
          <w:rFonts w:ascii="Calibri" w:eastAsia="Times New Roman" w:hAnsi="Calibri" w:cs="Times New Roman"/>
          <w:sz w:val="23"/>
          <w:szCs w:val="23"/>
          <w:lang w:bidi="en-US"/>
        </w:rPr>
        <w:t xml:space="preserve">. </w:t>
      </w:r>
      <w:r w:rsidRPr="00617ADF">
        <w:rPr>
          <w:rFonts w:ascii="Calibri" w:eastAsia="Times New Roman" w:hAnsi="Calibri" w:cs="Times New Roman"/>
          <w:sz w:val="20"/>
          <w:szCs w:val="20"/>
          <w:lang w:bidi="en-US"/>
        </w:rPr>
        <w:t xml:space="preserve">The evaluation will at a minimum cover the criteria of: </w:t>
      </w:r>
      <w:r w:rsidRPr="00617ADF">
        <w:rPr>
          <w:rFonts w:ascii="Calibri" w:eastAsia="Times New Roman" w:hAnsi="Calibri" w:cs="Times New Roman"/>
          <w:b/>
          <w:sz w:val="20"/>
          <w:szCs w:val="20"/>
          <w:lang w:bidi="en-US"/>
        </w:rPr>
        <w:t xml:space="preserve">relevance, effectiveness, efficiency, sustainability and impact. </w:t>
      </w:r>
      <w:r w:rsidRPr="00617ADF">
        <w:rPr>
          <w:rFonts w:ascii="Calibri" w:eastAsia="Times New Roman" w:hAnsi="Calibri" w:cs="Times New Roman"/>
          <w:sz w:val="20"/>
          <w:szCs w:val="20"/>
          <w:lang w:bidi="en-US"/>
        </w:rPr>
        <w:t xml:space="preserve">Ratings must be provided on the following performance criteria. The completed table must be included in the evaluation executive summary.   The obligatory rating scales are included in </w:t>
      </w:r>
      <w:hyperlink w:anchor="_TOR_Annex_D:" w:history="1">
        <w:r w:rsidRPr="00617ADF">
          <w:rPr>
            <w:rFonts w:ascii="Calibri" w:eastAsia="Times New Roman" w:hAnsi="Calibri" w:cs="Times New Roman"/>
            <w:color w:val="0000FF"/>
            <w:sz w:val="20"/>
            <w:szCs w:val="20"/>
            <w:u w:val="single"/>
            <w:lang w:bidi="en-US"/>
          </w:rPr>
          <w:t xml:space="preserve"> Annex D</w:t>
        </w:r>
      </w:hyperlink>
      <w:r w:rsidRPr="00617ADF">
        <w:rPr>
          <w:rFonts w:ascii="Calibri" w:eastAsia="Times New Roman" w:hAnsi="Calibri" w:cs="Times New Roman"/>
          <w:sz w:val="20"/>
          <w:szCs w:val="20"/>
          <w:lang w:bidi="en-US"/>
        </w:rPr>
        <w:t>.</w:t>
      </w:r>
    </w:p>
    <w:p w:rsidR="00617ADF" w:rsidRPr="00617ADF" w:rsidRDefault="00617ADF" w:rsidP="00617ADF">
      <w:pPr>
        <w:autoSpaceDE w:val="0"/>
        <w:autoSpaceDN w:val="0"/>
        <w:adjustRightInd w:val="0"/>
        <w:spacing w:after="0" w:line="276" w:lineRule="auto"/>
        <w:jc w:val="both"/>
        <w:rPr>
          <w:rFonts w:ascii="Calibri" w:eastAsia="Times New Roman" w:hAnsi="Calibri" w:cs="Times New Roman"/>
          <w:sz w:val="20"/>
          <w:szCs w:val="20"/>
          <w:lang w:bidi="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736"/>
        <w:gridCol w:w="5010"/>
        <w:gridCol w:w="736"/>
      </w:tblGrid>
      <w:tr w:rsidR="00617ADF" w:rsidRPr="00617ADF" w:rsidTr="00A22B68">
        <w:trPr>
          <w:trHeight w:val="206"/>
        </w:trPr>
        <w:tc>
          <w:tcPr>
            <w:tcW w:w="5000" w:type="pct"/>
            <w:gridSpan w:val="4"/>
            <w:vAlign w:val="center"/>
          </w:tcPr>
          <w:p w:rsidR="00617ADF" w:rsidRPr="00617ADF" w:rsidRDefault="00617ADF" w:rsidP="00617ADF">
            <w:pPr>
              <w:tabs>
                <w:tab w:val="right" w:pos="0"/>
              </w:tabs>
              <w:spacing w:after="0" w:line="276" w:lineRule="auto"/>
              <w:jc w:val="both"/>
              <w:rPr>
                <w:rFonts w:ascii="Calibri" w:eastAsia="Times New Roman" w:hAnsi="Calibri" w:cs="Times New Roman"/>
                <w:b/>
                <w:color w:val="000000"/>
                <w:sz w:val="20"/>
                <w:szCs w:val="20"/>
                <w:lang w:bidi="en-US"/>
              </w:rPr>
            </w:pPr>
            <w:r w:rsidRPr="00617ADF">
              <w:rPr>
                <w:rFonts w:ascii="Calibri" w:eastAsia="Times New Roman" w:hAnsi="Calibri" w:cs="Times New Roman"/>
                <w:b/>
                <w:color w:val="000000"/>
                <w:sz w:val="20"/>
                <w:szCs w:val="20"/>
                <w:lang w:bidi="en-US"/>
              </w:rPr>
              <w:t>Evaluation Ratings:</w:t>
            </w:r>
          </w:p>
        </w:tc>
      </w:tr>
      <w:tr w:rsidR="00617ADF" w:rsidRPr="00617ADF" w:rsidTr="00A22B68">
        <w:tblPrEx>
          <w:shd w:val="clear" w:color="auto" w:fill="4F81BD"/>
        </w:tblPrEx>
        <w:tc>
          <w:tcPr>
            <w:tcW w:w="1646" w:type="pct"/>
            <w:shd w:val="clear" w:color="auto" w:fill="7F7F7F"/>
          </w:tcPr>
          <w:p w:rsidR="00617ADF" w:rsidRPr="00617ADF" w:rsidRDefault="00617ADF" w:rsidP="00617ADF">
            <w:pPr>
              <w:spacing w:after="0" w:line="276" w:lineRule="auto"/>
              <w:jc w:val="both"/>
              <w:rPr>
                <w:rFonts w:ascii="Calibri" w:eastAsia="Times New Roman" w:hAnsi="Calibri" w:cs="Times New Roman"/>
                <w:b/>
                <w:bCs/>
                <w:color w:val="FFFFFF"/>
                <w:sz w:val="20"/>
                <w:szCs w:val="20"/>
                <w:lang w:bidi="en-US"/>
              </w:rPr>
            </w:pPr>
            <w:bookmarkStart w:id="11" w:name="_Toc299133036"/>
            <w:r w:rsidRPr="00617ADF">
              <w:rPr>
                <w:rFonts w:ascii="Calibri" w:eastAsia="Times New Roman" w:hAnsi="Calibri" w:cs="Times New Roman"/>
                <w:b/>
                <w:color w:val="FFFFFF"/>
                <w:sz w:val="20"/>
                <w:szCs w:val="20"/>
                <w:lang w:bidi="en-US"/>
              </w:rPr>
              <w:t>1. Monitoring and Evaluation</w:t>
            </w:r>
          </w:p>
        </w:tc>
        <w:tc>
          <w:tcPr>
            <w:tcW w:w="381" w:type="pct"/>
            <w:shd w:val="clear" w:color="auto" w:fill="7F7F7F"/>
          </w:tcPr>
          <w:p w:rsidR="00617ADF" w:rsidRPr="00617ADF" w:rsidRDefault="00617ADF" w:rsidP="00617ADF">
            <w:pPr>
              <w:spacing w:after="0" w:line="276" w:lineRule="auto"/>
              <w:jc w:val="both"/>
              <w:rPr>
                <w:rFonts w:ascii="Calibri" w:eastAsia="Times New Roman" w:hAnsi="Calibri" w:cs="Times New Roman"/>
                <w:b/>
                <w:bCs/>
                <w:color w:val="FFFFFF"/>
                <w:sz w:val="20"/>
                <w:szCs w:val="20"/>
                <w:lang w:bidi="en-US"/>
              </w:rPr>
            </w:pPr>
            <w:r w:rsidRPr="00617ADF">
              <w:rPr>
                <w:rFonts w:ascii="Calibri" w:eastAsia="Times New Roman" w:hAnsi="Calibri" w:cs="Times New Roman"/>
                <w:b/>
                <w:i/>
                <w:color w:val="FFFFFF"/>
                <w:sz w:val="20"/>
                <w:szCs w:val="20"/>
                <w:lang w:bidi="en-US"/>
              </w:rPr>
              <w:t>rating</w:t>
            </w:r>
          </w:p>
        </w:tc>
        <w:tc>
          <w:tcPr>
            <w:tcW w:w="2592" w:type="pct"/>
            <w:shd w:val="clear" w:color="auto" w:fill="7F7F7F"/>
          </w:tcPr>
          <w:p w:rsidR="00617ADF" w:rsidRPr="00617ADF" w:rsidRDefault="00617ADF" w:rsidP="00617ADF">
            <w:pPr>
              <w:spacing w:after="0" w:line="276" w:lineRule="auto"/>
              <w:jc w:val="both"/>
              <w:rPr>
                <w:rFonts w:ascii="Calibri" w:eastAsia="Times New Roman" w:hAnsi="Calibri" w:cs="Times New Roman"/>
                <w:b/>
                <w:i/>
                <w:color w:val="FFFFFF"/>
                <w:sz w:val="20"/>
                <w:szCs w:val="20"/>
                <w:lang w:bidi="en-US"/>
              </w:rPr>
            </w:pPr>
            <w:r w:rsidRPr="00617ADF">
              <w:rPr>
                <w:rFonts w:ascii="Calibri" w:eastAsia="Times New Roman" w:hAnsi="Calibri" w:cs="Times New Roman"/>
                <w:b/>
                <w:color w:val="FFFFFF"/>
                <w:sz w:val="20"/>
                <w:szCs w:val="20"/>
                <w:lang w:bidi="en-US"/>
              </w:rPr>
              <w:t>2. IA &amp; EA Execution</w:t>
            </w:r>
          </w:p>
        </w:tc>
        <w:tc>
          <w:tcPr>
            <w:tcW w:w="381" w:type="pct"/>
            <w:shd w:val="clear" w:color="auto" w:fill="7F7F7F"/>
          </w:tcPr>
          <w:p w:rsidR="00617ADF" w:rsidRPr="00617ADF" w:rsidRDefault="00617ADF" w:rsidP="00617ADF">
            <w:pPr>
              <w:spacing w:after="0" w:line="276" w:lineRule="auto"/>
              <w:jc w:val="both"/>
              <w:rPr>
                <w:rFonts w:ascii="Calibri" w:eastAsia="Times New Roman" w:hAnsi="Calibri" w:cs="Times New Roman"/>
                <w:b/>
                <w:i/>
                <w:color w:val="FFFFFF"/>
                <w:sz w:val="20"/>
                <w:szCs w:val="20"/>
                <w:lang w:bidi="en-US"/>
              </w:rPr>
            </w:pPr>
            <w:r w:rsidRPr="00617ADF">
              <w:rPr>
                <w:rFonts w:ascii="Calibri" w:eastAsia="Times New Roman" w:hAnsi="Calibri" w:cs="Times New Roman"/>
                <w:b/>
                <w:i/>
                <w:color w:val="FFFFFF"/>
                <w:sz w:val="20"/>
                <w:szCs w:val="20"/>
                <w:lang w:bidi="en-US"/>
              </w:rPr>
              <w:t>rating</w:t>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M&amp;E design at entry</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Quality of UNDP Implementation – Implementing Agency (IA)</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M&amp;E Plan Implementation</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Quality of Execution - Executing Agency (EA)</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Overall quality of M&amp;E</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Overall quality of Implementation / Execution</w:t>
            </w:r>
          </w:p>
        </w:tc>
        <w:tc>
          <w:tcPr>
            <w:tcW w:w="381" w:type="pct"/>
            <w:tcBorders>
              <w:bottom w:val="single" w:sz="4" w:space="0" w:color="auto"/>
            </w:tcBorders>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shd w:val="clear" w:color="auto" w:fill="4F81BD"/>
        </w:tblPrEx>
        <w:tc>
          <w:tcPr>
            <w:tcW w:w="1646" w:type="pct"/>
            <w:shd w:val="clear" w:color="auto" w:fill="7F7F7F"/>
          </w:tcPr>
          <w:p w:rsidR="00617ADF" w:rsidRPr="00617ADF" w:rsidRDefault="00617ADF" w:rsidP="00617ADF">
            <w:pPr>
              <w:spacing w:after="0" w:line="240" w:lineRule="auto"/>
              <w:contextualSpacing/>
              <w:jc w:val="both"/>
              <w:rPr>
                <w:rFonts w:ascii="Calibri" w:eastAsia="Times New Roman" w:hAnsi="Calibri" w:cs="Calibri"/>
                <w:b/>
                <w:bCs/>
                <w:color w:val="FFFFFF"/>
                <w:sz w:val="20"/>
                <w:szCs w:val="20"/>
                <w:lang w:bidi="en-US"/>
              </w:rPr>
            </w:pPr>
            <w:r w:rsidRPr="00617ADF">
              <w:rPr>
                <w:rFonts w:ascii="Calibri" w:eastAsia="Times New Roman" w:hAnsi="Calibri" w:cs="Calibri"/>
                <w:b/>
                <w:bCs/>
                <w:color w:val="FFFFFF"/>
                <w:sz w:val="20"/>
                <w:szCs w:val="20"/>
                <w:lang w:bidi="en-US"/>
              </w:rPr>
              <w:t xml:space="preserve">3. Assessment of Outcomes </w:t>
            </w:r>
          </w:p>
        </w:tc>
        <w:tc>
          <w:tcPr>
            <w:tcW w:w="381" w:type="pct"/>
            <w:shd w:val="clear" w:color="auto" w:fill="7F7F7F"/>
          </w:tcPr>
          <w:p w:rsidR="00617ADF" w:rsidRPr="00617ADF" w:rsidRDefault="00617ADF" w:rsidP="00617ADF">
            <w:pPr>
              <w:spacing w:after="0" w:line="240" w:lineRule="auto"/>
              <w:contextualSpacing/>
              <w:jc w:val="both"/>
              <w:rPr>
                <w:rFonts w:ascii="Calibri" w:eastAsia="Times New Roman" w:hAnsi="Calibri" w:cs="Calibri"/>
                <w:b/>
                <w:bCs/>
                <w:i/>
                <w:color w:val="FFFFFF"/>
                <w:sz w:val="20"/>
                <w:szCs w:val="20"/>
                <w:lang w:bidi="en-US"/>
              </w:rPr>
            </w:pPr>
            <w:r w:rsidRPr="00617ADF">
              <w:rPr>
                <w:rFonts w:ascii="Calibri" w:eastAsia="Times New Roman" w:hAnsi="Calibri" w:cs="Calibri"/>
                <w:b/>
                <w:bCs/>
                <w:i/>
                <w:color w:val="FFFFFF"/>
                <w:sz w:val="20"/>
                <w:szCs w:val="20"/>
                <w:lang w:bidi="en-US"/>
              </w:rPr>
              <w:t>rating</w:t>
            </w:r>
          </w:p>
        </w:tc>
        <w:tc>
          <w:tcPr>
            <w:tcW w:w="2592" w:type="pct"/>
            <w:shd w:val="clear" w:color="auto" w:fill="7F7F7F"/>
          </w:tcPr>
          <w:p w:rsidR="00617ADF" w:rsidRPr="00617ADF" w:rsidRDefault="00617ADF" w:rsidP="00617ADF">
            <w:pPr>
              <w:spacing w:after="0" w:line="240" w:lineRule="auto"/>
              <w:contextualSpacing/>
              <w:jc w:val="both"/>
              <w:rPr>
                <w:rFonts w:ascii="Calibri" w:eastAsia="Times New Roman" w:hAnsi="Calibri" w:cs="Calibri"/>
                <w:b/>
                <w:bCs/>
                <w:color w:val="FFFFFF"/>
                <w:sz w:val="20"/>
                <w:szCs w:val="20"/>
                <w:lang w:bidi="en-US"/>
              </w:rPr>
            </w:pPr>
            <w:r w:rsidRPr="00617ADF">
              <w:rPr>
                <w:rFonts w:ascii="Calibri" w:eastAsia="Times New Roman" w:hAnsi="Calibri" w:cs="Calibri"/>
                <w:b/>
                <w:bCs/>
                <w:color w:val="FFFFFF"/>
                <w:sz w:val="20"/>
                <w:szCs w:val="20"/>
                <w:lang w:bidi="en-US"/>
              </w:rPr>
              <w:t>4. Sustainability</w:t>
            </w:r>
          </w:p>
        </w:tc>
        <w:tc>
          <w:tcPr>
            <w:tcW w:w="381" w:type="pct"/>
            <w:shd w:val="clear" w:color="auto" w:fill="7F7F7F"/>
          </w:tcPr>
          <w:p w:rsidR="00617ADF" w:rsidRPr="00617ADF" w:rsidRDefault="00617ADF" w:rsidP="00617ADF">
            <w:pPr>
              <w:spacing w:after="0" w:line="240" w:lineRule="auto"/>
              <w:contextualSpacing/>
              <w:jc w:val="both"/>
              <w:rPr>
                <w:rFonts w:ascii="Calibri" w:eastAsia="Times New Roman" w:hAnsi="Calibri" w:cs="Calibri"/>
                <w:b/>
                <w:bCs/>
                <w:i/>
                <w:color w:val="FFFFFF"/>
                <w:sz w:val="20"/>
                <w:szCs w:val="20"/>
                <w:lang w:bidi="en-US"/>
              </w:rPr>
            </w:pPr>
            <w:r w:rsidRPr="00617ADF">
              <w:rPr>
                <w:rFonts w:ascii="Calibri" w:eastAsia="Times New Roman" w:hAnsi="Calibri" w:cs="Calibri"/>
                <w:b/>
                <w:bCs/>
                <w:i/>
                <w:color w:val="FFFFFF"/>
                <w:sz w:val="20"/>
                <w:szCs w:val="20"/>
                <w:lang w:bidi="en-US"/>
              </w:rPr>
              <w:t>rating</w:t>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Relevance </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Sustainability of Financial resources</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Effectiveness</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Sustainability of Local initiatives/cooperation</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Efficiency </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Socio-political </w:t>
            </w:r>
            <w:r w:rsidRPr="00617ADF">
              <w:rPr>
                <w:rFonts w:ascii="Calibri" w:eastAsia="Calibri" w:hAnsi="Calibri" w:cs="Times New Roman"/>
                <w:lang w:bidi="en-US"/>
              </w:rPr>
              <w:t>S</w:t>
            </w:r>
            <w:r w:rsidRPr="00617ADF">
              <w:rPr>
                <w:rFonts w:ascii="Calibri" w:eastAsia="Times New Roman" w:hAnsi="Calibri" w:cs="Times New Roman"/>
                <w:sz w:val="20"/>
                <w:szCs w:val="20"/>
                <w:lang w:bidi="en-US"/>
              </w:rPr>
              <w:t>ustainability</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Overall Project Outcome Rating</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Institutional framework and governance</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Environmental</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r w:rsidR="00617ADF" w:rsidRPr="00617ADF" w:rsidTr="00A22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6"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2592"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Overall likelihood of sustainability</w:t>
            </w:r>
          </w:p>
        </w:tc>
        <w:tc>
          <w:tcPr>
            <w:tcW w:w="381" w:type="pc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fldChar w:fldCharType="begin">
                <w:ffData>
                  <w:name w:val="Text1"/>
                  <w:enabled/>
                  <w:calcOnExit w:val="0"/>
                  <w:textInput/>
                </w:ffData>
              </w:fldChar>
            </w:r>
            <w:r w:rsidRPr="00617ADF">
              <w:rPr>
                <w:rFonts w:ascii="Calibri" w:eastAsia="Times New Roman" w:hAnsi="Calibri" w:cs="Times New Roman"/>
                <w:sz w:val="20"/>
                <w:szCs w:val="20"/>
                <w:lang w:bidi="en-US"/>
              </w:rPr>
              <w:instrText xml:space="preserve"> FORMTEXT </w:instrText>
            </w:r>
            <w:r w:rsidRPr="00617ADF">
              <w:rPr>
                <w:rFonts w:ascii="Calibri" w:eastAsia="Times New Roman" w:hAnsi="Calibri" w:cs="Times New Roman"/>
                <w:sz w:val="20"/>
                <w:szCs w:val="20"/>
                <w:lang w:bidi="en-US"/>
              </w:rPr>
            </w:r>
            <w:r w:rsidRPr="00617ADF">
              <w:rPr>
                <w:rFonts w:ascii="Calibri" w:eastAsia="Times New Roman" w:hAnsi="Calibri" w:cs="Times New Roman"/>
                <w:sz w:val="20"/>
                <w:szCs w:val="20"/>
                <w:lang w:bidi="en-US"/>
              </w:rPr>
              <w:fldChar w:fldCharType="separate"/>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noProof/>
                <w:sz w:val="20"/>
                <w:szCs w:val="20"/>
                <w:lang w:bidi="en-US"/>
              </w:rPr>
              <w:t> </w:t>
            </w:r>
            <w:r w:rsidRPr="00617ADF">
              <w:rPr>
                <w:rFonts w:ascii="Calibri" w:eastAsia="Times New Roman" w:hAnsi="Calibri" w:cs="Times New Roman"/>
                <w:sz w:val="20"/>
                <w:szCs w:val="20"/>
                <w:lang w:bidi="en-US"/>
              </w:rPr>
              <w:fldChar w:fldCharType="end"/>
            </w: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4"/>
      <w:bookmarkEnd w:id="11"/>
      <w:r w:rsidRPr="00617ADF">
        <w:rPr>
          <w:rFonts w:ascii="Calibri" w:eastAsia="Times New Roman" w:hAnsi="Calibri" w:cs="Times New Roman"/>
          <w:b/>
          <w:caps/>
          <w:spacing w:val="10"/>
          <w:lang w:bidi="en-US"/>
        </w:rPr>
        <w:t>Project finance / cofinance</w:t>
      </w:r>
      <w:bookmarkEnd w:id="12"/>
    </w:p>
    <w:p w:rsidR="00617ADF" w:rsidRPr="00617ADF" w:rsidRDefault="00617ADF" w:rsidP="00617ADF">
      <w:pPr>
        <w:spacing w:before="200" w:after="200" w:line="276" w:lineRule="auto"/>
        <w:jc w:val="both"/>
        <w:rPr>
          <w:rFonts w:ascii="Calibri" w:eastAsia="Times New Roman" w:hAnsi="Calibri" w:cs="Times New Roman"/>
          <w:sz w:val="20"/>
          <w:szCs w:val="20"/>
          <w:lang w:val="en-GB" w:bidi="en-US"/>
        </w:rPr>
      </w:pPr>
      <w:r w:rsidRPr="00617ADF">
        <w:rPr>
          <w:rFonts w:ascii="Calibri" w:eastAsia="Times New Roman" w:hAnsi="Calibri" w:cs="Times New Roman"/>
          <w:sz w:val="20"/>
          <w:szCs w:val="20"/>
          <w:lang w:val="en-GB" w:bidi="en-US"/>
        </w:rPr>
        <w:t xml:space="preserve">The Evaluation will assess the key financial aspects of the project, including the extent of co-financing planned and realized with consideration of the parallel complementary measures within the similar contexts taken by the Government.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170"/>
        <w:gridCol w:w="810"/>
        <w:gridCol w:w="1080"/>
        <w:gridCol w:w="810"/>
        <w:gridCol w:w="1170"/>
        <w:gridCol w:w="810"/>
        <w:gridCol w:w="1170"/>
        <w:gridCol w:w="810"/>
      </w:tblGrid>
      <w:tr w:rsidR="00617ADF" w:rsidRPr="00617ADF" w:rsidTr="00A22B68">
        <w:tc>
          <w:tcPr>
            <w:tcW w:w="1818" w:type="dxa"/>
            <w:vMerge w:val="restart"/>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Co-financing</w:t>
            </w:r>
          </w:p>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(type/source)</w:t>
            </w:r>
          </w:p>
        </w:tc>
        <w:tc>
          <w:tcPr>
            <w:tcW w:w="1980" w:type="dxa"/>
            <w:gridSpan w:val="2"/>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UNDP own financing (mill. US$)</w:t>
            </w:r>
          </w:p>
        </w:tc>
        <w:tc>
          <w:tcPr>
            <w:tcW w:w="1890" w:type="dxa"/>
            <w:gridSpan w:val="2"/>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Government</w:t>
            </w:r>
          </w:p>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(mill. US$)</w:t>
            </w:r>
          </w:p>
        </w:tc>
        <w:tc>
          <w:tcPr>
            <w:tcW w:w="1980" w:type="dxa"/>
            <w:gridSpan w:val="2"/>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Partner Agency</w:t>
            </w:r>
          </w:p>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(mill. US$)</w:t>
            </w:r>
          </w:p>
        </w:tc>
        <w:tc>
          <w:tcPr>
            <w:tcW w:w="1980" w:type="dxa"/>
            <w:gridSpan w:val="2"/>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Total</w:t>
            </w:r>
          </w:p>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(mill. US$)</w:t>
            </w:r>
          </w:p>
        </w:tc>
      </w:tr>
      <w:tr w:rsidR="00617ADF" w:rsidRPr="00617ADF" w:rsidTr="00A22B68">
        <w:trPr>
          <w:trHeight w:val="143"/>
        </w:trPr>
        <w:tc>
          <w:tcPr>
            <w:tcW w:w="1818" w:type="dxa"/>
            <w:vMerge/>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Planned</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Actual </w:t>
            </w: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Planned</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Actual</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Planned</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Actual</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Planned</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Actual</w:t>
            </w:r>
          </w:p>
        </w:tc>
      </w:tr>
      <w:tr w:rsidR="00617ADF" w:rsidRPr="00617ADF" w:rsidTr="00A22B68">
        <w:tc>
          <w:tcPr>
            <w:tcW w:w="1818"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Grants </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500,000</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5,069,124</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5,569,124</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r>
      <w:tr w:rsidR="00617ADF" w:rsidRPr="00617ADF" w:rsidTr="00A22B68">
        <w:trPr>
          <w:trHeight w:val="332"/>
        </w:trPr>
        <w:tc>
          <w:tcPr>
            <w:tcW w:w="1818"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Loans/Concessions </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r>
      <w:tr w:rsidR="00617ADF" w:rsidRPr="00617ADF" w:rsidTr="00A22B68">
        <w:tc>
          <w:tcPr>
            <w:tcW w:w="1818" w:type="dxa"/>
          </w:tcPr>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lastRenderedPageBreak/>
              <w:t>In-kind support</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5,000,000</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5,000,000</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r>
      <w:tr w:rsidR="00617ADF" w:rsidRPr="00617ADF" w:rsidTr="00A22B68">
        <w:tc>
          <w:tcPr>
            <w:tcW w:w="1818" w:type="dxa"/>
          </w:tcPr>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Other</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 </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r>
      <w:tr w:rsidR="00617ADF" w:rsidRPr="00617ADF" w:rsidTr="00A22B68">
        <w:trPr>
          <w:trHeight w:val="215"/>
        </w:trPr>
        <w:tc>
          <w:tcPr>
            <w:tcW w:w="1818"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Totals</w:t>
            </w: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08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c>
          <w:tcPr>
            <w:tcW w:w="117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10,569,124</w:t>
            </w:r>
          </w:p>
        </w:tc>
        <w:tc>
          <w:tcPr>
            <w:tcW w:w="8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19" w:name="_Toc321341553"/>
      <w:r w:rsidRPr="00617ADF">
        <w:rPr>
          <w:rFonts w:ascii="Calibri" w:eastAsia="Times New Roman" w:hAnsi="Calibri" w:cs="Times New Roman"/>
          <w:b/>
          <w:caps/>
          <w:spacing w:val="10"/>
          <w:lang w:bidi="en-US"/>
        </w:rPr>
        <w:t>Mainstreaming</w:t>
      </w:r>
      <w:bookmarkEnd w:id="13"/>
      <w:bookmarkEnd w:id="19"/>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UNDP supported AF financed projects are key components in UNDP country programming, as well as regional and global programmes. The evaluation will assess the extent to which other UNDP priorities, including poverty alleviation, improved governance, the prevention and recovery from natural disasters, and gender were successfully mainstreamed into the project. The evaluation will examine this project’s contribution to the UNDP’s Country Programme Document.</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20" w:name="_Toc277677980"/>
      <w:bookmarkStart w:id="21" w:name="_Toc321341554"/>
      <w:r w:rsidRPr="00617ADF">
        <w:rPr>
          <w:rFonts w:ascii="Calibri" w:eastAsia="Times New Roman" w:hAnsi="Calibri" w:cs="Times New Roman"/>
          <w:b/>
          <w:caps/>
          <w:spacing w:val="10"/>
          <w:lang w:bidi="en-US"/>
        </w:rPr>
        <w:t>Impact</w:t>
      </w:r>
      <w:bookmarkEnd w:id="20"/>
      <w:bookmarkEnd w:id="21"/>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The evaluators will assess the extent to which the project is achieving impacts or progressing towards the achievement of impacts.</w:t>
      </w:r>
      <w:r w:rsidRPr="00617ADF">
        <w:rPr>
          <w:rFonts w:ascii="Calibri" w:eastAsia="Times New Roman" w:hAnsi="Calibri" w:cs="WarnockPro-Light"/>
          <w:sz w:val="20"/>
          <w:szCs w:val="20"/>
          <w:lang w:bidi="en-US"/>
        </w:rPr>
        <w:t xml:space="preserve"> K</w:t>
      </w:r>
      <w:r w:rsidRPr="00617ADF">
        <w:rPr>
          <w:rFonts w:ascii="Calibri" w:eastAsia="Times New Roman" w:hAnsi="Calibri" w:cs="Times New Roman"/>
          <w:sz w:val="20"/>
          <w:szCs w:val="20"/>
          <w:lang w:bidi="en-US"/>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617ADF">
        <w:rPr>
          <w:rFonts w:ascii="Calibri" w:eastAsia="Times New Roman" w:hAnsi="Calibri" w:cs="Times New Roman"/>
          <w:sz w:val="20"/>
          <w:szCs w:val="20"/>
          <w:vertAlign w:val="superscript"/>
          <w:lang w:bidi="en-US"/>
        </w:rPr>
        <w:footnoteReference w:id="3"/>
      </w:r>
      <w:r w:rsidRPr="00617ADF">
        <w:rPr>
          <w:rFonts w:ascii="Calibri" w:eastAsia="Times New Roman" w:hAnsi="Calibri" w:cs="Times New Roman"/>
          <w:sz w:val="20"/>
          <w:szCs w:val="20"/>
          <w:lang w:bidi="en-US"/>
        </w:rPr>
        <w:t xml:space="preserve"> </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22" w:name="_Toc278193982"/>
      <w:bookmarkStart w:id="23" w:name="_Toc299133042"/>
      <w:bookmarkStart w:id="24" w:name="_Toc321341555"/>
      <w:bookmarkStart w:id="25" w:name="_Toc299126621"/>
      <w:bookmarkEnd w:id="14"/>
      <w:bookmarkEnd w:id="15"/>
      <w:bookmarkEnd w:id="16"/>
      <w:bookmarkEnd w:id="17"/>
      <w:bookmarkEnd w:id="18"/>
      <w:r w:rsidRPr="00617ADF">
        <w:rPr>
          <w:rFonts w:ascii="Calibri" w:eastAsia="Times New Roman" w:hAnsi="Calibri" w:cs="Times New Roman"/>
          <w:b/>
          <w:caps/>
          <w:spacing w:val="10"/>
          <w:lang w:bidi="en-US"/>
        </w:rPr>
        <w:t>Conclusions</w:t>
      </w:r>
      <w:bookmarkStart w:id="26" w:name="_Toc277677982"/>
      <w:r w:rsidRPr="00617ADF">
        <w:rPr>
          <w:rFonts w:ascii="Calibri" w:eastAsia="Times New Roman" w:hAnsi="Calibri" w:cs="Times New Roman"/>
          <w:b/>
          <w:caps/>
          <w:spacing w:val="10"/>
          <w:lang w:bidi="en-US"/>
        </w:rPr>
        <w:t>, recommendations &amp; lessons</w:t>
      </w:r>
      <w:bookmarkEnd w:id="22"/>
      <w:bookmarkEnd w:id="23"/>
      <w:bookmarkEnd w:id="24"/>
      <w:bookmarkEnd w:id="26"/>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evaluation report must include a chapter providing a set of </w:t>
      </w:r>
      <w:r w:rsidRPr="00617ADF">
        <w:rPr>
          <w:rFonts w:ascii="Calibri" w:eastAsia="Times New Roman" w:hAnsi="Calibri" w:cs="Times New Roman"/>
          <w:b/>
          <w:sz w:val="20"/>
          <w:szCs w:val="20"/>
          <w:lang w:bidi="en-US"/>
        </w:rPr>
        <w:t>conclusions</w:t>
      </w:r>
      <w:r w:rsidRPr="00617ADF">
        <w:rPr>
          <w:rFonts w:ascii="Calibri" w:eastAsia="Times New Roman" w:hAnsi="Calibri" w:cs="Times New Roman"/>
          <w:sz w:val="20"/>
          <w:szCs w:val="20"/>
          <w:lang w:bidi="en-US"/>
        </w:rPr>
        <w:t xml:space="preserve">, </w:t>
      </w:r>
      <w:r w:rsidRPr="00617ADF">
        <w:rPr>
          <w:rFonts w:ascii="Calibri" w:eastAsia="Times New Roman" w:hAnsi="Calibri" w:cs="Times New Roman"/>
          <w:b/>
          <w:sz w:val="20"/>
          <w:szCs w:val="20"/>
          <w:lang w:bidi="en-US"/>
        </w:rPr>
        <w:t>recommendations</w:t>
      </w:r>
      <w:r w:rsidRPr="00617ADF">
        <w:rPr>
          <w:rFonts w:ascii="Calibri" w:eastAsia="Times New Roman" w:hAnsi="Calibri" w:cs="Times New Roman"/>
          <w:sz w:val="20"/>
          <w:szCs w:val="20"/>
          <w:lang w:bidi="en-US"/>
        </w:rPr>
        <w:t xml:space="preserve"> and </w:t>
      </w:r>
      <w:r w:rsidRPr="00617ADF">
        <w:rPr>
          <w:rFonts w:ascii="Calibri" w:eastAsia="Times New Roman" w:hAnsi="Calibri" w:cs="Times New Roman"/>
          <w:b/>
          <w:sz w:val="20"/>
          <w:szCs w:val="20"/>
          <w:lang w:bidi="en-US"/>
        </w:rPr>
        <w:t>lessons</w:t>
      </w:r>
      <w:r w:rsidRPr="00617ADF">
        <w:rPr>
          <w:rFonts w:ascii="Calibri" w:eastAsia="Times New Roman" w:hAnsi="Calibri" w:cs="Times New Roman"/>
          <w:sz w:val="20"/>
          <w:szCs w:val="20"/>
          <w:lang w:bidi="en-US"/>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27" w:name="_Toc299126625"/>
      <w:bookmarkStart w:id="28" w:name="_Toc299133044"/>
      <w:bookmarkStart w:id="29" w:name="_Toc321341556"/>
      <w:r w:rsidRPr="00617ADF">
        <w:rPr>
          <w:rFonts w:ascii="Calibri" w:eastAsia="Times New Roman" w:hAnsi="Calibri" w:cs="Times New Roman"/>
          <w:b/>
          <w:caps/>
          <w:spacing w:val="10"/>
          <w:lang w:bidi="en-US"/>
        </w:rPr>
        <w:t>Implementation arrangements</w:t>
      </w:r>
      <w:bookmarkEnd w:id="27"/>
      <w:bookmarkEnd w:id="28"/>
      <w:bookmarkEnd w:id="29"/>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principal responsibility for managing this evaluation resides with the UNDP CO in Mongolia, in terms of per diem, it goes as a part of the financial offer and the payment is proposed as lump sum payable in installments. With regard to travel arrangements within the country, it falls under the responsibility of the Project team to arrange transportation in UB and field visits by covering travel costs. For more information on duration of staying in UB and countryside please refer to Draft mission agenda.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rsidR="00617ADF" w:rsidRPr="00617ADF" w:rsidRDefault="00617ADF" w:rsidP="00617ADF">
      <w:pPr>
        <w:spacing w:after="200" w:line="276" w:lineRule="auto"/>
        <w:jc w:val="center"/>
        <w:rPr>
          <w:rFonts w:ascii="Calibri" w:eastAsia="Calibri" w:hAnsi="Calibri" w:cs="Times New Roman"/>
          <w:b/>
          <w:bCs/>
          <w:lang w:bidi="en-US"/>
        </w:rPr>
      </w:pPr>
      <w:r w:rsidRPr="00617ADF">
        <w:rPr>
          <w:rFonts w:ascii="Calibri" w:eastAsia="Calibri" w:hAnsi="Calibri" w:cs="Times New Roman"/>
          <w:b/>
          <w:caps/>
          <w:lang w:bidi="en-US"/>
        </w:rPr>
        <w:t xml:space="preserve">Tentative Mission Agenda for INTERNATIONAL CONSULTANT ON terminal REVIEW  </w:t>
      </w:r>
    </w:p>
    <w:p w:rsidR="00617ADF" w:rsidRPr="00617ADF" w:rsidRDefault="00617ADF" w:rsidP="00617ADF">
      <w:pPr>
        <w:spacing w:after="0" w:line="276" w:lineRule="auto"/>
        <w:jc w:val="both"/>
        <w:rPr>
          <w:rFonts w:ascii="Calibri" w:eastAsia="Calibri" w:hAnsi="Calibri" w:cs="Times New Roman"/>
          <w:lang w:bidi="en-US"/>
        </w:rPr>
      </w:pPr>
      <w:r w:rsidRPr="00617ADF">
        <w:rPr>
          <w:rFonts w:ascii="Calibri" w:eastAsia="Calibri" w:hAnsi="Calibri" w:cs="Times New Roman"/>
          <w:b/>
          <w:bCs/>
          <w:lang w:val="mn-MN" w:bidi="en-US"/>
        </w:rPr>
        <w:t xml:space="preserve">    </w:t>
      </w:r>
      <w:r w:rsidRPr="00617ADF">
        <w:rPr>
          <w:rFonts w:ascii="Calibri" w:eastAsia="Calibri" w:hAnsi="Calibri" w:cs="Times New Roman"/>
          <w:lang w:bidi="en-US"/>
        </w:rPr>
        <w:t>This schedule shall be undertaken from July 30 to August 10, 2017.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985"/>
        <w:gridCol w:w="3260"/>
      </w:tblGrid>
      <w:tr w:rsidR="00617ADF" w:rsidRPr="00617ADF" w:rsidTr="00A22B68">
        <w:trPr>
          <w:trHeight w:val="341"/>
        </w:trPr>
        <w:tc>
          <w:tcPr>
            <w:tcW w:w="534" w:type="dxa"/>
            <w:tcBorders>
              <w:bottom w:val="single" w:sz="4" w:space="0" w:color="000000"/>
            </w:tcBorders>
            <w:shd w:val="clear" w:color="auto" w:fill="808080"/>
            <w:vAlign w:val="center"/>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No</w:t>
            </w:r>
          </w:p>
        </w:tc>
        <w:tc>
          <w:tcPr>
            <w:tcW w:w="3543" w:type="dxa"/>
            <w:tcBorders>
              <w:bottom w:val="single" w:sz="4" w:space="0" w:color="000000"/>
            </w:tcBorders>
            <w:shd w:val="clear" w:color="auto" w:fill="808080"/>
            <w:vAlign w:val="center"/>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Activity</w:t>
            </w:r>
          </w:p>
        </w:tc>
        <w:tc>
          <w:tcPr>
            <w:tcW w:w="1985" w:type="dxa"/>
            <w:tcBorders>
              <w:bottom w:val="single" w:sz="4" w:space="0" w:color="000000"/>
            </w:tcBorders>
            <w:shd w:val="clear" w:color="auto" w:fill="808080"/>
            <w:vAlign w:val="center"/>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Date</w:t>
            </w:r>
          </w:p>
        </w:tc>
        <w:tc>
          <w:tcPr>
            <w:tcW w:w="3260" w:type="dxa"/>
            <w:tcBorders>
              <w:bottom w:val="single" w:sz="4" w:space="0" w:color="000000"/>
            </w:tcBorders>
            <w:shd w:val="clear" w:color="auto" w:fill="808080"/>
            <w:vAlign w:val="center"/>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Responsible parties/persons</w:t>
            </w:r>
          </w:p>
        </w:tc>
      </w:tr>
      <w:tr w:rsidR="00617ADF" w:rsidRPr="00617ADF" w:rsidTr="00A22B68">
        <w:trPr>
          <w:trHeight w:hRule="exact" w:val="280"/>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Arrival in UB</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30 July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w:t>
            </w:r>
          </w:p>
        </w:tc>
      </w:tr>
      <w:tr w:rsidR="00617ADF" w:rsidRPr="00617ADF" w:rsidTr="00A22B68">
        <w:trPr>
          <w:trHeight w:hRule="exact" w:val="54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Briefing at UNDP CO, Mongolia (also security briefing)</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31 July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IC/NC, PO UNDP CO</w:t>
            </w:r>
          </w:p>
        </w:tc>
      </w:tr>
      <w:tr w:rsidR="00617ADF" w:rsidRPr="00617ADF" w:rsidTr="00A22B68">
        <w:trPr>
          <w:trHeight w:hRule="exact" w:val="27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Meet at PIU</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31 July 2017</w:t>
            </w:r>
          </w:p>
        </w:tc>
        <w:tc>
          <w:tcPr>
            <w:tcW w:w="3260" w:type="dxa"/>
            <w:shd w:val="clear" w:color="auto" w:fill="auto"/>
            <w:vAlign w:val="center"/>
          </w:tcPr>
          <w:p w:rsidR="00617ADF" w:rsidRPr="00617ADF" w:rsidDel="00D10C80"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IC/NC, PIU</w:t>
            </w:r>
          </w:p>
        </w:tc>
      </w:tr>
      <w:tr w:rsidR="00617ADF" w:rsidRPr="00617ADF" w:rsidTr="00A22B68">
        <w:trPr>
          <w:trHeight w:hRule="exact" w:val="54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Interview with relevant parties in Ulaanbaatar city </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31 July -1 August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PIU/IC/NC</w:t>
            </w:r>
          </w:p>
        </w:tc>
      </w:tr>
      <w:tr w:rsidR="00617ADF" w:rsidRPr="00617ADF" w:rsidTr="00A22B68">
        <w:trPr>
          <w:trHeight w:hRule="exact" w:val="72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Field trip to eastern target area, Ulz river basin. </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2-6 August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PIU will be responsible for trip and meeting arrangements to and at target sites</w:t>
            </w:r>
          </w:p>
        </w:tc>
      </w:tr>
      <w:tr w:rsidR="00617ADF" w:rsidRPr="00617ADF" w:rsidTr="00A22B68">
        <w:trPr>
          <w:trHeight w:hRule="exact" w:val="72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Field trip to eastern target area, Kharkhiraa/Turgen sub river basin</w:t>
            </w:r>
          </w:p>
          <w:p w:rsidR="00617ADF" w:rsidRPr="00617ADF" w:rsidRDefault="00617ADF" w:rsidP="00617ADF">
            <w:pPr>
              <w:spacing w:after="0" w:line="240" w:lineRule="auto"/>
              <w:rPr>
                <w:rFonts w:ascii="Calibri" w:eastAsia="Calibri" w:hAnsi="Calibri" w:cs="Times New Roman"/>
                <w:sz w:val="20"/>
                <w:szCs w:val="20"/>
                <w:lang w:bidi="en-US"/>
              </w:rPr>
            </w:pPr>
          </w:p>
          <w:p w:rsidR="00617ADF" w:rsidRPr="00617ADF" w:rsidRDefault="00617ADF" w:rsidP="00617ADF">
            <w:pPr>
              <w:spacing w:after="0" w:line="240" w:lineRule="auto"/>
              <w:rPr>
                <w:rFonts w:ascii="Calibri" w:eastAsia="Calibri" w:hAnsi="Calibri" w:cs="Times New Roman"/>
                <w:sz w:val="20"/>
                <w:szCs w:val="20"/>
                <w:lang w:bidi="en-US"/>
              </w:rPr>
            </w:pP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7-10 August 2017 </w:t>
            </w:r>
          </w:p>
          <w:p w:rsidR="00617ADF" w:rsidRPr="00617ADF" w:rsidRDefault="00617ADF" w:rsidP="00617ADF">
            <w:pPr>
              <w:spacing w:after="0" w:line="240" w:lineRule="auto"/>
              <w:jc w:val="center"/>
              <w:rPr>
                <w:rFonts w:ascii="Calibri" w:eastAsia="Calibri" w:hAnsi="Calibri" w:cs="Times New Roman"/>
                <w:sz w:val="20"/>
                <w:szCs w:val="20"/>
                <w:lang w:bidi="en-US"/>
              </w:rPr>
            </w:pPr>
          </w:p>
          <w:p w:rsidR="00617ADF" w:rsidRPr="00617ADF" w:rsidRDefault="00617ADF" w:rsidP="00617ADF">
            <w:pPr>
              <w:spacing w:after="0" w:line="240" w:lineRule="auto"/>
              <w:jc w:val="center"/>
              <w:rPr>
                <w:rFonts w:ascii="Calibri" w:eastAsia="Calibri" w:hAnsi="Calibri" w:cs="Times New Roman"/>
                <w:sz w:val="20"/>
                <w:szCs w:val="20"/>
                <w:lang w:bidi="en-US"/>
              </w:rPr>
            </w:pPr>
          </w:p>
          <w:p w:rsidR="00617ADF" w:rsidRPr="00617ADF" w:rsidRDefault="00617ADF" w:rsidP="00617ADF">
            <w:pPr>
              <w:spacing w:after="0" w:line="240" w:lineRule="auto"/>
              <w:jc w:val="center"/>
              <w:rPr>
                <w:rFonts w:ascii="Calibri" w:eastAsia="Calibri" w:hAnsi="Calibri" w:cs="Times New Roman"/>
                <w:sz w:val="20"/>
                <w:szCs w:val="20"/>
                <w:lang w:bidi="en-US"/>
              </w:rPr>
            </w:pP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PIU will be responsible for trip and meeting arrangements to and at the target sites</w:t>
            </w:r>
          </w:p>
          <w:p w:rsidR="00617ADF" w:rsidRPr="00617ADF" w:rsidRDefault="00617ADF" w:rsidP="00617ADF">
            <w:pPr>
              <w:spacing w:after="0" w:line="240" w:lineRule="auto"/>
              <w:rPr>
                <w:rFonts w:ascii="Calibri" w:eastAsia="Calibri" w:hAnsi="Calibri" w:cs="Times New Roman"/>
                <w:sz w:val="20"/>
                <w:szCs w:val="20"/>
                <w:lang w:bidi="en-US"/>
              </w:rPr>
            </w:pPr>
          </w:p>
        </w:tc>
      </w:tr>
      <w:tr w:rsidR="00617ADF" w:rsidRPr="00617ADF" w:rsidTr="00A22B68">
        <w:trPr>
          <w:trHeight w:hRule="exact" w:val="280"/>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Mission wrap up meeting</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10 August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IC/NC/PIU (All relevant parties)</w:t>
            </w:r>
          </w:p>
        </w:tc>
      </w:tr>
      <w:tr w:rsidR="00617ADF" w:rsidRPr="00617ADF" w:rsidTr="00A22B68">
        <w:trPr>
          <w:trHeight w:hRule="exact" w:val="262"/>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Debriefing UNDP CO, Mongolia </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10 August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IC/NC, PO UNDP CO</w:t>
            </w:r>
          </w:p>
        </w:tc>
      </w:tr>
      <w:tr w:rsidR="00617ADF" w:rsidRPr="00617ADF" w:rsidTr="00A22B68">
        <w:trPr>
          <w:trHeight w:hRule="exact" w:val="271"/>
        </w:trPr>
        <w:tc>
          <w:tcPr>
            <w:tcW w:w="534" w:type="dxa"/>
            <w:shd w:val="clear" w:color="auto" w:fill="auto"/>
            <w:vAlign w:val="center"/>
          </w:tcPr>
          <w:p w:rsidR="00617ADF" w:rsidRPr="00617ADF" w:rsidRDefault="00617ADF" w:rsidP="00617ADF">
            <w:pPr>
              <w:numPr>
                <w:ilvl w:val="0"/>
                <w:numId w:val="5"/>
              </w:numPr>
              <w:spacing w:after="0" w:line="276" w:lineRule="auto"/>
              <w:ind w:hanging="720"/>
              <w:contextualSpacing/>
              <w:jc w:val="right"/>
              <w:rPr>
                <w:rFonts w:ascii="Calibri" w:eastAsia="Times New Roman" w:hAnsi="Calibri" w:cs="Times New Roman"/>
                <w:sz w:val="20"/>
                <w:szCs w:val="20"/>
                <w:lang w:bidi="en-US"/>
              </w:rPr>
            </w:pPr>
          </w:p>
        </w:tc>
        <w:tc>
          <w:tcPr>
            <w:tcW w:w="3543"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Departure </w:t>
            </w:r>
          </w:p>
        </w:tc>
        <w:tc>
          <w:tcPr>
            <w:tcW w:w="1985" w:type="dxa"/>
            <w:shd w:val="clear" w:color="auto" w:fill="auto"/>
            <w:vAlign w:val="center"/>
          </w:tcPr>
          <w:p w:rsidR="00617ADF" w:rsidRPr="00617ADF" w:rsidRDefault="00617ADF" w:rsidP="00617ADF">
            <w:pPr>
              <w:spacing w:after="0" w:line="240" w:lineRule="auto"/>
              <w:jc w:val="center"/>
              <w:rPr>
                <w:rFonts w:ascii="Calibri" w:eastAsia="Calibri" w:hAnsi="Calibri" w:cs="Times New Roman"/>
                <w:sz w:val="20"/>
                <w:szCs w:val="20"/>
                <w:lang w:bidi="en-US"/>
              </w:rPr>
            </w:pPr>
            <w:r w:rsidRPr="00617ADF">
              <w:rPr>
                <w:rFonts w:ascii="Calibri" w:eastAsia="Calibri" w:hAnsi="Calibri" w:cs="Times New Roman"/>
                <w:sz w:val="20"/>
                <w:szCs w:val="20"/>
                <w:lang w:bidi="en-US"/>
              </w:rPr>
              <w:t>11 August 2017</w:t>
            </w:r>
          </w:p>
        </w:tc>
        <w:tc>
          <w:tcPr>
            <w:tcW w:w="3260" w:type="dxa"/>
            <w:shd w:val="clear" w:color="auto" w:fill="auto"/>
            <w:vAlign w:val="center"/>
          </w:tcPr>
          <w:p w:rsidR="00617ADF" w:rsidRPr="00617ADF" w:rsidRDefault="00617ADF" w:rsidP="00617ADF">
            <w:pPr>
              <w:spacing w:after="0" w:line="240" w:lineRule="auto"/>
              <w:rPr>
                <w:rFonts w:ascii="Calibri" w:eastAsia="Calibri" w:hAnsi="Calibri" w:cs="Times New Roman"/>
                <w:sz w:val="20"/>
                <w:szCs w:val="20"/>
                <w:lang w:bidi="en-US"/>
              </w:rPr>
            </w:pPr>
            <w:r w:rsidRPr="00617ADF">
              <w:rPr>
                <w:rFonts w:ascii="Calibri" w:eastAsia="Calibri" w:hAnsi="Calibri" w:cs="Times New Roman"/>
                <w:sz w:val="20"/>
                <w:szCs w:val="20"/>
                <w:lang w:bidi="en-US"/>
              </w:rPr>
              <w:t>IC</w:t>
            </w: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r w:rsidRPr="00617ADF">
        <w:rPr>
          <w:rFonts w:ascii="Calibri" w:eastAsia="Times New Roman" w:hAnsi="Calibri" w:cs="Times New Roman"/>
          <w:b/>
          <w:caps/>
          <w:spacing w:val="10"/>
          <w:lang w:bidi="en-US"/>
        </w:rPr>
        <w:t>Evaluation timeframe</w:t>
      </w:r>
      <w:bookmarkEnd w:id="30"/>
      <w:bookmarkEnd w:id="31"/>
      <w:bookmarkEnd w:id="32"/>
      <w:bookmarkEnd w:id="33"/>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total duration of the evaluation will be 27 working days over a time period of 10 weeks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617ADF" w:rsidRPr="00617ADF" w:rsidTr="00A22B68">
        <w:trPr>
          <w:trHeight w:val="440"/>
        </w:trPr>
        <w:tc>
          <w:tcPr>
            <w:tcW w:w="2988" w:type="dxa"/>
            <w:shd w:val="clear" w:color="auto" w:fill="7F7F7F"/>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Activity</w:t>
            </w:r>
          </w:p>
        </w:tc>
        <w:tc>
          <w:tcPr>
            <w:tcW w:w="3499" w:type="dxa"/>
            <w:shd w:val="clear" w:color="auto" w:fill="7F7F7F"/>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Timing/ Number of working days</w:t>
            </w:r>
          </w:p>
        </w:tc>
        <w:tc>
          <w:tcPr>
            <w:tcW w:w="3071" w:type="dxa"/>
            <w:shd w:val="clear" w:color="auto" w:fill="7F7F7F"/>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Completion Date</w:t>
            </w:r>
          </w:p>
        </w:tc>
      </w:tr>
      <w:tr w:rsidR="00617ADF" w:rsidRPr="00617ADF" w:rsidTr="00A22B68">
        <w:tc>
          <w:tcPr>
            <w:tcW w:w="298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Preparation</w:t>
            </w:r>
          </w:p>
        </w:tc>
        <w:tc>
          <w:tcPr>
            <w:tcW w:w="3499"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sz w:val="20"/>
                <w:szCs w:val="20"/>
                <w:lang w:bidi="en-US"/>
              </w:rPr>
              <w:t>3 days:</w:t>
            </w:r>
            <w:r w:rsidRPr="00617ADF">
              <w:rPr>
                <w:rFonts w:ascii="Calibri" w:eastAsia="Times New Roman" w:hAnsi="Calibri" w:cs="Times New Roman"/>
                <w:i/>
                <w:sz w:val="20"/>
                <w:szCs w:val="20"/>
                <w:lang w:bidi="en-US"/>
              </w:rPr>
              <w:t xml:space="preserve"> </w:t>
            </w:r>
          </w:p>
        </w:tc>
        <w:tc>
          <w:tcPr>
            <w:tcW w:w="3071"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3-5 July 2017</w:t>
            </w:r>
          </w:p>
        </w:tc>
      </w:tr>
      <w:tr w:rsidR="00617ADF" w:rsidRPr="00617ADF" w:rsidTr="00A22B68">
        <w:tc>
          <w:tcPr>
            <w:tcW w:w="298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Evaluation Mission</w:t>
            </w:r>
          </w:p>
        </w:tc>
        <w:tc>
          <w:tcPr>
            <w:tcW w:w="3499"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sz w:val="20"/>
                <w:szCs w:val="20"/>
                <w:lang w:bidi="en-US"/>
              </w:rPr>
              <w:t xml:space="preserve">12 days: </w:t>
            </w:r>
          </w:p>
        </w:tc>
        <w:tc>
          <w:tcPr>
            <w:tcW w:w="3071"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30 July -10 August 2017</w:t>
            </w:r>
          </w:p>
        </w:tc>
      </w:tr>
      <w:tr w:rsidR="00617ADF" w:rsidRPr="00617ADF" w:rsidTr="00A22B68">
        <w:tc>
          <w:tcPr>
            <w:tcW w:w="298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Draft Evaluation Report</w:t>
            </w:r>
          </w:p>
        </w:tc>
        <w:tc>
          <w:tcPr>
            <w:tcW w:w="3499"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sz w:val="20"/>
                <w:szCs w:val="20"/>
                <w:lang w:bidi="en-US"/>
              </w:rPr>
              <w:t xml:space="preserve">10 days: </w:t>
            </w:r>
          </w:p>
        </w:tc>
        <w:tc>
          <w:tcPr>
            <w:tcW w:w="3071"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22-31 August 2017 </w:t>
            </w:r>
          </w:p>
        </w:tc>
      </w:tr>
      <w:tr w:rsidR="00617ADF" w:rsidRPr="00617ADF" w:rsidTr="00A22B68">
        <w:tc>
          <w:tcPr>
            <w:tcW w:w="298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Final Report</w:t>
            </w:r>
          </w:p>
        </w:tc>
        <w:tc>
          <w:tcPr>
            <w:tcW w:w="3499"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3 days:</w:t>
            </w:r>
            <w:r w:rsidRPr="00617ADF">
              <w:rPr>
                <w:rFonts w:ascii="Calibri" w:eastAsia="Times New Roman" w:hAnsi="Calibri" w:cs="Times New Roman"/>
                <w:i/>
                <w:sz w:val="20"/>
                <w:szCs w:val="20"/>
                <w:lang w:bidi="en-US"/>
              </w:rPr>
              <w:t xml:space="preserve"> </w:t>
            </w:r>
          </w:p>
        </w:tc>
        <w:tc>
          <w:tcPr>
            <w:tcW w:w="3071"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6-8 September 2017</w:t>
            </w: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34" w:name="_Toc299133045"/>
      <w:bookmarkStart w:id="35" w:name="_Toc321341557"/>
      <w:bookmarkStart w:id="36" w:name="_Toc299126622"/>
      <w:bookmarkStart w:id="37" w:name="_Toc299133048"/>
      <w:r w:rsidRPr="00617ADF">
        <w:rPr>
          <w:rFonts w:ascii="Calibri" w:eastAsia="Times New Roman" w:hAnsi="Calibri" w:cs="Times New Roman"/>
          <w:b/>
          <w:caps/>
          <w:spacing w:val="10"/>
          <w:lang w:bidi="en-US"/>
        </w:rPr>
        <w:t>Evaluation deliverables</w:t>
      </w:r>
      <w:bookmarkEnd w:id="34"/>
      <w:bookmarkEnd w:id="35"/>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The evaluation team is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617ADF" w:rsidRPr="00617ADF" w:rsidTr="00A22B68">
        <w:tc>
          <w:tcPr>
            <w:tcW w:w="1548" w:type="dxa"/>
            <w:shd w:val="clear" w:color="auto" w:fill="7F7F7F"/>
          </w:tcPr>
          <w:p w:rsidR="00617ADF" w:rsidRPr="00617ADF" w:rsidRDefault="00617ADF" w:rsidP="00617ADF">
            <w:pPr>
              <w:spacing w:before="200" w:after="200" w:line="276" w:lineRule="auto"/>
              <w:jc w:val="both"/>
              <w:rPr>
                <w:rFonts w:ascii="Calibri" w:eastAsia="Times New Roman" w:hAnsi="Calibri" w:cs="Times New Roman"/>
                <w:color w:val="FFFFFF"/>
                <w:sz w:val="20"/>
                <w:szCs w:val="20"/>
                <w:lang w:bidi="en-US"/>
              </w:rPr>
            </w:pPr>
            <w:r w:rsidRPr="00617ADF">
              <w:rPr>
                <w:rFonts w:ascii="Calibri" w:eastAsia="Times New Roman" w:hAnsi="Calibri" w:cs="Times New Roman"/>
                <w:sz w:val="20"/>
                <w:szCs w:val="20"/>
                <w:lang w:bidi="en-US"/>
              </w:rPr>
              <w:t xml:space="preserve"> </w:t>
            </w:r>
            <w:r w:rsidRPr="00617ADF">
              <w:rPr>
                <w:rFonts w:ascii="Calibri" w:eastAsia="Times New Roman" w:hAnsi="Calibri" w:cs="Times New Roman"/>
                <w:color w:val="FFFFFF"/>
                <w:sz w:val="20"/>
                <w:szCs w:val="20"/>
                <w:lang w:bidi="en-US"/>
              </w:rPr>
              <w:t>Deliverable</w:t>
            </w:r>
          </w:p>
        </w:tc>
        <w:tc>
          <w:tcPr>
            <w:tcW w:w="2340" w:type="dxa"/>
            <w:shd w:val="clear" w:color="auto" w:fill="7F7F7F"/>
          </w:tcPr>
          <w:p w:rsidR="00617ADF" w:rsidRPr="00617ADF" w:rsidRDefault="00617ADF" w:rsidP="00617ADF">
            <w:pPr>
              <w:spacing w:before="200" w:after="200" w:line="276" w:lineRule="auto"/>
              <w:jc w:val="both"/>
              <w:rPr>
                <w:rFonts w:ascii="Calibri" w:eastAsia="Times New Roman" w:hAnsi="Calibri" w:cs="Times New Roman"/>
                <w:color w:val="FFFFFF"/>
                <w:sz w:val="20"/>
                <w:szCs w:val="20"/>
                <w:lang w:bidi="en-US"/>
              </w:rPr>
            </w:pPr>
            <w:r w:rsidRPr="00617ADF">
              <w:rPr>
                <w:rFonts w:ascii="Calibri" w:eastAsia="Times New Roman" w:hAnsi="Calibri" w:cs="Times New Roman"/>
                <w:color w:val="FFFFFF"/>
                <w:sz w:val="20"/>
                <w:szCs w:val="20"/>
                <w:lang w:bidi="en-US"/>
              </w:rPr>
              <w:t xml:space="preserve">Content </w:t>
            </w:r>
          </w:p>
        </w:tc>
        <w:tc>
          <w:tcPr>
            <w:tcW w:w="2610" w:type="dxa"/>
            <w:shd w:val="clear" w:color="auto" w:fill="7F7F7F"/>
          </w:tcPr>
          <w:p w:rsidR="00617ADF" w:rsidRPr="00617ADF" w:rsidRDefault="00617ADF" w:rsidP="00617ADF">
            <w:pPr>
              <w:spacing w:before="200" w:after="200" w:line="276" w:lineRule="auto"/>
              <w:jc w:val="both"/>
              <w:rPr>
                <w:rFonts w:ascii="Calibri" w:eastAsia="Times New Roman" w:hAnsi="Calibri" w:cs="Times New Roman"/>
                <w:color w:val="FFFFFF"/>
                <w:sz w:val="20"/>
                <w:szCs w:val="20"/>
                <w:lang w:bidi="en-US"/>
              </w:rPr>
            </w:pPr>
            <w:r w:rsidRPr="00617ADF">
              <w:rPr>
                <w:rFonts w:ascii="Calibri" w:eastAsia="Times New Roman" w:hAnsi="Calibri" w:cs="Times New Roman"/>
                <w:color w:val="FFFFFF"/>
                <w:sz w:val="20"/>
                <w:szCs w:val="20"/>
                <w:lang w:bidi="en-US"/>
              </w:rPr>
              <w:t>Timing</w:t>
            </w:r>
          </w:p>
        </w:tc>
        <w:tc>
          <w:tcPr>
            <w:tcW w:w="3060" w:type="dxa"/>
            <w:shd w:val="clear" w:color="auto" w:fill="7F7F7F"/>
          </w:tcPr>
          <w:p w:rsidR="00617ADF" w:rsidRPr="00617ADF" w:rsidRDefault="00617ADF" w:rsidP="00617ADF">
            <w:pPr>
              <w:spacing w:before="200" w:after="200" w:line="276" w:lineRule="auto"/>
              <w:jc w:val="both"/>
              <w:rPr>
                <w:rFonts w:ascii="Calibri" w:eastAsia="Times New Roman" w:hAnsi="Calibri" w:cs="Times New Roman"/>
                <w:color w:val="FFFFFF"/>
                <w:sz w:val="20"/>
                <w:szCs w:val="20"/>
                <w:lang w:bidi="en-US"/>
              </w:rPr>
            </w:pPr>
            <w:r w:rsidRPr="00617ADF">
              <w:rPr>
                <w:rFonts w:ascii="Calibri" w:eastAsia="Times New Roman" w:hAnsi="Calibri" w:cs="Times New Roman"/>
                <w:color w:val="FFFFFF"/>
                <w:sz w:val="20"/>
                <w:szCs w:val="20"/>
                <w:lang w:bidi="en-US"/>
              </w:rPr>
              <w:t>Responsibilities</w:t>
            </w:r>
          </w:p>
        </w:tc>
      </w:tr>
      <w:tr w:rsidR="00617ADF" w:rsidRPr="00617ADF" w:rsidTr="00A22B68">
        <w:tc>
          <w:tcPr>
            <w:tcW w:w="154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Inception Report</w:t>
            </w:r>
          </w:p>
        </w:tc>
        <w:tc>
          <w:tcPr>
            <w:tcW w:w="234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Evaluator provides clarifications on timing and method </w:t>
            </w:r>
          </w:p>
        </w:tc>
        <w:tc>
          <w:tcPr>
            <w:tcW w:w="26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No later than 2 weeks before the evaluation mission:  </w:t>
            </w:r>
          </w:p>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17  July 2017</w:t>
            </w:r>
          </w:p>
        </w:tc>
        <w:tc>
          <w:tcPr>
            <w:tcW w:w="306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Evaluator submits to UNDP CO </w:t>
            </w:r>
          </w:p>
        </w:tc>
      </w:tr>
      <w:tr w:rsidR="00617ADF" w:rsidRPr="00617ADF" w:rsidTr="00A22B68">
        <w:tc>
          <w:tcPr>
            <w:tcW w:w="154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Presentation</w:t>
            </w:r>
          </w:p>
        </w:tc>
        <w:tc>
          <w:tcPr>
            <w:tcW w:w="234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Initial Findings </w:t>
            </w:r>
          </w:p>
        </w:tc>
        <w:tc>
          <w:tcPr>
            <w:tcW w:w="26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End of evaluation mission: </w:t>
            </w:r>
          </w:p>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i/>
                <w:sz w:val="20"/>
                <w:szCs w:val="20"/>
                <w:lang w:bidi="en-US"/>
              </w:rPr>
              <w:t>10 August 2017</w:t>
            </w:r>
          </w:p>
        </w:tc>
        <w:tc>
          <w:tcPr>
            <w:tcW w:w="306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To project management, UNDP CO</w:t>
            </w:r>
          </w:p>
        </w:tc>
      </w:tr>
      <w:tr w:rsidR="00617ADF" w:rsidRPr="00617ADF" w:rsidTr="00A22B68">
        <w:tc>
          <w:tcPr>
            <w:tcW w:w="154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 xml:space="preserve">Draft Final Report </w:t>
            </w:r>
          </w:p>
        </w:tc>
        <w:tc>
          <w:tcPr>
            <w:tcW w:w="234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Full report, (per annexed template) with annexes</w:t>
            </w:r>
          </w:p>
        </w:tc>
        <w:tc>
          <w:tcPr>
            <w:tcW w:w="26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Within 3 weeks of the evaluation mission: </w:t>
            </w:r>
          </w:p>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31 August 2017</w:t>
            </w:r>
          </w:p>
        </w:tc>
        <w:tc>
          <w:tcPr>
            <w:tcW w:w="306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Sent to CO, reviewed by RTA, PCU, AF OFPs</w:t>
            </w:r>
          </w:p>
        </w:tc>
      </w:tr>
      <w:tr w:rsidR="00617ADF" w:rsidRPr="00617ADF" w:rsidTr="00A22B68">
        <w:tc>
          <w:tcPr>
            <w:tcW w:w="1548" w:type="dxa"/>
          </w:tcPr>
          <w:p w:rsidR="00617ADF" w:rsidRPr="00617ADF" w:rsidRDefault="00617ADF" w:rsidP="00617ADF">
            <w:pPr>
              <w:spacing w:after="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Final Report*</w:t>
            </w:r>
          </w:p>
        </w:tc>
        <w:tc>
          <w:tcPr>
            <w:tcW w:w="234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Revised report </w:t>
            </w:r>
          </w:p>
        </w:tc>
        <w:tc>
          <w:tcPr>
            <w:tcW w:w="261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Within 1 week of receiving UNDP comments on draft: </w:t>
            </w:r>
          </w:p>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 xml:space="preserve">8 September 2017 </w:t>
            </w:r>
          </w:p>
        </w:tc>
        <w:tc>
          <w:tcPr>
            <w:tcW w:w="3060"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Sent to CO for uploading to UNDP ERC. </w:t>
            </w:r>
          </w:p>
        </w:tc>
      </w:tr>
    </w:tbl>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*When submitting the final evaluation report, the evaluator is required also to provide an 'audit trail', detailing how all received comments have (and have not) been addressed in the final evaluation </w:t>
      </w:r>
      <w:bookmarkEnd w:id="36"/>
      <w:bookmarkEnd w:id="37"/>
      <w:r w:rsidRPr="00617ADF">
        <w:rPr>
          <w:rFonts w:ascii="Calibri" w:eastAsia="Times New Roman" w:hAnsi="Calibri" w:cs="Times New Roman"/>
          <w:sz w:val="20"/>
          <w:szCs w:val="20"/>
          <w:lang w:bidi="en-US"/>
        </w:rPr>
        <w:t xml:space="preserve">report. </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38" w:name="_Toc321341558"/>
      <w:r w:rsidRPr="00617ADF">
        <w:rPr>
          <w:rFonts w:ascii="Calibri" w:eastAsia="Times New Roman" w:hAnsi="Calibri" w:cs="Times New Roman"/>
          <w:b/>
          <w:caps/>
          <w:spacing w:val="10"/>
          <w:lang w:bidi="en-US"/>
        </w:rPr>
        <w:t>Team Composition</w:t>
      </w:r>
      <w:bookmarkEnd w:id="38"/>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lastRenderedPageBreak/>
        <w:t>An evaluation team will be composed of one international and one national evaluator. The consultants shall have prior experience in evaluating similar projects.  Experience with AF/GEF financed projects is an advantage. The evaluators selected should not have participated in the project preparation and/or implementation and should not have conflict of interest with project related activities.</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bookmarkStart w:id="39" w:name="_Toc278193977"/>
      <w:bookmarkStart w:id="40" w:name="_Toc299122835"/>
      <w:bookmarkStart w:id="41" w:name="_Toc299122857"/>
      <w:bookmarkStart w:id="42" w:name="_Toc299126624"/>
      <w:bookmarkStart w:id="43" w:name="_Toc299133050"/>
      <w:bookmarkStart w:id="44" w:name="_Toc321341559"/>
      <w:r w:rsidRPr="00617ADF">
        <w:rPr>
          <w:rFonts w:ascii="Calibri" w:eastAsia="Times New Roman" w:hAnsi="Calibri" w:cs="Times New Roman"/>
          <w:sz w:val="20"/>
          <w:szCs w:val="20"/>
          <w:lang w:bidi="en-US"/>
        </w:rPr>
        <w:t>Terminal evaluation:</w:t>
      </w:r>
    </w:p>
    <w:p w:rsidR="00617ADF" w:rsidRPr="00617ADF" w:rsidRDefault="00617ADF" w:rsidP="00617ADF">
      <w:pPr>
        <w:spacing w:before="200" w:after="20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 International Consultant/ Team Leader</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Team Leader will have overall responsibility for the work and operation of the evaluation team, including the coordination of inputs from national team member. The Team Leader is responsible and accountable for the production of the agreed deliverables.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The Team Leader is responsible for the following:</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Desk research of existing management plans, survey/research/reports and databases;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Conduct fieldwork and interview stakeholders, and communities to generate authentic information and opinions;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Write and compile the information and reports as needed;</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Make a presentation of key findings highlighting achievements, constraints, and make practical recommendations to decision makers and stakeholders;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Draft and finalize the Evaluation Report.</w:t>
      </w:r>
    </w:p>
    <w:p w:rsidR="00617ADF" w:rsidRPr="00617ADF" w:rsidRDefault="00617ADF" w:rsidP="00617ADF">
      <w:pPr>
        <w:spacing w:before="200" w:after="20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 National Consultant</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The national consultant will assist and collaborate with the Team Leader in all e tasks mentioned above including fieldwork, logistic arrangement in cooperation with PIU. Specific tasks are as following: </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Desk review of project materials and databases;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Fieldwork together with international consultant. Carry out stakeholders’ interview as requested by the team leader and do interpretation work (if necessary);</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Write brief notes or certain parts of the evaluation report as agreed with the team leader;</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Provide inputs either by written or verbally to the presentation, highlighting key findings, achievements and constraints;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Contribute to draft and final Evaluation Reports;</w:t>
      </w:r>
    </w:p>
    <w:p w:rsidR="00617ADF" w:rsidRPr="00617ADF" w:rsidRDefault="00617ADF" w:rsidP="00617ADF">
      <w:pPr>
        <w:numPr>
          <w:ilvl w:val="0"/>
          <w:numId w:val="4"/>
        </w:numPr>
        <w:spacing w:before="200" w:after="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Translate the draft and final reports into Mongolian.</w:t>
      </w:r>
    </w:p>
    <w:p w:rsidR="00617ADF" w:rsidRPr="00617ADF" w:rsidRDefault="00617ADF" w:rsidP="00617ADF">
      <w:pPr>
        <w:spacing w:before="200" w:after="20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International Consultant/ Team Leader Required Experience:</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Education: </w:t>
      </w:r>
    </w:p>
    <w:p w:rsidR="00617ADF" w:rsidRPr="00617ADF" w:rsidRDefault="00617ADF" w:rsidP="00617ADF">
      <w:pPr>
        <w:numPr>
          <w:ilvl w:val="0"/>
          <w:numId w:val="1"/>
        </w:numPr>
        <w:spacing w:before="200" w:after="20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A post-secondary/advanced degree (Masters level or higher) in nature&amp; environment science, management and or other closely related field. </w:t>
      </w:r>
    </w:p>
    <w:p w:rsidR="00617ADF" w:rsidRPr="00617ADF" w:rsidRDefault="00617ADF" w:rsidP="00617ADF">
      <w:pPr>
        <w:spacing w:after="200" w:line="276" w:lineRule="auto"/>
        <w:jc w:val="both"/>
        <w:rPr>
          <w:rFonts w:ascii="Calibri" w:eastAsia="Calibri" w:hAnsi="Calibri" w:cs="Times New Roman"/>
          <w:lang w:bidi="en-US"/>
        </w:rPr>
      </w:pPr>
      <w:r w:rsidRPr="00617ADF">
        <w:rPr>
          <w:rFonts w:ascii="Calibri" w:eastAsia="Calibri" w:hAnsi="Calibri" w:cs="Times New Roman"/>
          <w:lang w:bidi="en-US"/>
        </w:rPr>
        <w:t xml:space="preserve">Experience: </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shd w:val="clear" w:color="auto" w:fill="FFFFFF"/>
          <w:lang w:bidi="en-US"/>
        </w:rPr>
        <w:t>Minimum 10 years of</w:t>
      </w:r>
      <w:r w:rsidRPr="00617ADF">
        <w:rPr>
          <w:rFonts w:ascii="Calibri" w:eastAsia="Times New Roman" w:hAnsi="Calibri" w:cs="Times New Roman"/>
          <w:sz w:val="20"/>
          <w:szCs w:val="20"/>
          <w:lang w:bidi="en-US"/>
        </w:rPr>
        <w:t xml:space="preserve"> relevant professional experience in climate change adaptation and EbA</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Minimum of 5 years experience evaluations (with UNDP and/or GEF-financed projects is an advantage)</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Experience with results‐based monitoring and evaluation methodologies</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lastRenderedPageBreak/>
        <w:t>Technical knowledge in the targeted focal area(s): biodiversity, land use and water management in context of similar climate condition</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Excellent communication skills</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Demonstrable analytical skills</w:t>
      </w:r>
    </w:p>
    <w:p w:rsidR="00617ADF" w:rsidRPr="00617ADF" w:rsidRDefault="00617ADF" w:rsidP="00617ADF">
      <w:pPr>
        <w:spacing w:before="200" w:after="200" w:line="276" w:lineRule="auto"/>
        <w:jc w:val="both"/>
        <w:rPr>
          <w:rFonts w:ascii="Calibri" w:eastAsia="Times New Roman" w:hAnsi="Calibri" w:cs="Times New Roman"/>
          <w:b/>
          <w:sz w:val="20"/>
          <w:szCs w:val="20"/>
          <w:lang w:bidi="en-US"/>
        </w:rPr>
      </w:pPr>
      <w:r w:rsidRPr="00617ADF">
        <w:rPr>
          <w:rFonts w:ascii="Calibri" w:eastAsia="Times New Roman" w:hAnsi="Calibri" w:cs="Times New Roman"/>
          <w:b/>
          <w:sz w:val="20"/>
          <w:szCs w:val="20"/>
          <w:lang w:bidi="en-US"/>
        </w:rPr>
        <w:t>National Consultant/ Team Specialist Required Experience:</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Education: </w:t>
      </w:r>
    </w:p>
    <w:p w:rsidR="00617ADF" w:rsidRPr="00617ADF" w:rsidRDefault="00617ADF" w:rsidP="00617ADF">
      <w:pPr>
        <w:numPr>
          <w:ilvl w:val="0"/>
          <w:numId w:val="1"/>
        </w:numPr>
        <w:spacing w:before="200" w:after="200" w:line="276" w:lineRule="auto"/>
        <w:contextualSpacing/>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A higher education degree (Masters level or higher) in in nature&amp; environment science, management and or other closely related field. </w:t>
      </w:r>
    </w:p>
    <w:p w:rsidR="00617ADF" w:rsidRPr="00617ADF" w:rsidRDefault="00617ADF" w:rsidP="00617ADF">
      <w:pPr>
        <w:spacing w:after="200" w:line="276" w:lineRule="auto"/>
        <w:jc w:val="both"/>
        <w:rPr>
          <w:rFonts w:ascii="Calibri" w:eastAsia="Calibri" w:hAnsi="Calibri" w:cs="Times New Roman"/>
          <w:lang w:bidi="en-US"/>
        </w:rPr>
      </w:pPr>
      <w:r w:rsidRPr="00617ADF">
        <w:rPr>
          <w:rFonts w:ascii="Calibri" w:eastAsia="Calibri" w:hAnsi="Calibri" w:cs="Times New Roman"/>
          <w:lang w:bidi="en-US"/>
        </w:rPr>
        <w:t xml:space="preserve">Experience: </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shd w:val="clear" w:color="auto" w:fill="FFFFFF"/>
          <w:lang w:bidi="en-US"/>
        </w:rPr>
        <w:t>Minimum</w:t>
      </w:r>
      <w:r w:rsidRPr="00617ADF">
        <w:rPr>
          <w:rFonts w:ascii="Calibri" w:eastAsia="Times New Roman" w:hAnsi="Calibri" w:cs="Times New Roman"/>
          <w:sz w:val="20"/>
          <w:szCs w:val="20"/>
          <w:lang w:bidi="en-US"/>
        </w:rPr>
        <w:t xml:space="preserve"> 5 y</w:t>
      </w:r>
      <w:r w:rsidRPr="00617ADF">
        <w:rPr>
          <w:rFonts w:ascii="Calibri" w:eastAsia="Times New Roman" w:hAnsi="Calibri" w:cs="Times New Roman"/>
          <w:sz w:val="20"/>
          <w:szCs w:val="20"/>
          <w:shd w:val="clear" w:color="auto" w:fill="FFFFFF"/>
          <w:lang w:bidi="en-US"/>
        </w:rPr>
        <w:t>ears of</w:t>
      </w:r>
      <w:r w:rsidRPr="00617ADF">
        <w:rPr>
          <w:rFonts w:ascii="Calibri" w:eastAsia="Times New Roman" w:hAnsi="Calibri" w:cs="Times New Roman"/>
          <w:sz w:val="20"/>
          <w:szCs w:val="20"/>
          <w:lang w:bidi="en-US"/>
        </w:rPr>
        <w:t xml:space="preserve"> relevant professional experience in in climate change adaptation and EbA</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Experience with results‐based monitoring and evaluation methodologies</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Technical knowledge in the targeted focal area(s): </w:t>
      </w:r>
      <w:r w:rsidRPr="00617ADF">
        <w:rPr>
          <w:rFonts w:ascii="Calibri" w:eastAsia="Times New Roman" w:hAnsi="Calibri" w:cs="Times New Roman"/>
          <w:sz w:val="20"/>
          <w:szCs w:val="20"/>
          <w:shd w:val="clear" w:color="auto" w:fill="FFFFFF"/>
          <w:lang w:bidi="en-US"/>
        </w:rPr>
        <w:t>land use and water management in context of climate change</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Excellent communication skills</w:t>
      </w:r>
    </w:p>
    <w:p w:rsidR="00617ADF" w:rsidRPr="00617ADF" w:rsidRDefault="00617ADF" w:rsidP="00617ADF">
      <w:pPr>
        <w:numPr>
          <w:ilvl w:val="0"/>
          <w:numId w:val="1"/>
        </w:numPr>
        <w:spacing w:before="60" w:after="60" w:line="276" w:lineRule="auto"/>
        <w:jc w:val="both"/>
        <w:rPr>
          <w:rFonts w:ascii="Calibri" w:eastAsia="Times New Roman" w:hAnsi="Calibri" w:cs="Times New Roman"/>
          <w:sz w:val="20"/>
          <w:szCs w:val="20"/>
          <w:shd w:val="clear" w:color="auto" w:fill="FFFFFF"/>
          <w:lang w:bidi="en-US"/>
        </w:rPr>
      </w:pPr>
      <w:r w:rsidRPr="00617ADF">
        <w:rPr>
          <w:rFonts w:ascii="Calibri" w:eastAsia="Times New Roman" w:hAnsi="Calibri" w:cs="Times New Roman"/>
          <w:sz w:val="20"/>
          <w:szCs w:val="20"/>
          <w:shd w:val="clear" w:color="auto" w:fill="FFFFFF"/>
          <w:lang w:bidi="en-US"/>
        </w:rPr>
        <w:t>Demonstrable analytical skills</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r w:rsidRPr="00617ADF">
        <w:rPr>
          <w:rFonts w:ascii="Calibri" w:eastAsia="Times New Roman" w:hAnsi="Calibri" w:cs="Times New Roman"/>
          <w:b/>
          <w:caps/>
          <w:spacing w:val="10"/>
          <w:lang w:bidi="en-US"/>
        </w:rPr>
        <w:t>Evaluator Ethics</w:t>
      </w:r>
      <w:bookmarkEnd w:id="39"/>
      <w:bookmarkEnd w:id="40"/>
      <w:bookmarkEnd w:id="41"/>
      <w:bookmarkEnd w:id="42"/>
      <w:bookmarkEnd w:id="43"/>
      <w:bookmarkEnd w:id="44"/>
    </w:p>
    <w:p w:rsidR="00617ADF" w:rsidRPr="00617ADF" w:rsidRDefault="00617ADF" w:rsidP="00617ADF">
      <w:pPr>
        <w:spacing w:after="200" w:line="276" w:lineRule="auto"/>
        <w:jc w:val="both"/>
        <w:rPr>
          <w:rFonts w:ascii="Calibri" w:eastAsia="Calibri" w:hAnsi="Calibri" w:cs="Times New Roman"/>
          <w:sz w:val="20"/>
          <w:szCs w:val="20"/>
          <w:lang w:bidi="en-US"/>
        </w:rPr>
      </w:pPr>
    </w:p>
    <w:p w:rsidR="00617ADF" w:rsidRPr="00617ADF" w:rsidRDefault="00617ADF" w:rsidP="00617ADF">
      <w:pPr>
        <w:spacing w:after="200" w:line="276" w:lineRule="auto"/>
        <w:jc w:val="both"/>
        <w:rPr>
          <w:rFonts w:ascii="Calibri" w:eastAsia="Calibri" w:hAnsi="Calibri" w:cs="Times New Roman"/>
          <w:sz w:val="20"/>
          <w:szCs w:val="20"/>
          <w:lang w:bidi="en-US"/>
        </w:rPr>
      </w:pPr>
      <w:r w:rsidRPr="00617ADF">
        <w:rPr>
          <w:rFonts w:ascii="Calibri" w:eastAsia="Calibri" w:hAnsi="Calibri" w:cs="Times New Roman"/>
          <w:sz w:val="20"/>
          <w:szCs w:val="20"/>
          <w:lang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3" w:history="1">
        <w:r w:rsidRPr="00617ADF">
          <w:rPr>
            <w:rFonts w:ascii="Calibri" w:eastAsia="Times New Roman" w:hAnsi="Calibri" w:cs="Times New Roman"/>
            <w:color w:val="0000FF"/>
            <w:sz w:val="20"/>
            <w:szCs w:val="20"/>
            <w:u w:val="single"/>
            <w:lang w:bidi="en-US"/>
          </w:rPr>
          <w:t>UNEG 'Ethical Guidelines for Evaluations'</w:t>
        </w:r>
      </w:hyperlink>
      <w:r w:rsidRPr="00617ADF">
        <w:rPr>
          <w:rFonts w:ascii="Calibri" w:eastAsia="Times New Roman" w:hAnsi="Calibri" w:cs="Times New Roman"/>
          <w:color w:val="0000FF"/>
          <w:sz w:val="20"/>
          <w:szCs w:val="20"/>
          <w:u w:val="single"/>
          <w:lang w:bidi="en-US"/>
        </w:rPr>
        <w:t>.</w:t>
      </w:r>
    </w:p>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45" w:name="_Toc299126626"/>
      <w:bookmarkStart w:id="46" w:name="_Toc299133051"/>
      <w:bookmarkStart w:id="47" w:name="_Toc321341560"/>
      <w:bookmarkStart w:id="48" w:name="_Toc299122837"/>
      <w:bookmarkStart w:id="49" w:name="_Toc299122859"/>
      <w:bookmarkStart w:id="50" w:name="_Toc299126627"/>
      <w:r w:rsidRPr="00617ADF">
        <w:rPr>
          <w:rFonts w:ascii="Calibri" w:eastAsia="Times New Roman" w:hAnsi="Calibri" w:cs="Times New Roman"/>
          <w:b/>
          <w:caps/>
          <w:spacing w:val="10"/>
          <w:lang w:bidi="en-US"/>
        </w:rPr>
        <w:t>Payment modalities and specifications</w:t>
      </w:r>
      <w:bookmarkEnd w:id="45"/>
      <w:bookmarkEnd w:id="46"/>
      <w:bookmarkEnd w:id="47"/>
      <w:r w:rsidRPr="00617ADF">
        <w:rPr>
          <w:rFonts w:ascii="Calibri" w:eastAsia="Times New Roman" w:hAnsi="Calibri" w:cs="Times New Roman"/>
          <w:b/>
          <w:caps/>
          <w:spacing w:val="10"/>
          <w:lang w:bidi="en-US"/>
        </w:rPr>
        <w:t xml:space="preserve"> </w:t>
      </w:r>
    </w:p>
    <w:p w:rsidR="00617ADF" w:rsidRPr="00617ADF" w:rsidRDefault="00617ADF" w:rsidP="00617ADF">
      <w:pPr>
        <w:spacing w:after="200" w:line="276" w:lineRule="auto"/>
        <w:jc w:val="both"/>
        <w:rPr>
          <w:rFonts w:ascii="Calibri" w:eastAsia="Calibri" w:hAnsi="Calibri"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617ADF" w:rsidRPr="00617ADF" w:rsidTr="00A22B68">
        <w:tc>
          <w:tcPr>
            <w:tcW w:w="1278" w:type="dxa"/>
            <w:shd w:val="clear" w:color="auto" w:fill="7F7F7F"/>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w:t>
            </w:r>
          </w:p>
        </w:tc>
        <w:tc>
          <w:tcPr>
            <w:tcW w:w="8576" w:type="dxa"/>
            <w:shd w:val="clear" w:color="auto" w:fill="7F7F7F"/>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Milestone</w:t>
            </w:r>
          </w:p>
        </w:tc>
      </w:tr>
      <w:tr w:rsidR="00617ADF" w:rsidRPr="00617ADF" w:rsidTr="00A22B68">
        <w:tc>
          <w:tcPr>
            <w:tcW w:w="1278" w:type="dxa"/>
          </w:tcPr>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10%</w:t>
            </w:r>
          </w:p>
        </w:tc>
        <w:tc>
          <w:tcPr>
            <w:tcW w:w="8576"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At submission and approval of inception report</w:t>
            </w:r>
          </w:p>
        </w:tc>
      </w:tr>
      <w:tr w:rsidR="00617ADF" w:rsidRPr="00617ADF" w:rsidTr="00A22B68">
        <w:tc>
          <w:tcPr>
            <w:tcW w:w="1278" w:type="dxa"/>
          </w:tcPr>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50%</w:t>
            </w:r>
          </w:p>
        </w:tc>
        <w:tc>
          <w:tcPr>
            <w:tcW w:w="8576"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Following submission and approval of the 1ST draft terminal evaluation report</w:t>
            </w:r>
          </w:p>
        </w:tc>
      </w:tr>
      <w:tr w:rsidR="00617ADF" w:rsidRPr="00617ADF" w:rsidTr="00A22B68">
        <w:tc>
          <w:tcPr>
            <w:tcW w:w="1278" w:type="dxa"/>
          </w:tcPr>
          <w:p w:rsidR="00617ADF" w:rsidRPr="00617ADF" w:rsidRDefault="00617ADF" w:rsidP="00617ADF">
            <w:pPr>
              <w:spacing w:after="0" w:line="276" w:lineRule="auto"/>
              <w:jc w:val="both"/>
              <w:rPr>
                <w:rFonts w:ascii="Calibri" w:eastAsia="Times New Roman" w:hAnsi="Calibri" w:cs="Times New Roman"/>
                <w:i/>
                <w:sz w:val="20"/>
                <w:szCs w:val="20"/>
                <w:lang w:bidi="en-US"/>
              </w:rPr>
            </w:pPr>
            <w:r w:rsidRPr="00617ADF">
              <w:rPr>
                <w:rFonts w:ascii="Calibri" w:eastAsia="Times New Roman" w:hAnsi="Calibri" w:cs="Times New Roman"/>
                <w:i/>
                <w:sz w:val="20"/>
                <w:szCs w:val="20"/>
                <w:lang w:bidi="en-US"/>
              </w:rPr>
              <w:t>40%</w:t>
            </w:r>
          </w:p>
        </w:tc>
        <w:tc>
          <w:tcPr>
            <w:tcW w:w="8576" w:type="dxa"/>
          </w:tcPr>
          <w:p w:rsidR="00617ADF" w:rsidRPr="00617ADF" w:rsidRDefault="00617ADF" w:rsidP="00617ADF">
            <w:pPr>
              <w:spacing w:after="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 xml:space="preserve">Following submission and approval (UNDP-CO and UNDP RTA) of the final terminal evaluation report </w:t>
            </w:r>
          </w:p>
        </w:tc>
      </w:tr>
    </w:tbl>
    <w:p w:rsidR="00617ADF" w:rsidRPr="00617ADF" w:rsidRDefault="00617ADF" w:rsidP="00617ADF">
      <w:pPr>
        <w:pBdr>
          <w:bottom w:val="single" w:sz="6" w:space="1" w:color="4F81BD"/>
        </w:pBdr>
        <w:spacing w:before="300" w:after="0" w:line="276" w:lineRule="auto"/>
        <w:jc w:val="both"/>
        <w:outlineLvl w:val="4"/>
        <w:rPr>
          <w:rFonts w:ascii="Calibri" w:eastAsia="Times New Roman" w:hAnsi="Calibri" w:cs="Times New Roman"/>
          <w:b/>
          <w:caps/>
          <w:spacing w:val="10"/>
          <w:lang w:bidi="en-US"/>
        </w:rPr>
      </w:pPr>
      <w:bookmarkStart w:id="51" w:name="_Toc299133052"/>
      <w:bookmarkStart w:id="52" w:name="_Toc321341561"/>
      <w:r w:rsidRPr="00617ADF">
        <w:rPr>
          <w:rFonts w:ascii="Calibri" w:eastAsia="Times New Roman" w:hAnsi="Calibri" w:cs="Times New Roman"/>
          <w:b/>
          <w:caps/>
          <w:spacing w:val="10"/>
          <w:lang w:bidi="en-US"/>
        </w:rPr>
        <w:t>Application process</w:t>
      </w:r>
      <w:bookmarkEnd w:id="48"/>
      <w:bookmarkEnd w:id="49"/>
      <w:bookmarkEnd w:id="50"/>
      <w:bookmarkEnd w:id="51"/>
      <w:bookmarkEnd w:id="52"/>
    </w:p>
    <w:p w:rsidR="00617ADF" w:rsidRPr="00617ADF" w:rsidRDefault="00617ADF" w:rsidP="00617ADF">
      <w:pPr>
        <w:spacing w:after="120" w:line="276" w:lineRule="auto"/>
        <w:jc w:val="both"/>
        <w:rPr>
          <w:rFonts w:ascii="Calibri" w:eastAsia="Times New Roman" w:hAnsi="Calibri" w:cs="Times New Roman"/>
          <w:sz w:val="20"/>
          <w:szCs w:val="20"/>
          <w:lang w:bidi="en-US"/>
        </w:rPr>
      </w:pPr>
      <w:r w:rsidRPr="00617ADF">
        <w:rPr>
          <w:rFonts w:ascii="Calibri" w:eastAsia="Times New Roman" w:hAnsi="Calibri" w:cs="Times New Roman"/>
          <w:sz w:val="20"/>
          <w:szCs w:val="20"/>
          <w:lang w:bidi="en-US"/>
        </w:rPr>
        <w:t>Applicants are requested to apply online (</w:t>
      </w:r>
      <w:r w:rsidRPr="00617ADF">
        <w:rPr>
          <w:rFonts w:ascii="Calibri" w:eastAsia="Times New Roman" w:hAnsi="Calibri" w:cs="Times New Roman"/>
          <w:sz w:val="20"/>
          <w:szCs w:val="20"/>
          <w:shd w:val="clear" w:color="auto" w:fill="BFBFBF"/>
          <w:lang w:bidi="en-US"/>
        </w:rPr>
        <w:t>http://jobs.undp.org)</w:t>
      </w:r>
      <w:r w:rsidRPr="00617ADF">
        <w:rPr>
          <w:rFonts w:ascii="Calibri" w:eastAsia="Times New Roman" w:hAnsi="Calibri" w:cs="Times New Roman"/>
          <w:sz w:val="20"/>
          <w:szCs w:val="20"/>
          <w:lang w:bidi="en-US"/>
        </w:rPr>
        <w:t xml:space="preserve"> by </w:t>
      </w:r>
      <w:r w:rsidRPr="00617ADF">
        <w:rPr>
          <w:rFonts w:ascii="Calibri" w:eastAsia="Times New Roman" w:hAnsi="Calibri" w:cs="Times New Roman"/>
          <w:color w:val="4F81BD"/>
          <w:sz w:val="20"/>
          <w:szCs w:val="20"/>
          <w:lang w:bidi="en-US"/>
        </w:rPr>
        <w:t>26</w:t>
      </w:r>
      <w:r w:rsidRPr="00617ADF">
        <w:rPr>
          <w:rFonts w:ascii="Calibri" w:eastAsia="Times New Roman" w:hAnsi="Calibri" w:cs="Times New Roman"/>
          <w:color w:val="4F81BD"/>
          <w:sz w:val="20"/>
          <w:szCs w:val="20"/>
          <w:vertAlign w:val="superscript"/>
          <w:lang w:bidi="en-US"/>
        </w:rPr>
        <w:t>th</w:t>
      </w:r>
      <w:r w:rsidRPr="00617ADF">
        <w:rPr>
          <w:rFonts w:ascii="Calibri" w:eastAsia="Times New Roman" w:hAnsi="Calibri" w:cs="Times New Roman"/>
          <w:color w:val="4F81BD"/>
          <w:sz w:val="20"/>
          <w:szCs w:val="20"/>
          <w:lang w:bidi="en-US"/>
        </w:rPr>
        <w:t xml:space="preserve"> </w:t>
      </w:r>
      <w:r w:rsidRPr="00617ADF">
        <w:rPr>
          <w:rFonts w:ascii="Calibri" w:eastAsia="Times New Roman" w:hAnsi="Calibri" w:cs="Times New Roman"/>
          <w:sz w:val="20"/>
          <w:szCs w:val="20"/>
          <w:lang w:bidi="en-US"/>
        </w:rPr>
        <w:t xml:space="preserve"> May 2017.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daily allowance and international travel costs). Travel cost for the evaluation mission to target river basins shall be covered by the Project Implementing Unit. </w:t>
      </w:r>
    </w:p>
    <w:p w:rsidR="00617ADF" w:rsidRPr="00617ADF" w:rsidRDefault="00617ADF" w:rsidP="00617ADF">
      <w:pPr>
        <w:spacing w:before="200" w:after="200" w:line="276" w:lineRule="auto"/>
        <w:jc w:val="both"/>
        <w:rPr>
          <w:rFonts w:ascii="Calibri" w:eastAsia="Times New Roman" w:hAnsi="Calibri" w:cs="Times New Roman"/>
          <w:sz w:val="20"/>
          <w:szCs w:val="20"/>
          <w:lang w:bidi="en-US"/>
        </w:rPr>
        <w:sectPr w:rsidR="00617ADF" w:rsidRPr="00617ADF" w:rsidSect="007874E9">
          <w:footerReference w:type="default" r:id="rId14"/>
          <w:pgSz w:w="12240" w:h="15840"/>
          <w:pgMar w:top="1440" w:right="1080" w:bottom="1440" w:left="1260" w:header="708" w:footer="708" w:gutter="0"/>
          <w:cols w:space="708"/>
          <w:docGrid w:linePitch="360"/>
        </w:sectPr>
      </w:pPr>
      <w:r w:rsidRPr="00617ADF">
        <w:rPr>
          <w:rFonts w:ascii="Calibri" w:eastAsia="Times New Roman" w:hAnsi="Calibri" w:cs="Times New Roman"/>
          <w:sz w:val="20"/>
          <w:szCs w:val="20"/>
          <w:lang w:bidi="en-US"/>
        </w:rPr>
        <w:t xml:space="preserve">UNDP applies a fair and transparent selection process that will take into account the competencies/skills of the applicants as well as their financial proposals. Qualified women and members of social minorities are encouraged to apply. </w:t>
      </w:r>
    </w:p>
    <w:p w:rsidR="009F1941" w:rsidRDefault="009F1941"/>
    <w:sectPr w:rsidR="009F1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46" w:rsidRDefault="00907B46" w:rsidP="00617ADF">
      <w:pPr>
        <w:spacing w:after="0" w:line="240" w:lineRule="auto"/>
      </w:pPr>
      <w:r>
        <w:separator/>
      </w:r>
    </w:p>
  </w:endnote>
  <w:endnote w:type="continuationSeparator" w:id="0">
    <w:p w:rsidR="00907B46" w:rsidRDefault="00907B46" w:rsidP="006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arnockPro-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ADF" w:rsidRPr="0074156C" w:rsidRDefault="00617ADF" w:rsidP="0074156C">
    <w:pPr>
      <w:pStyle w:val="Footer"/>
      <w:pBdr>
        <w:top w:val="single" w:sz="4" w:space="8" w:color="5B9BD5"/>
      </w:pBdr>
      <w:spacing w:before="360"/>
      <w:contextualSpacing/>
      <w:jc w:val="right"/>
      <w:rPr>
        <w:noProof/>
        <w:color w:val="404040"/>
      </w:rPr>
    </w:pPr>
    <w:r w:rsidRPr="000A7F18">
      <w:rPr>
        <w:noProof/>
        <w:color w:val="404040"/>
        <w:sz w:val="16"/>
        <w:szCs w:val="16"/>
      </w:rPr>
      <w:t xml:space="preserve">Ecosystem Based Adaptation Approach to Maintaining Water Security in Critical Water Catchment in Mongolia - TE Report- FINAL </w:t>
    </w:r>
    <w:r w:rsidRPr="0074156C">
      <w:rPr>
        <w:noProof/>
        <w:color w:val="404040"/>
      </w:rPr>
      <w:fldChar w:fldCharType="begin"/>
    </w:r>
    <w:r w:rsidRPr="0074156C">
      <w:rPr>
        <w:noProof/>
        <w:color w:val="404040"/>
      </w:rPr>
      <w:instrText xml:space="preserve"> PAGE   \* MERGEFORMAT </w:instrText>
    </w:r>
    <w:r w:rsidRPr="0074156C">
      <w:rPr>
        <w:noProof/>
        <w:color w:val="404040"/>
      </w:rPr>
      <w:fldChar w:fldCharType="separate"/>
    </w:r>
    <w:r>
      <w:rPr>
        <w:noProof/>
        <w:color w:val="404040"/>
      </w:rPr>
      <w:t>66</w:t>
    </w:r>
    <w:r w:rsidRPr="0074156C">
      <w:rPr>
        <w:noProof/>
        <w:color w:val="404040"/>
      </w:rPr>
      <w:fldChar w:fldCharType="end"/>
    </w:r>
  </w:p>
  <w:p w:rsidR="00617ADF" w:rsidRDefault="0061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46" w:rsidRDefault="00907B46" w:rsidP="00617ADF">
      <w:pPr>
        <w:spacing w:after="0" w:line="240" w:lineRule="auto"/>
      </w:pPr>
      <w:r>
        <w:separator/>
      </w:r>
    </w:p>
  </w:footnote>
  <w:footnote w:type="continuationSeparator" w:id="0">
    <w:p w:rsidR="00907B46" w:rsidRDefault="00907B46" w:rsidP="00617ADF">
      <w:pPr>
        <w:spacing w:after="0" w:line="240" w:lineRule="auto"/>
      </w:pPr>
      <w:r>
        <w:continuationSeparator/>
      </w:r>
    </w:p>
  </w:footnote>
  <w:footnote w:id="1">
    <w:p w:rsidR="00617ADF" w:rsidRDefault="00617ADF" w:rsidP="00617ADF">
      <w:pPr>
        <w:pStyle w:val="FootnoteText"/>
      </w:pPr>
      <w:r>
        <w:rPr>
          <w:rStyle w:val="FootnoteReference"/>
        </w:rPr>
        <w:footnoteRef/>
      </w:r>
      <w:r>
        <w:t xml:space="preserve"> The guidance document for UNDP-supported GEF financed projects can be used for AF financed projects as well.  The document is available via this </w:t>
      </w:r>
      <w:hyperlink r:id="rId1" w:history="1">
        <w:r w:rsidRPr="00913786">
          <w:rPr>
            <w:rStyle w:val="Hyperlink"/>
          </w:rPr>
          <w:t>link</w:t>
        </w:r>
      </w:hyperlink>
      <w:r>
        <w:t>.</w:t>
      </w:r>
    </w:p>
  </w:footnote>
  <w:footnote w:id="2">
    <w:p w:rsidR="00617ADF" w:rsidRDefault="00617ADF" w:rsidP="00617ADF">
      <w:pPr>
        <w:pStyle w:val="FootnoteText"/>
      </w:pPr>
      <w:r w:rsidRPr="001A0DF0">
        <w:rPr>
          <w:rStyle w:val="FootnoteReference"/>
          <w:rFonts w:cs="Calibri"/>
          <w:szCs w:val="18"/>
        </w:rPr>
        <w:footnoteRef/>
      </w:r>
      <w:r w:rsidRPr="001A0DF0">
        <w:rPr>
          <w:rFonts w:cs="Calibri"/>
          <w:szCs w:val="18"/>
        </w:rPr>
        <w:t xml:space="preserve"> For additional information on methods, see the </w:t>
      </w:r>
      <w:hyperlink r:id="rId2" w:history="1">
        <w:r w:rsidRPr="001A0DF0">
          <w:rPr>
            <w:rStyle w:val="Hyperlink"/>
            <w:rFonts w:cs="Calibri"/>
            <w:szCs w:val="18"/>
          </w:rPr>
          <w:t>Handbook on Planning, Monitoring and Evaluating for Development Results</w:t>
        </w:r>
      </w:hyperlink>
      <w:r w:rsidRPr="001A0DF0">
        <w:rPr>
          <w:rFonts w:cs="Calibri"/>
          <w:szCs w:val="18"/>
        </w:rPr>
        <w:t>, Chapter 7, pg. 163</w:t>
      </w:r>
    </w:p>
  </w:footnote>
  <w:footnote w:id="3">
    <w:p w:rsidR="00617ADF" w:rsidRPr="00022F8E" w:rsidRDefault="00617ADF" w:rsidP="00617ADF">
      <w:pPr>
        <w:pStyle w:val="FootnoteText"/>
      </w:pPr>
      <w:r>
        <w:rPr>
          <w:rStyle w:val="FootnoteReference"/>
        </w:rPr>
        <w:footnoteRef/>
      </w:r>
      <w:r>
        <w:t xml:space="preserve"> A useful tool for gauging progress to impact is the Review of Outcomes to Impacts (ROtI) method developed by the GEF Evaluation Office: </w:t>
      </w:r>
      <w:hyperlink r:id="rId3" w:history="1">
        <w:r w:rsidRPr="00E23201">
          <w:rPr>
            <w:rStyle w:val="Hyperlink"/>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93B"/>
    <w:multiLevelType w:val="hybridMultilevel"/>
    <w:tmpl w:val="45788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40FD"/>
    <w:multiLevelType w:val="hybridMultilevel"/>
    <w:tmpl w:val="F16C45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27314D0"/>
    <w:multiLevelType w:val="hybridMultilevel"/>
    <w:tmpl w:val="6E00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B649E"/>
    <w:multiLevelType w:val="hybridMultilevel"/>
    <w:tmpl w:val="6750F196"/>
    <w:lvl w:ilvl="0" w:tplc="8F24C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DF"/>
    <w:rsid w:val="00617ADF"/>
    <w:rsid w:val="00907B46"/>
    <w:rsid w:val="009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7ACE-8B0B-4B8A-9812-99CC7AC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7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ADF"/>
    <w:rPr>
      <w:sz w:val="20"/>
      <w:szCs w:val="20"/>
    </w:rPr>
  </w:style>
  <w:style w:type="paragraph" w:styleId="Footer">
    <w:name w:val="footer"/>
    <w:basedOn w:val="Normal"/>
    <w:link w:val="FooterChar"/>
    <w:uiPriority w:val="99"/>
    <w:semiHidden/>
    <w:unhideWhenUsed/>
    <w:rsid w:val="00617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ADF"/>
  </w:style>
  <w:style w:type="character" w:styleId="FootnoteReference">
    <w:name w:val="footnote reference"/>
    <w:aliases w:val="16 Point,Superscript 6 Point,Superscript 6 Point + 11 pt,ftref,fr,Footnote Ref in FtNote,Style 24,o,SUPERS"/>
    <w:uiPriority w:val="99"/>
    <w:unhideWhenUsed/>
    <w:rsid w:val="00617ADF"/>
    <w:rPr>
      <w:vertAlign w:val="superscript"/>
    </w:rPr>
  </w:style>
  <w:style w:type="character" w:styleId="Hyperlink">
    <w:name w:val="Hyperlink"/>
    <w:uiPriority w:val="99"/>
    <w:rsid w:val="0061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mn/v3" TargetMode="External"/><Relationship Id="rId13"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hyperlink" Target="http://mne.mn/v3" TargetMode="External"/><Relationship Id="rId12" Type="http://schemas.openxmlformats.org/officeDocument/2006/relationships/hyperlink" Target="http://www.tsag-agaar.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ar.gov.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f.gov.mn" TargetMode="External"/><Relationship Id="rId4" Type="http://schemas.openxmlformats.org/officeDocument/2006/relationships/webSettings" Target="webSettings.xml"/><Relationship Id="rId9" Type="http://schemas.openxmlformats.org/officeDocument/2006/relationships/hyperlink" Target="http://zasag.mn/en/m/mi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www.google.com/url?sa=t&amp;rct=j&amp;q=&amp;esrc=s&amp;source=web&amp;cd=2&amp;ved=0CCUQFjAB&amp;url=http%3A%2F%2Fweb.undp.org%2Fevaluation%2Fdocuments%2Fguidance%2Fgef%2Fundp-gef-te-guide.pdf&amp;ei=TR5JVZfCFYadgwTrvIH4Bw&amp;usg=AFQjCNGsRhcXqiAAWwMGYKwml2H4hQ8d8Q&amp;bvm=bv.92291466,d.eXY&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Buyandelger Ulziikhuu</dc:creator>
  <cp:keywords/>
  <dc:description/>
  <cp:lastModifiedBy>Buyandelger Ulziikhuu</cp:lastModifiedBy>
  <cp:revision>1</cp:revision>
  <dcterms:created xsi:type="dcterms:W3CDTF">2018-09-18T02:19:00Z</dcterms:created>
  <dcterms:modified xsi:type="dcterms:W3CDTF">2018-09-18T02:19:00Z</dcterms:modified>
</cp:coreProperties>
</file>