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CEA1C" w14:textId="2CED40FB" w:rsidR="00D17903" w:rsidRPr="00482FFF" w:rsidRDefault="00D17903" w:rsidP="00117A2F">
      <w:pPr>
        <w:pStyle w:val="Titre"/>
        <w:rPr>
          <w:rStyle w:val="lev"/>
          <w:smallCaps/>
        </w:rPr>
      </w:pPr>
      <w:bookmarkStart w:id="0" w:name="_GoBack"/>
      <w:bookmarkEnd w:id="0"/>
      <w:r w:rsidRPr="00482FFF">
        <w:rPr>
          <w:rStyle w:val="lev"/>
          <w:smallCaps/>
        </w:rPr>
        <w:t xml:space="preserve">Evaluation </w:t>
      </w:r>
      <w:r w:rsidR="00FD4E08" w:rsidRPr="00482FFF">
        <w:rPr>
          <w:rStyle w:val="lev"/>
          <w:smallCaps/>
        </w:rPr>
        <w:t>du Projet d’Appui à la mise en œuvre de la Stratégie nationale de Bonne Gouvernance et de Lutte contre la Corruption</w:t>
      </w:r>
    </w:p>
    <w:p w14:paraId="7C019EE2" w14:textId="77777777" w:rsidR="00FD4E08" w:rsidRPr="00FD4E08" w:rsidRDefault="00FD4E08" w:rsidP="00117A2F"/>
    <w:p w14:paraId="378B5571" w14:textId="77777777" w:rsidR="005007D3" w:rsidRDefault="005007D3" w:rsidP="00117A2F">
      <w:pPr>
        <w:rPr>
          <w:b/>
          <w:color w:val="2E74B5" w:themeColor="accent1" w:themeShade="BF"/>
          <w:sz w:val="32"/>
          <w:szCs w:val="32"/>
        </w:rPr>
      </w:pPr>
    </w:p>
    <w:p w14:paraId="2F46752A" w14:textId="77777777" w:rsidR="001109E6" w:rsidRDefault="001109E6" w:rsidP="001109E6">
      <w:r w:rsidRPr="00FD4E08">
        <w:rPr>
          <w:rStyle w:val="lev"/>
          <w:bCs w:val="0"/>
          <w:color w:val="1F4E79" w:themeColor="accent1" w:themeShade="80"/>
          <w:sz w:val="48"/>
          <w:szCs w:val="48"/>
        </w:rPr>
        <w:t xml:space="preserve">Rapport </w:t>
      </w:r>
      <w:r>
        <w:rPr>
          <w:rStyle w:val="lev"/>
          <w:bCs w:val="0"/>
          <w:color w:val="1F4E79" w:themeColor="accent1" w:themeShade="80"/>
          <w:sz w:val="48"/>
          <w:szCs w:val="48"/>
        </w:rPr>
        <w:t>d’Evaluation</w:t>
      </w:r>
    </w:p>
    <w:p w14:paraId="0593A339" w14:textId="61F66F5C" w:rsidR="00D17903" w:rsidRDefault="00D17903" w:rsidP="00117A2F"/>
    <w:p w14:paraId="4F15C4BF" w14:textId="461B01CD" w:rsidR="00D17903" w:rsidRPr="00D17903" w:rsidRDefault="00FD4E08" w:rsidP="00117A2F">
      <w:r>
        <w:rPr>
          <w:noProof/>
        </w:rPr>
        <mc:AlternateContent>
          <mc:Choice Requires="wps">
            <w:drawing>
              <wp:anchor distT="0" distB="0" distL="114300" distR="114300" simplePos="0" relativeHeight="251663360" behindDoc="0" locked="0" layoutInCell="1" allowOverlap="1" wp14:anchorId="753C996D" wp14:editId="1520E619">
                <wp:simplePos x="0" y="0"/>
                <wp:positionH relativeFrom="margin">
                  <wp:align>right</wp:align>
                </wp:positionH>
                <wp:positionV relativeFrom="paragraph">
                  <wp:posOffset>123104</wp:posOffset>
                </wp:positionV>
                <wp:extent cx="5476514" cy="242192"/>
                <wp:effectExtent l="0" t="0" r="10160" b="24765"/>
                <wp:wrapNone/>
                <wp:docPr id="2" name="Rectangle 2"/>
                <wp:cNvGraphicFramePr/>
                <a:graphic xmlns:a="http://schemas.openxmlformats.org/drawingml/2006/main">
                  <a:graphicData uri="http://schemas.microsoft.com/office/word/2010/wordprocessingShape">
                    <wps:wsp>
                      <wps:cNvSpPr/>
                      <wps:spPr>
                        <a:xfrm>
                          <a:off x="0" y="0"/>
                          <a:ext cx="5476514" cy="2421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A0B5" id="Rectangle 2" o:spid="_x0000_s1026" style="position:absolute;margin-left:380pt;margin-top:9.7pt;width:431.2pt;height:19.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" fillcolor="#5b9bd5 [3204]" strokecolor="#1f4d78 [1604]" strokeweight="1pt">
                <w10:wrap anchorx="margin"/>
              </v:rect>
            </w:pict>
          </mc:Fallback>
        </mc:AlternateContent>
      </w:r>
    </w:p>
    <w:p w14:paraId="06EB702F" w14:textId="77777777" w:rsidR="00FD4E08" w:rsidRPr="00482FFF" w:rsidRDefault="00FD4E08">
      <w:pPr>
        <w:pStyle w:val="Titre"/>
        <w:rPr>
          <w:rStyle w:val="lev"/>
          <w:b w:val="0"/>
          <w:bCs w:val="0"/>
          <w:color w:val="1F4E79" w:themeColor="accent1" w:themeShade="80"/>
          <w:sz w:val="28"/>
          <w:szCs w:val="28"/>
        </w:rPr>
      </w:pPr>
    </w:p>
    <w:p w14:paraId="30FB7E29" w14:textId="30055CE4" w:rsidR="00FD4E08" w:rsidRPr="00482FFF" w:rsidRDefault="00FD4E08" w:rsidP="00117A2F">
      <w:pPr>
        <w:pStyle w:val="Titre"/>
        <w:rPr>
          <w:rStyle w:val="lev"/>
          <w:b w:val="0"/>
          <w:bCs w:val="0"/>
          <w:color w:val="1F4E79" w:themeColor="accent1" w:themeShade="80"/>
          <w:sz w:val="16"/>
          <w:szCs w:val="16"/>
        </w:rPr>
      </w:pPr>
    </w:p>
    <w:p w14:paraId="30AB5623" w14:textId="63D082EA" w:rsidR="001109E6" w:rsidRDefault="001109E6" w:rsidP="00117A2F">
      <w:pPr>
        <w:rPr>
          <w:b/>
          <w:color w:val="2E74B5" w:themeColor="accent1" w:themeShade="BF"/>
          <w:sz w:val="32"/>
          <w:szCs w:val="32"/>
        </w:rPr>
      </w:pPr>
    </w:p>
    <w:p w14:paraId="50F88A6F" w14:textId="22CBA963" w:rsidR="00965C49" w:rsidRDefault="001109E6" w:rsidP="00117A2F">
      <w:r>
        <w:rPr>
          <w:rFonts w:asciiTheme="majorHAnsi" w:eastAsiaTheme="majorEastAsia" w:hAnsiTheme="majorHAnsi" w:cstheme="majorBidi"/>
          <w:noProof/>
          <w:spacing w:val="-10"/>
          <w:kern w:val="28"/>
          <w:sz w:val="56"/>
          <w:szCs w:val="56"/>
        </w:rPr>
        <w:drawing>
          <wp:anchor distT="0" distB="0" distL="114300" distR="114300" simplePos="0" relativeHeight="251672576" behindDoc="1" locked="0" layoutInCell="1" allowOverlap="1" wp14:anchorId="2814A5E4" wp14:editId="2C4F517C">
            <wp:simplePos x="0" y="0"/>
            <wp:positionH relativeFrom="column">
              <wp:posOffset>2601687</wp:posOffset>
            </wp:positionH>
            <wp:positionV relativeFrom="paragraph">
              <wp:posOffset>19957</wp:posOffset>
            </wp:positionV>
            <wp:extent cx="2476500" cy="5147945"/>
            <wp:effectExtent l="190500" t="95250" r="190500" b="90805"/>
            <wp:wrapThrough wrapText="bothSides">
              <wp:wrapPolygon edited="0">
                <wp:start x="-412" y="-55"/>
                <wp:lineTo x="-334" y="5150"/>
                <wp:lineTo x="-433" y="10281"/>
                <wp:lineTo x="-300" y="20532"/>
                <wp:lineTo x="-186" y="21329"/>
                <wp:lineTo x="5850" y="21610"/>
                <wp:lineTo x="20340" y="21612"/>
                <wp:lineTo x="20506" y="21606"/>
                <wp:lineTo x="21832" y="21562"/>
                <wp:lineTo x="21845" y="1852"/>
                <wp:lineTo x="21526" y="-380"/>
                <wp:lineTo x="16673" y="-540"/>
                <wp:lineTo x="2406" y="-148"/>
                <wp:lineTo x="-412" y="-55"/>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162" r="6486" b="5425"/>
                    <a:stretch/>
                  </pic:blipFill>
                  <pic:spPr bwMode="auto">
                    <a:xfrm rot="236078">
                      <a:off x="0" y="0"/>
                      <a:ext cx="2476500" cy="514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111C">
        <w:rPr>
          <w:b/>
          <w:color w:val="2E74B5" w:themeColor="accent1" w:themeShade="BF"/>
          <w:sz w:val="32"/>
          <w:szCs w:val="32"/>
        </w:rPr>
        <w:t>PNUD Burundi</w:t>
      </w:r>
    </w:p>
    <w:p w14:paraId="192427AC" w14:textId="1B12BB97" w:rsidR="00965C49" w:rsidRDefault="00965C49" w:rsidP="00117A2F"/>
    <w:p w14:paraId="742884EC" w14:textId="51803D68" w:rsidR="005007D3" w:rsidRDefault="005007D3" w:rsidP="00117A2F"/>
    <w:p w14:paraId="3FC0A4E9" w14:textId="6EB01B7C" w:rsidR="005007D3" w:rsidRPr="00482FFF" w:rsidRDefault="005007D3" w:rsidP="00117A2F">
      <w:pPr>
        <w:rPr>
          <w:b/>
          <w:color w:val="1F4E79" w:themeColor="accent1" w:themeShade="80"/>
        </w:rPr>
      </w:pPr>
      <w:r w:rsidRPr="00482FFF">
        <w:rPr>
          <w:b/>
          <w:color w:val="1F4E79" w:themeColor="accent1" w:themeShade="80"/>
        </w:rPr>
        <w:t>13 Novembre 2018</w:t>
      </w:r>
    </w:p>
    <w:p w14:paraId="33769AC9" w14:textId="681CCFF5" w:rsidR="005007D3" w:rsidRDefault="005007D3" w:rsidP="00117A2F"/>
    <w:p w14:paraId="3462DA06" w14:textId="4F52E0DC" w:rsidR="005007D3" w:rsidRDefault="005007D3" w:rsidP="00117A2F"/>
    <w:p w14:paraId="3989391B" w14:textId="60608AD6" w:rsidR="005007D3" w:rsidRDefault="005007D3" w:rsidP="00117A2F"/>
    <w:p w14:paraId="72BB1F43" w14:textId="0FAB4048" w:rsidR="005007D3" w:rsidRDefault="005007D3" w:rsidP="00117A2F"/>
    <w:p w14:paraId="37CDD636" w14:textId="6E9F971A" w:rsidR="005007D3" w:rsidRDefault="005007D3" w:rsidP="00117A2F"/>
    <w:p w14:paraId="7B74B734" w14:textId="47A54259" w:rsidR="005007D3" w:rsidRDefault="005007D3" w:rsidP="00117A2F"/>
    <w:p w14:paraId="29EF1EEF" w14:textId="1D0CE759" w:rsidR="005007D3" w:rsidRDefault="005007D3" w:rsidP="00117A2F"/>
    <w:p w14:paraId="1314103C" w14:textId="03BF8B8B" w:rsidR="001109E6" w:rsidRDefault="001109E6" w:rsidP="00117A2F"/>
    <w:p w14:paraId="6658FA62" w14:textId="7E8A65DA" w:rsidR="001109E6" w:rsidRDefault="001109E6" w:rsidP="00117A2F"/>
    <w:p w14:paraId="1E725DC0" w14:textId="2483447A" w:rsidR="001109E6" w:rsidRDefault="001109E6" w:rsidP="00117A2F"/>
    <w:p w14:paraId="5AE6B8DC" w14:textId="604EC722" w:rsidR="001109E6" w:rsidRDefault="001109E6" w:rsidP="00117A2F"/>
    <w:p w14:paraId="493A3CD1" w14:textId="5A3BF31E" w:rsidR="001109E6" w:rsidRDefault="001109E6" w:rsidP="00117A2F"/>
    <w:p w14:paraId="48EAB3E5" w14:textId="6F04248A" w:rsidR="001109E6" w:rsidRDefault="001109E6" w:rsidP="00117A2F"/>
    <w:p w14:paraId="0CFAC5DC" w14:textId="0B8548FD" w:rsidR="001109E6" w:rsidRDefault="001109E6" w:rsidP="00117A2F"/>
    <w:p w14:paraId="134DD101" w14:textId="2B57C498" w:rsidR="001109E6" w:rsidRDefault="001109E6" w:rsidP="00117A2F"/>
    <w:p w14:paraId="611DBBA8" w14:textId="4CB4FDF6" w:rsidR="001109E6" w:rsidRDefault="001109E6" w:rsidP="00117A2F"/>
    <w:p w14:paraId="567FAFB7" w14:textId="7B84E827" w:rsidR="001109E6" w:rsidRDefault="001109E6" w:rsidP="00117A2F"/>
    <w:p w14:paraId="34CB16DB" w14:textId="6E389E9B" w:rsidR="001109E6" w:rsidRDefault="001109E6" w:rsidP="00117A2F"/>
    <w:p w14:paraId="0D29925A" w14:textId="0EE04BDC" w:rsidR="001109E6" w:rsidRDefault="001109E6" w:rsidP="00117A2F"/>
    <w:p w14:paraId="4DCADD23" w14:textId="7A92539D" w:rsidR="001109E6" w:rsidRDefault="001109E6" w:rsidP="00117A2F"/>
    <w:p w14:paraId="5A9EAE50" w14:textId="77777777" w:rsidR="001109E6" w:rsidRDefault="001109E6" w:rsidP="00117A2F"/>
    <w:p w14:paraId="0A5119D3" w14:textId="6458700B" w:rsidR="005007D3" w:rsidRDefault="005007D3" w:rsidP="00117A2F"/>
    <w:p w14:paraId="2FCF3F46" w14:textId="5335B8A2" w:rsidR="005007D3" w:rsidRDefault="005007D3" w:rsidP="00117A2F"/>
    <w:p w14:paraId="4EF8F04C" w14:textId="3F277E75" w:rsidR="001109E6" w:rsidRDefault="001109E6" w:rsidP="00117A2F"/>
    <w:p w14:paraId="692B2917" w14:textId="37D44859" w:rsidR="001109E6" w:rsidRDefault="001109E6" w:rsidP="00117A2F"/>
    <w:p w14:paraId="65E854DF" w14:textId="77777777" w:rsidR="001109E6" w:rsidRDefault="001109E6" w:rsidP="00117A2F"/>
    <w:p w14:paraId="3F39F04D" w14:textId="77777777" w:rsidR="00F475EE" w:rsidRDefault="00F475EE" w:rsidP="00117A2F"/>
    <w:p w14:paraId="65E2BC48" w14:textId="465DF3BE" w:rsidR="00FD4E08" w:rsidRDefault="00FD4E08" w:rsidP="00117A2F"/>
    <w:p w14:paraId="1D5C94D8" w14:textId="3ED1AE51" w:rsidR="00FD4E08" w:rsidRPr="00482FFF" w:rsidRDefault="00FD4E08" w:rsidP="00117A2F">
      <w:pPr>
        <w:rPr>
          <w:b/>
        </w:rPr>
      </w:pPr>
      <w:r w:rsidRPr="00482FFF">
        <w:rPr>
          <w:b/>
        </w:rPr>
        <w:t>Cécile Collin</w:t>
      </w:r>
    </w:p>
    <w:p w14:paraId="73EBA64C" w14:textId="271DC080" w:rsidR="000E3DA8" w:rsidRDefault="000E3DA8" w:rsidP="00117A2F"/>
    <w:p w14:paraId="48104BB3" w14:textId="77777777" w:rsidR="006235C1" w:rsidRDefault="006235C1" w:rsidP="006235C1">
      <w:pPr>
        <w:jc w:val="center"/>
        <w:rPr>
          <w:b/>
        </w:rPr>
      </w:pPr>
      <w:bookmarkStart w:id="1" w:name="_Toc520275548"/>
      <w:bookmarkStart w:id="2" w:name="_Toc524466879"/>
    </w:p>
    <w:p w14:paraId="6CA87C8F" w14:textId="77777777" w:rsidR="006235C1" w:rsidRDefault="006235C1" w:rsidP="006235C1">
      <w:pPr>
        <w:jc w:val="center"/>
        <w:rPr>
          <w:b/>
        </w:rPr>
      </w:pPr>
    </w:p>
    <w:p w14:paraId="4AC3BBA8" w14:textId="4272C79D" w:rsidR="006235C1" w:rsidRDefault="006235C1" w:rsidP="006235C1">
      <w:pPr>
        <w:jc w:val="center"/>
        <w:rPr>
          <w:b/>
        </w:rPr>
      </w:pPr>
    </w:p>
    <w:p w14:paraId="4860A50E" w14:textId="3EA8EDD1" w:rsidR="005007D3" w:rsidRDefault="005007D3" w:rsidP="006235C1">
      <w:pPr>
        <w:jc w:val="center"/>
        <w:rPr>
          <w:b/>
        </w:rPr>
      </w:pPr>
    </w:p>
    <w:p w14:paraId="71B83BB2" w14:textId="43D71486" w:rsidR="005007D3" w:rsidRDefault="005007D3" w:rsidP="006235C1">
      <w:pPr>
        <w:jc w:val="center"/>
        <w:rPr>
          <w:b/>
        </w:rPr>
      </w:pPr>
    </w:p>
    <w:p w14:paraId="2D3B3212" w14:textId="52FCAAC3" w:rsidR="005007D3" w:rsidRDefault="005007D3" w:rsidP="006235C1">
      <w:pPr>
        <w:jc w:val="center"/>
        <w:rPr>
          <w:b/>
        </w:rPr>
      </w:pPr>
    </w:p>
    <w:p w14:paraId="422FECF5" w14:textId="43A23EFB" w:rsidR="005007D3" w:rsidRDefault="005007D3" w:rsidP="006235C1">
      <w:pPr>
        <w:jc w:val="center"/>
        <w:rPr>
          <w:b/>
        </w:rPr>
      </w:pPr>
    </w:p>
    <w:p w14:paraId="41A32C5A" w14:textId="3CBB1BC6" w:rsidR="005007D3" w:rsidRDefault="005007D3">
      <w:pPr>
        <w:jc w:val="left"/>
        <w:rPr>
          <w:b/>
        </w:rPr>
      </w:pPr>
    </w:p>
    <w:p w14:paraId="1D0B284E" w14:textId="77777777" w:rsidR="005007D3" w:rsidRDefault="005007D3" w:rsidP="006235C1">
      <w:pPr>
        <w:jc w:val="center"/>
        <w:rPr>
          <w:b/>
        </w:rPr>
      </w:pPr>
    </w:p>
    <w:p w14:paraId="565D20A8" w14:textId="77777777" w:rsidR="006235C1" w:rsidRDefault="006235C1" w:rsidP="006235C1">
      <w:pPr>
        <w:jc w:val="center"/>
        <w:rPr>
          <w:b/>
        </w:rPr>
      </w:pPr>
    </w:p>
    <w:p w14:paraId="0F440C4C" w14:textId="77777777" w:rsidR="006235C1" w:rsidRDefault="006235C1" w:rsidP="006235C1">
      <w:pPr>
        <w:jc w:val="center"/>
        <w:rPr>
          <w:b/>
        </w:rPr>
      </w:pPr>
    </w:p>
    <w:p w14:paraId="4C89E865" w14:textId="61A54B7F" w:rsidR="006235C1" w:rsidRDefault="006235C1" w:rsidP="006235C1">
      <w:pPr>
        <w:pBdr>
          <w:top w:val="single" w:sz="4" w:space="1" w:color="auto"/>
          <w:left w:val="single" w:sz="4" w:space="4" w:color="auto"/>
          <w:bottom w:val="single" w:sz="4" w:space="1" w:color="auto"/>
          <w:right w:val="single" w:sz="4" w:space="4" w:color="auto"/>
        </w:pBdr>
        <w:jc w:val="center"/>
        <w:rPr>
          <w:b/>
          <w:i/>
        </w:rPr>
      </w:pPr>
    </w:p>
    <w:p w14:paraId="1C312AD8" w14:textId="6625A077" w:rsidR="006235C1" w:rsidRPr="006235C1" w:rsidRDefault="006235C1" w:rsidP="006235C1">
      <w:pPr>
        <w:pBdr>
          <w:top w:val="single" w:sz="4" w:space="1" w:color="auto"/>
          <w:left w:val="single" w:sz="4" w:space="4" w:color="auto"/>
          <w:bottom w:val="single" w:sz="4" w:space="1" w:color="auto"/>
          <w:right w:val="single" w:sz="4" w:space="4" w:color="auto"/>
        </w:pBdr>
        <w:jc w:val="center"/>
        <w:rPr>
          <w:b/>
          <w:i/>
        </w:rPr>
      </w:pPr>
      <w:r w:rsidRPr="006235C1">
        <w:rPr>
          <w:b/>
          <w:i/>
        </w:rPr>
        <w:t>Remerciements</w:t>
      </w:r>
    </w:p>
    <w:p w14:paraId="71C8E487" w14:textId="2805351E" w:rsidR="006235C1" w:rsidRPr="006235C1" w:rsidRDefault="006235C1" w:rsidP="006235C1">
      <w:pPr>
        <w:pBdr>
          <w:top w:val="single" w:sz="4" w:space="1" w:color="auto"/>
          <w:left w:val="single" w:sz="4" w:space="4" w:color="auto"/>
          <w:bottom w:val="single" w:sz="4" w:space="1" w:color="auto"/>
          <w:right w:val="single" w:sz="4" w:space="4" w:color="auto"/>
        </w:pBdr>
        <w:jc w:val="left"/>
        <w:rPr>
          <w:i/>
        </w:rPr>
      </w:pPr>
    </w:p>
    <w:p w14:paraId="6AD38FC5" w14:textId="26906EDF" w:rsidR="006235C1" w:rsidRDefault="006235C1" w:rsidP="006235C1">
      <w:pPr>
        <w:pBdr>
          <w:top w:val="single" w:sz="4" w:space="1" w:color="auto"/>
          <w:left w:val="single" w:sz="4" w:space="4" w:color="auto"/>
          <w:bottom w:val="single" w:sz="4" w:space="1" w:color="auto"/>
          <w:right w:val="single" w:sz="4" w:space="4" w:color="auto"/>
        </w:pBdr>
        <w:rPr>
          <w:i/>
        </w:rPr>
      </w:pPr>
      <w:r w:rsidRPr="006235C1">
        <w:rPr>
          <w:i/>
        </w:rPr>
        <w:t xml:space="preserve">La consultante adresse ses plus vifs remerciements à tous les acteurs qui ont accepté de participer à cette étude : personnel du PNUD, des institutions partenaires, acteurs de la société civile, structures internationales et bailleurs. En particulier, la consultante souhaite remercier l’unité de projet qui a pris en charge l’organisation des entretiens avec les </w:t>
      </w:r>
      <w:r w:rsidR="001E67CB">
        <w:rPr>
          <w:i/>
        </w:rPr>
        <w:t>partenaires</w:t>
      </w:r>
      <w:r w:rsidRPr="006235C1">
        <w:rPr>
          <w:i/>
        </w:rPr>
        <w:t xml:space="preserve"> étatiques.</w:t>
      </w:r>
    </w:p>
    <w:p w14:paraId="5D3C3B7C" w14:textId="77777777" w:rsidR="006235C1" w:rsidRPr="006235C1" w:rsidRDefault="006235C1" w:rsidP="006235C1">
      <w:pPr>
        <w:pBdr>
          <w:top w:val="single" w:sz="4" w:space="1" w:color="auto"/>
          <w:left w:val="single" w:sz="4" w:space="4" w:color="auto"/>
          <w:bottom w:val="single" w:sz="4" w:space="1" w:color="auto"/>
          <w:right w:val="single" w:sz="4" w:space="4" w:color="auto"/>
        </w:pBdr>
        <w:jc w:val="left"/>
        <w:rPr>
          <w:i/>
        </w:rPr>
      </w:pPr>
    </w:p>
    <w:p w14:paraId="329D0F4B" w14:textId="254561E2" w:rsidR="006235C1" w:rsidRDefault="006235C1">
      <w:pPr>
        <w:jc w:val="left"/>
        <w:rPr>
          <w:rFonts w:asciiTheme="majorHAnsi" w:eastAsiaTheme="majorEastAsia" w:hAnsiTheme="majorHAnsi" w:cstheme="majorBidi"/>
          <w:b/>
          <w:smallCaps/>
          <w:color w:val="2E74B5" w:themeColor="accent1" w:themeShade="BF"/>
          <w:sz w:val="36"/>
          <w:szCs w:val="36"/>
        </w:rPr>
      </w:pPr>
      <w:r>
        <w:br w:type="page"/>
      </w:r>
    </w:p>
    <w:p w14:paraId="74A83ADB" w14:textId="7DC61192" w:rsidR="00BC6A32" w:rsidRDefault="0045311B" w:rsidP="00BC6A32">
      <w:pPr>
        <w:pStyle w:val="Titre1"/>
        <w:numPr>
          <w:ilvl w:val="0"/>
          <w:numId w:val="0"/>
        </w:numPr>
        <w:jc w:val="center"/>
      </w:pPr>
      <w:bookmarkStart w:id="3" w:name="_Toc525626827"/>
      <w:r>
        <w:lastRenderedPageBreak/>
        <w:t>ACRONYMES</w:t>
      </w:r>
      <w:bookmarkEnd w:id="3"/>
      <w:r>
        <w:t xml:space="preserve"> </w:t>
      </w:r>
    </w:p>
    <w:p w14:paraId="58BC8196" w14:textId="77777777" w:rsidR="00BC6A32" w:rsidRDefault="00BC6A32" w:rsidP="00BC6A32"/>
    <w:p w14:paraId="73E38705" w14:textId="77777777" w:rsidR="00BC6A32" w:rsidRDefault="00BC6A32" w:rsidP="00BC6A32"/>
    <w:p w14:paraId="09CC66AA" w14:textId="77777777" w:rsidR="00BC6A32" w:rsidRPr="009F7C4F" w:rsidRDefault="00BC6A32" w:rsidP="00BC6A32">
      <w:pPr>
        <w:spacing w:before="60" w:after="60"/>
        <w:rPr>
          <w:rFonts w:eastAsia="Times New Roman"/>
          <w:lang w:eastAsia="fr-FR"/>
        </w:rPr>
      </w:pPr>
      <w:r w:rsidRPr="009F7C4F">
        <w:rPr>
          <w:rFonts w:eastAsia="Times New Roman"/>
          <w:lang w:eastAsia="fr-FR"/>
        </w:rPr>
        <w:t xml:space="preserve">ABELO -- Association des Elus Burundais </w:t>
      </w:r>
    </w:p>
    <w:p w14:paraId="2634494F" w14:textId="77777777" w:rsidR="00BC6A32" w:rsidRPr="003832AC" w:rsidRDefault="00BC6A32" w:rsidP="00BC6A32">
      <w:pPr>
        <w:spacing w:before="60" w:after="60"/>
        <w:rPr>
          <w:rFonts w:eastAsia="Times New Roman"/>
          <w:lang w:eastAsia="fr-FR"/>
        </w:rPr>
      </w:pPr>
      <w:r w:rsidRPr="003832AC">
        <w:rPr>
          <w:rFonts w:eastAsia="Times New Roman"/>
          <w:lang w:eastAsia="fr-FR"/>
        </w:rPr>
        <w:t>CPD – Country Programme Document</w:t>
      </w:r>
    </w:p>
    <w:p w14:paraId="61DDFBD1" w14:textId="77777777" w:rsidR="00BC6A32" w:rsidRPr="00BC6A32" w:rsidRDefault="00BC6A32" w:rsidP="00BC6A32">
      <w:pPr>
        <w:spacing w:before="60" w:after="60"/>
        <w:rPr>
          <w:rFonts w:eastAsia="Times New Roman"/>
          <w:lang w:eastAsia="fr-FR"/>
        </w:rPr>
      </w:pPr>
      <w:r w:rsidRPr="00BC6A32">
        <w:rPr>
          <w:rFonts w:eastAsia="Times New Roman"/>
          <w:lang w:eastAsia="fr-FR"/>
        </w:rPr>
        <w:t>CSLP – Cadre stratégique de Lutte contre la Pauvreté</w:t>
      </w:r>
    </w:p>
    <w:p w14:paraId="180F7C0B" w14:textId="77777777" w:rsidR="00BC6A32" w:rsidRPr="00BC6A32" w:rsidRDefault="00BC6A32" w:rsidP="00BC6A32">
      <w:pPr>
        <w:spacing w:before="60" w:after="60"/>
        <w:rPr>
          <w:rFonts w:eastAsia="Times New Roman"/>
          <w:lang w:eastAsia="fr-FR"/>
        </w:rPr>
      </w:pPr>
      <w:r w:rsidRPr="00BC6A32">
        <w:rPr>
          <w:rFonts w:eastAsia="Times New Roman"/>
          <w:lang w:eastAsia="fr-FR"/>
        </w:rPr>
        <w:t xml:space="preserve">IGE – Inspection générale de l’Etat </w:t>
      </w:r>
    </w:p>
    <w:p w14:paraId="251670DD" w14:textId="77777777" w:rsidR="00BC6A32" w:rsidRPr="00BC6A32" w:rsidRDefault="00BC6A32" w:rsidP="00BC6A32">
      <w:pPr>
        <w:spacing w:before="60" w:after="60"/>
        <w:rPr>
          <w:rFonts w:eastAsia="Times New Roman"/>
          <w:lang w:eastAsia="fr-FR"/>
        </w:rPr>
      </w:pPr>
      <w:r w:rsidRPr="00BC6A32">
        <w:rPr>
          <w:rFonts w:eastAsia="Times New Roman"/>
          <w:lang w:eastAsia="fr-FR"/>
        </w:rPr>
        <w:t>ISLC – institutions supérieures de lutte contre la corruption</w:t>
      </w:r>
    </w:p>
    <w:p w14:paraId="6C1BE78E" w14:textId="015EAC65" w:rsidR="00BE05C8" w:rsidRDefault="00BE05C8" w:rsidP="00BC6A32">
      <w:pPr>
        <w:spacing w:before="60" w:after="60"/>
        <w:rPr>
          <w:rFonts w:eastAsia="Times New Roman"/>
          <w:lang w:eastAsia="fr-FR"/>
        </w:rPr>
      </w:pPr>
      <w:r>
        <w:rPr>
          <w:rFonts w:eastAsia="Times New Roman"/>
          <w:lang w:eastAsia="fr-FR"/>
        </w:rPr>
        <w:t>ITIE – Initiative de Transparence des Industries Extractives</w:t>
      </w:r>
    </w:p>
    <w:p w14:paraId="7CE583A4" w14:textId="77777777" w:rsidR="00BC6A32" w:rsidRPr="00BC6A32" w:rsidRDefault="00BC6A32" w:rsidP="00BC6A32">
      <w:pPr>
        <w:spacing w:before="60" w:after="60"/>
        <w:rPr>
          <w:rFonts w:eastAsia="Times New Roman"/>
          <w:lang w:eastAsia="fr-FR"/>
        </w:rPr>
      </w:pPr>
      <w:r w:rsidRPr="00BC6A32">
        <w:rPr>
          <w:rFonts w:eastAsia="Times New Roman"/>
          <w:lang w:eastAsia="fr-FR"/>
        </w:rPr>
        <w:t xml:space="preserve">OBR – Office Burundais des Recettes  </w:t>
      </w:r>
    </w:p>
    <w:p w14:paraId="74DE9AF4" w14:textId="77777777" w:rsidR="00BC6A32" w:rsidRPr="00BC6A32" w:rsidRDefault="00BC6A32" w:rsidP="00BC6A32">
      <w:pPr>
        <w:spacing w:before="60" w:after="60"/>
        <w:rPr>
          <w:rFonts w:eastAsia="Times New Roman"/>
          <w:lang w:eastAsia="fr-FR"/>
        </w:rPr>
      </w:pPr>
      <w:r w:rsidRPr="00BC6A32">
        <w:rPr>
          <w:rFonts w:eastAsia="Times New Roman"/>
          <w:lang w:eastAsia="fr-FR"/>
        </w:rPr>
        <w:t>ONG – Organisation non-gouvernementale</w:t>
      </w:r>
    </w:p>
    <w:p w14:paraId="01BE798E" w14:textId="77777777" w:rsidR="00BC6A32" w:rsidRPr="003832AC" w:rsidRDefault="00BC6A32" w:rsidP="00BC6A32">
      <w:pPr>
        <w:spacing w:before="60" w:after="60"/>
        <w:rPr>
          <w:rFonts w:eastAsia="Times New Roman"/>
          <w:lang w:eastAsia="fr-FR"/>
        </w:rPr>
      </w:pPr>
      <w:r w:rsidRPr="003832AC">
        <w:rPr>
          <w:rFonts w:eastAsia="Times New Roman"/>
          <w:lang w:eastAsia="fr-FR"/>
        </w:rPr>
        <w:t>PBF – Peace Building Fund</w:t>
      </w:r>
    </w:p>
    <w:p w14:paraId="1BACAED7" w14:textId="77777777" w:rsidR="00BC6A32" w:rsidRPr="00BC6A32" w:rsidRDefault="00BC6A32" w:rsidP="00BC6A32">
      <w:pPr>
        <w:spacing w:before="60" w:after="60"/>
        <w:rPr>
          <w:rFonts w:eastAsia="Times New Roman"/>
          <w:lang w:eastAsia="fr-FR"/>
        </w:rPr>
      </w:pPr>
      <w:r w:rsidRPr="00BC6A32">
        <w:rPr>
          <w:rFonts w:eastAsia="Times New Roman"/>
          <w:lang w:eastAsia="fr-FR"/>
        </w:rPr>
        <w:t>SNBG –Stratégie Nationale à la Bonne Gouvernance</w:t>
      </w:r>
    </w:p>
    <w:p w14:paraId="4ABC3A00" w14:textId="77777777" w:rsidR="00BC6A32" w:rsidRPr="00BC6A32" w:rsidRDefault="00BC6A32" w:rsidP="00BC6A32">
      <w:pPr>
        <w:spacing w:before="60" w:after="60"/>
        <w:rPr>
          <w:rFonts w:eastAsia="Times New Roman"/>
          <w:lang w:eastAsia="fr-FR"/>
        </w:rPr>
      </w:pPr>
      <w:r w:rsidRPr="00BC6A32">
        <w:rPr>
          <w:rFonts w:eastAsia="Times New Roman"/>
          <w:lang w:eastAsia="fr-FR"/>
        </w:rPr>
        <w:t>SNU – Système des Nations Unies</w:t>
      </w:r>
    </w:p>
    <w:p w14:paraId="621992AF" w14:textId="77777777" w:rsidR="00BC6A32" w:rsidRPr="00BC6A32" w:rsidRDefault="00BC6A32" w:rsidP="00BC6A32">
      <w:pPr>
        <w:spacing w:before="60" w:after="60"/>
        <w:rPr>
          <w:rFonts w:eastAsia="Times New Roman"/>
          <w:lang w:eastAsia="fr-FR"/>
        </w:rPr>
      </w:pPr>
      <w:r w:rsidRPr="00BC6A32">
        <w:rPr>
          <w:rFonts w:eastAsia="Times New Roman"/>
          <w:lang w:eastAsia="fr-FR"/>
        </w:rPr>
        <w:t>UE – Union européenne</w:t>
      </w:r>
    </w:p>
    <w:p w14:paraId="289196A3" w14:textId="77777777" w:rsidR="00BC6A32" w:rsidRDefault="00BC6A32" w:rsidP="00BC6A32"/>
    <w:p w14:paraId="4CE62CD9" w14:textId="06E20976" w:rsidR="00BC6A32" w:rsidRPr="00BC6A32" w:rsidRDefault="0045311B" w:rsidP="00BC6A32">
      <w:pPr>
        <w:pStyle w:val="Titre1"/>
        <w:numPr>
          <w:ilvl w:val="0"/>
          <w:numId w:val="0"/>
        </w:numPr>
        <w:jc w:val="left"/>
      </w:pPr>
      <w:r>
        <w:br w:type="page"/>
      </w:r>
    </w:p>
    <w:p w14:paraId="6941CAD3" w14:textId="11250C78" w:rsidR="000E3DA8" w:rsidRDefault="000E3DA8" w:rsidP="00131C1A">
      <w:pPr>
        <w:pStyle w:val="Titre1"/>
        <w:numPr>
          <w:ilvl w:val="0"/>
          <w:numId w:val="0"/>
        </w:numPr>
        <w:ind w:left="432"/>
      </w:pPr>
      <w:bookmarkStart w:id="4" w:name="_Toc525115764"/>
      <w:bookmarkStart w:id="5" w:name="_Toc525510869"/>
      <w:bookmarkStart w:id="6" w:name="_Toc525626828"/>
      <w:r>
        <w:lastRenderedPageBreak/>
        <w:t>Table des Matières</w:t>
      </w:r>
      <w:bookmarkEnd w:id="1"/>
      <w:bookmarkEnd w:id="2"/>
      <w:bookmarkEnd w:id="4"/>
      <w:bookmarkEnd w:id="5"/>
      <w:bookmarkEnd w:id="6"/>
    </w:p>
    <w:p w14:paraId="05768093" w14:textId="4609C7E8" w:rsidR="00B02695" w:rsidRDefault="00711B4F">
      <w:pPr>
        <w:pStyle w:val="TM1"/>
        <w:tabs>
          <w:tab w:val="right" w:leader="dot" w:pos="8629"/>
        </w:tabs>
        <w:rPr>
          <w:rFonts w:eastAsiaTheme="minorEastAsia" w:cstheme="minorBidi"/>
          <w:b w:val="0"/>
          <w:bCs w:val="0"/>
          <w:caps w:val="0"/>
          <w:noProof/>
          <w:sz w:val="22"/>
          <w:szCs w:val="22"/>
          <w:u w:val="none"/>
          <w:lang w:eastAsia="fr-FR"/>
        </w:rPr>
      </w:pPr>
      <w:r>
        <w:fldChar w:fldCharType="begin"/>
      </w:r>
      <w:r>
        <w:instrText xml:space="preserve"> TOC \o "1-3" \h \z \u </w:instrText>
      </w:r>
      <w:r>
        <w:fldChar w:fldCharType="separate"/>
      </w:r>
      <w:hyperlink w:anchor="_Toc525626827" w:history="1">
        <w:r w:rsidR="00B02695" w:rsidRPr="001C24A8">
          <w:rPr>
            <w:rStyle w:val="Lienhypertexte"/>
            <w:noProof/>
          </w:rPr>
          <w:t>ACRONYMES</w:t>
        </w:r>
        <w:r w:rsidR="00B02695">
          <w:rPr>
            <w:noProof/>
            <w:webHidden/>
          </w:rPr>
          <w:tab/>
        </w:r>
        <w:r w:rsidR="00B02695">
          <w:rPr>
            <w:noProof/>
            <w:webHidden/>
          </w:rPr>
          <w:fldChar w:fldCharType="begin"/>
        </w:r>
        <w:r w:rsidR="00B02695">
          <w:rPr>
            <w:noProof/>
            <w:webHidden/>
          </w:rPr>
          <w:instrText xml:space="preserve"> PAGEREF _Toc525626827 \h </w:instrText>
        </w:r>
        <w:r w:rsidR="00B02695">
          <w:rPr>
            <w:noProof/>
            <w:webHidden/>
          </w:rPr>
        </w:r>
        <w:r w:rsidR="00B02695">
          <w:rPr>
            <w:noProof/>
            <w:webHidden/>
          </w:rPr>
          <w:fldChar w:fldCharType="separate"/>
        </w:r>
        <w:r w:rsidR="00045A5D">
          <w:rPr>
            <w:noProof/>
            <w:webHidden/>
          </w:rPr>
          <w:t>3</w:t>
        </w:r>
        <w:r w:rsidR="00B02695">
          <w:rPr>
            <w:noProof/>
            <w:webHidden/>
          </w:rPr>
          <w:fldChar w:fldCharType="end"/>
        </w:r>
      </w:hyperlink>
    </w:p>
    <w:p w14:paraId="63CA88BB" w14:textId="3D4186B9"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29" w:history="1">
        <w:r w:rsidR="00B02695" w:rsidRPr="001C24A8">
          <w:rPr>
            <w:rStyle w:val="Lienhypertexte"/>
            <w:noProof/>
          </w:rPr>
          <w:t>1</w:t>
        </w:r>
        <w:r w:rsidR="00B02695">
          <w:rPr>
            <w:rFonts w:eastAsiaTheme="minorEastAsia" w:cstheme="minorBidi"/>
            <w:b w:val="0"/>
            <w:bCs w:val="0"/>
            <w:caps w:val="0"/>
            <w:noProof/>
            <w:sz w:val="22"/>
            <w:szCs w:val="22"/>
            <w:u w:val="none"/>
            <w:lang w:eastAsia="fr-FR"/>
          </w:rPr>
          <w:tab/>
        </w:r>
        <w:r w:rsidR="00B02695" w:rsidRPr="001C24A8">
          <w:rPr>
            <w:rStyle w:val="Lienhypertexte"/>
            <w:noProof/>
          </w:rPr>
          <w:t>Introduction</w:t>
        </w:r>
        <w:r w:rsidR="00B02695">
          <w:rPr>
            <w:noProof/>
            <w:webHidden/>
          </w:rPr>
          <w:tab/>
        </w:r>
        <w:r w:rsidR="00B02695">
          <w:rPr>
            <w:noProof/>
            <w:webHidden/>
          </w:rPr>
          <w:fldChar w:fldCharType="begin"/>
        </w:r>
        <w:r w:rsidR="00B02695">
          <w:rPr>
            <w:noProof/>
            <w:webHidden/>
          </w:rPr>
          <w:instrText xml:space="preserve"> PAGEREF _Toc525626829 \h </w:instrText>
        </w:r>
        <w:r w:rsidR="00B02695">
          <w:rPr>
            <w:noProof/>
            <w:webHidden/>
          </w:rPr>
        </w:r>
        <w:r w:rsidR="00B02695">
          <w:rPr>
            <w:noProof/>
            <w:webHidden/>
          </w:rPr>
          <w:fldChar w:fldCharType="separate"/>
        </w:r>
        <w:r w:rsidR="00045A5D">
          <w:rPr>
            <w:noProof/>
            <w:webHidden/>
          </w:rPr>
          <w:t>5</w:t>
        </w:r>
        <w:r w:rsidR="00B02695">
          <w:rPr>
            <w:noProof/>
            <w:webHidden/>
          </w:rPr>
          <w:fldChar w:fldCharType="end"/>
        </w:r>
      </w:hyperlink>
    </w:p>
    <w:p w14:paraId="6BEC49CB" w14:textId="732070D8"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30" w:history="1">
        <w:r w:rsidR="00B02695" w:rsidRPr="001C24A8">
          <w:rPr>
            <w:rStyle w:val="Lienhypertexte"/>
            <w:noProof/>
          </w:rPr>
          <w:t>2</w:t>
        </w:r>
        <w:r w:rsidR="00B02695">
          <w:rPr>
            <w:rFonts w:eastAsiaTheme="minorEastAsia" w:cstheme="minorBidi"/>
            <w:b w:val="0"/>
            <w:bCs w:val="0"/>
            <w:caps w:val="0"/>
            <w:noProof/>
            <w:sz w:val="22"/>
            <w:szCs w:val="22"/>
            <w:u w:val="none"/>
            <w:lang w:eastAsia="fr-FR"/>
          </w:rPr>
          <w:tab/>
        </w:r>
        <w:r w:rsidR="00B02695" w:rsidRPr="001C24A8">
          <w:rPr>
            <w:rStyle w:val="Lienhypertexte"/>
            <w:noProof/>
          </w:rPr>
          <w:t>Contexte</w:t>
        </w:r>
        <w:r w:rsidR="00B02695">
          <w:rPr>
            <w:noProof/>
            <w:webHidden/>
          </w:rPr>
          <w:tab/>
        </w:r>
        <w:r w:rsidR="00B02695">
          <w:rPr>
            <w:noProof/>
            <w:webHidden/>
          </w:rPr>
          <w:fldChar w:fldCharType="begin"/>
        </w:r>
        <w:r w:rsidR="00B02695">
          <w:rPr>
            <w:noProof/>
            <w:webHidden/>
          </w:rPr>
          <w:instrText xml:space="preserve"> PAGEREF _Toc525626830 \h </w:instrText>
        </w:r>
        <w:r w:rsidR="00B02695">
          <w:rPr>
            <w:noProof/>
            <w:webHidden/>
          </w:rPr>
        </w:r>
        <w:r w:rsidR="00B02695">
          <w:rPr>
            <w:noProof/>
            <w:webHidden/>
          </w:rPr>
          <w:fldChar w:fldCharType="separate"/>
        </w:r>
        <w:r w:rsidR="00045A5D">
          <w:rPr>
            <w:noProof/>
            <w:webHidden/>
          </w:rPr>
          <w:t>5</w:t>
        </w:r>
        <w:r w:rsidR="00B02695">
          <w:rPr>
            <w:noProof/>
            <w:webHidden/>
          </w:rPr>
          <w:fldChar w:fldCharType="end"/>
        </w:r>
      </w:hyperlink>
    </w:p>
    <w:p w14:paraId="62D7E51C" w14:textId="1A98D272"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31" w:history="1">
        <w:r w:rsidR="00B02695" w:rsidRPr="001C24A8">
          <w:rPr>
            <w:rStyle w:val="Lienhypertexte"/>
            <w:noProof/>
          </w:rPr>
          <w:t>3</w:t>
        </w:r>
        <w:r w:rsidR="00B02695">
          <w:rPr>
            <w:rFonts w:eastAsiaTheme="minorEastAsia" w:cstheme="minorBidi"/>
            <w:b w:val="0"/>
            <w:bCs w:val="0"/>
            <w:caps w:val="0"/>
            <w:noProof/>
            <w:sz w:val="22"/>
            <w:szCs w:val="22"/>
            <w:u w:val="none"/>
            <w:lang w:eastAsia="fr-FR"/>
          </w:rPr>
          <w:tab/>
        </w:r>
        <w:r w:rsidR="00B02695" w:rsidRPr="001C24A8">
          <w:rPr>
            <w:rStyle w:val="Lienhypertexte"/>
            <w:noProof/>
          </w:rPr>
          <w:t>Objet de l’évaluation</w:t>
        </w:r>
        <w:r w:rsidR="00B02695">
          <w:rPr>
            <w:noProof/>
            <w:webHidden/>
          </w:rPr>
          <w:tab/>
        </w:r>
        <w:r w:rsidR="00B02695">
          <w:rPr>
            <w:noProof/>
            <w:webHidden/>
          </w:rPr>
          <w:fldChar w:fldCharType="begin"/>
        </w:r>
        <w:r w:rsidR="00B02695">
          <w:rPr>
            <w:noProof/>
            <w:webHidden/>
          </w:rPr>
          <w:instrText xml:space="preserve"> PAGEREF _Toc525626831 \h </w:instrText>
        </w:r>
        <w:r w:rsidR="00B02695">
          <w:rPr>
            <w:noProof/>
            <w:webHidden/>
          </w:rPr>
        </w:r>
        <w:r w:rsidR="00B02695">
          <w:rPr>
            <w:noProof/>
            <w:webHidden/>
          </w:rPr>
          <w:fldChar w:fldCharType="separate"/>
        </w:r>
        <w:r w:rsidR="00045A5D">
          <w:rPr>
            <w:noProof/>
            <w:webHidden/>
          </w:rPr>
          <w:t>7</w:t>
        </w:r>
        <w:r w:rsidR="00B02695">
          <w:rPr>
            <w:noProof/>
            <w:webHidden/>
          </w:rPr>
          <w:fldChar w:fldCharType="end"/>
        </w:r>
      </w:hyperlink>
    </w:p>
    <w:p w14:paraId="0F7D4076" w14:textId="45249613"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32" w:history="1">
        <w:r w:rsidR="00B02695" w:rsidRPr="001C24A8">
          <w:rPr>
            <w:rStyle w:val="Lienhypertexte"/>
            <w:noProof/>
          </w:rPr>
          <w:t>4</w:t>
        </w:r>
        <w:r w:rsidR="00B02695">
          <w:rPr>
            <w:rFonts w:eastAsiaTheme="minorEastAsia" w:cstheme="minorBidi"/>
            <w:b w:val="0"/>
            <w:bCs w:val="0"/>
            <w:caps w:val="0"/>
            <w:noProof/>
            <w:sz w:val="22"/>
            <w:szCs w:val="22"/>
            <w:u w:val="none"/>
            <w:lang w:eastAsia="fr-FR"/>
          </w:rPr>
          <w:tab/>
        </w:r>
        <w:r w:rsidR="00B02695" w:rsidRPr="001C24A8">
          <w:rPr>
            <w:rStyle w:val="Lienhypertexte"/>
            <w:noProof/>
          </w:rPr>
          <w:t>Méthodologie</w:t>
        </w:r>
        <w:r w:rsidR="00B02695">
          <w:rPr>
            <w:noProof/>
            <w:webHidden/>
          </w:rPr>
          <w:tab/>
        </w:r>
        <w:r w:rsidR="00B02695">
          <w:rPr>
            <w:noProof/>
            <w:webHidden/>
          </w:rPr>
          <w:fldChar w:fldCharType="begin"/>
        </w:r>
        <w:r w:rsidR="00B02695">
          <w:rPr>
            <w:noProof/>
            <w:webHidden/>
          </w:rPr>
          <w:instrText xml:space="preserve"> PAGEREF _Toc525626832 \h </w:instrText>
        </w:r>
        <w:r w:rsidR="00B02695">
          <w:rPr>
            <w:noProof/>
            <w:webHidden/>
          </w:rPr>
        </w:r>
        <w:r w:rsidR="00B02695">
          <w:rPr>
            <w:noProof/>
            <w:webHidden/>
          </w:rPr>
          <w:fldChar w:fldCharType="separate"/>
        </w:r>
        <w:r w:rsidR="00045A5D">
          <w:rPr>
            <w:noProof/>
            <w:webHidden/>
          </w:rPr>
          <w:t>8</w:t>
        </w:r>
        <w:r w:rsidR="00B02695">
          <w:rPr>
            <w:noProof/>
            <w:webHidden/>
          </w:rPr>
          <w:fldChar w:fldCharType="end"/>
        </w:r>
      </w:hyperlink>
    </w:p>
    <w:p w14:paraId="531EA7D0" w14:textId="7CC063AC"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33" w:history="1">
        <w:r w:rsidR="00B02695" w:rsidRPr="001C24A8">
          <w:rPr>
            <w:rStyle w:val="Lienhypertexte"/>
            <w:noProof/>
          </w:rPr>
          <w:t>4.1</w:t>
        </w:r>
        <w:r w:rsidR="00B02695">
          <w:rPr>
            <w:rFonts w:eastAsiaTheme="minorEastAsia" w:cstheme="minorBidi"/>
            <w:b w:val="0"/>
            <w:bCs w:val="0"/>
            <w:smallCaps w:val="0"/>
            <w:noProof/>
            <w:sz w:val="22"/>
            <w:szCs w:val="22"/>
            <w:lang w:eastAsia="fr-FR"/>
          </w:rPr>
          <w:tab/>
        </w:r>
        <w:r w:rsidR="00B02695" w:rsidRPr="001C24A8">
          <w:rPr>
            <w:rStyle w:val="Lienhypertexte"/>
            <w:noProof/>
          </w:rPr>
          <w:t>Objectif de l’évaluation</w:t>
        </w:r>
        <w:r w:rsidR="00B02695">
          <w:rPr>
            <w:noProof/>
            <w:webHidden/>
          </w:rPr>
          <w:tab/>
        </w:r>
        <w:r w:rsidR="00B02695">
          <w:rPr>
            <w:noProof/>
            <w:webHidden/>
          </w:rPr>
          <w:fldChar w:fldCharType="begin"/>
        </w:r>
        <w:r w:rsidR="00B02695">
          <w:rPr>
            <w:noProof/>
            <w:webHidden/>
          </w:rPr>
          <w:instrText xml:space="preserve"> PAGEREF _Toc525626833 \h </w:instrText>
        </w:r>
        <w:r w:rsidR="00B02695">
          <w:rPr>
            <w:noProof/>
            <w:webHidden/>
          </w:rPr>
        </w:r>
        <w:r w:rsidR="00B02695">
          <w:rPr>
            <w:noProof/>
            <w:webHidden/>
          </w:rPr>
          <w:fldChar w:fldCharType="separate"/>
        </w:r>
        <w:r w:rsidR="00045A5D">
          <w:rPr>
            <w:noProof/>
            <w:webHidden/>
          </w:rPr>
          <w:t>8</w:t>
        </w:r>
        <w:r w:rsidR="00B02695">
          <w:rPr>
            <w:noProof/>
            <w:webHidden/>
          </w:rPr>
          <w:fldChar w:fldCharType="end"/>
        </w:r>
      </w:hyperlink>
    </w:p>
    <w:p w14:paraId="5A18B233" w14:textId="1202637B"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34" w:history="1">
        <w:r w:rsidR="00B02695" w:rsidRPr="001C24A8">
          <w:rPr>
            <w:rStyle w:val="Lienhypertexte"/>
            <w:noProof/>
          </w:rPr>
          <w:t>4.2</w:t>
        </w:r>
        <w:r w:rsidR="00B02695">
          <w:rPr>
            <w:rFonts w:eastAsiaTheme="minorEastAsia" w:cstheme="minorBidi"/>
            <w:b w:val="0"/>
            <w:bCs w:val="0"/>
            <w:smallCaps w:val="0"/>
            <w:noProof/>
            <w:sz w:val="22"/>
            <w:szCs w:val="22"/>
            <w:lang w:eastAsia="fr-FR"/>
          </w:rPr>
          <w:tab/>
        </w:r>
        <w:r w:rsidR="00B02695" w:rsidRPr="001C24A8">
          <w:rPr>
            <w:rStyle w:val="Lienhypertexte"/>
            <w:noProof/>
          </w:rPr>
          <w:t>Champ de l’évaluation</w:t>
        </w:r>
        <w:r w:rsidR="00B02695">
          <w:rPr>
            <w:noProof/>
            <w:webHidden/>
          </w:rPr>
          <w:tab/>
        </w:r>
        <w:r w:rsidR="00B02695">
          <w:rPr>
            <w:noProof/>
            <w:webHidden/>
          </w:rPr>
          <w:fldChar w:fldCharType="begin"/>
        </w:r>
        <w:r w:rsidR="00B02695">
          <w:rPr>
            <w:noProof/>
            <w:webHidden/>
          </w:rPr>
          <w:instrText xml:space="preserve"> PAGEREF _Toc525626834 \h </w:instrText>
        </w:r>
        <w:r w:rsidR="00B02695">
          <w:rPr>
            <w:noProof/>
            <w:webHidden/>
          </w:rPr>
        </w:r>
        <w:r w:rsidR="00B02695">
          <w:rPr>
            <w:noProof/>
            <w:webHidden/>
          </w:rPr>
          <w:fldChar w:fldCharType="separate"/>
        </w:r>
        <w:r w:rsidR="00045A5D">
          <w:rPr>
            <w:noProof/>
            <w:webHidden/>
          </w:rPr>
          <w:t>9</w:t>
        </w:r>
        <w:r w:rsidR="00B02695">
          <w:rPr>
            <w:noProof/>
            <w:webHidden/>
          </w:rPr>
          <w:fldChar w:fldCharType="end"/>
        </w:r>
      </w:hyperlink>
    </w:p>
    <w:p w14:paraId="00792DFD" w14:textId="5B226C02"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35" w:history="1">
        <w:r w:rsidR="00B02695" w:rsidRPr="001C24A8">
          <w:rPr>
            <w:rStyle w:val="Lienhypertexte"/>
            <w:noProof/>
          </w:rPr>
          <w:t>4.3</w:t>
        </w:r>
        <w:r w:rsidR="00B02695">
          <w:rPr>
            <w:rFonts w:eastAsiaTheme="minorEastAsia" w:cstheme="minorBidi"/>
            <w:b w:val="0"/>
            <w:bCs w:val="0"/>
            <w:smallCaps w:val="0"/>
            <w:noProof/>
            <w:sz w:val="22"/>
            <w:szCs w:val="22"/>
            <w:lang w:eastAsia="fr-FR"/>
          </w:rPr>
          <w:tab/>
        </w:r>
        <w:r w:rsidR="00B02695" w:rsidRPr="001C24A8">
          <w:rPr>
            <w:rStyle w:val="Lienhypertexte"/>
            <w:noProof/>
          </w:rPr>
          <w:t>Approche</w:t>
        </w:r>
        <w:r w:rsidR="00B02695">
          <w:rPr>
            <w:noProof/>
            <w:webHidden/>
          </w:rPr>
          <w:tab/>
        </w:r>
        <w:r w:rsidR="00B02695">
          <w:rPr>
            <w:noProof/>
            <w:webHidden/>
          </w:rPr>
          <w:fldChar w:fldCharType="begin"/>
        </w:r>
        <w:r w:rsidR="00B02695">
          <w:rPr>
            <w:noProof/>
            <w:webHidden/>
          </w:rPr>
          <w:instrText xml:space="preserve"> PAGEREF _Toc525626835 \h </w:instrText>
        </w:r>
        <w:r w:rsidR="00B02695">
          <w:rPr>
            <w:noProof/>
            <w:webHidden/>
          </w:rPr>
        </w:r>
        <w:r w:rsidR="00B02695">
          <w:rPr>
            <w:noProof/>
            <w:webHidden/>
          </w:rPr>
          <w:fldChar w:fldCharType="separate"/>
        </w:r>
        <w:r w:rsidR="00045A5D">
          <w:rPr>
            <w:noProof/>
            <w:webHidden/>
          </w:rPr>
          <w:t>9</w:t>
        </w:r>
        <w:r w:rsidR="00B02695">
          <w:rPr>
            <w:noProof/>
            <w:webHidden/>
          </w:rPr>
          <w:fldChar w:fldCharType="end"/>
        </w:r>
      </w:hyperlink>
    </w:p>
    <w:p w14:paraId="43E6061F" w14:textId="72C83E56"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36" w:history="1">
        <w:r w:rsidR="00B02695" w:rsidRPr="001C24A8">
          <w:rPr>
            <w:rStyle w:val="Lienhypertexte"/>
            <w:noProof/>
          </w:rPr>
          <w:t>4.4</w:t>
        </w:r>
        <w:r w:rsidR="00B02695">
          <w:rPr>
            <w:rFonts w:eastAsiaTheme="minorEastAsia" w:cstheme="minorBidi"/>
            <w:b w:val="0"/>
            <w:bCs w:val="0"/>
            <w:smallCaps w:val="0"/>
            <w:noProof/>
            <w:sz w:val="22"/>
            <w:szCs w:val="22"/>
            <w:lang w:eastAsia="fr-FR"/>
          </w:rPr>
          <w:tab/>
        </w:r>
        <w:r w:rsidR="00B02695" w:rsidRPr="001C24A8">
          <w:rPr>
            <w:rStyle w:val="Lienhypertexte"/>
            <w:noProof/>
          </w:rPr>
          <w:t>Outils de collecte de données</w:t>
        </w:r>
        <w:r w:rsidR="00B02695">
          <w:rPr>
            <w:noProof/>
            <w:webHidden/>
          </w:rPr>
          <w:tab/>
        </w:r>
        <w:r w:rsidR="00B02695">
          <w:rPr>
            <w:noProof/>
            <w:webHidden/>
          </w:rPr>
          <w:fldChar w:fldCharType="begin"/>
        </w:r>
        <w:r w:rsidR="00B02695">
          <w:rPr>
            <w:noProof/>
            <w:webHidden/>
          </w:rPr>
          <w:instrText xml:space="preserve"> PAGEREF _Toc525626836 \h </w:instrText>
        </w:r>
        <w:r w:rsidR="00B02695">
          <w:rPr>
            <w:noProof/>
            <w:webHidden/>
          </w:rPr>
        </w:r>
        <w:r w:rsidR="00B02695">
          <w:rPr>
            <w:noProof/>
            <w:webHidden/>
          </w:rPr>
          <w:fldChar w:fldCharType="separate"/>
        </w:r>
        <w:r w:rsidR="00045A5D">
          <w:rPr>
            <w:noProof/>
            <w:webHidden/>
          </w:rPr>
          <w:t>10</w:t>
        </w:r>
        <w:r w:rsidR="00B02695">
          <w:rPr>
            <w:noProof/>
            <w:webHidden/>
          </w:rPr>
          <w:fldChar w:fldCharType="end"/>
        </w:r>
      </w:hyperlink>
    </w:p>
    <w:p w14:paraId="6A85AA7A" w14:textId="025B6A69"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37" w:history="1">
        <w:r w:rsidR="00B02695" w:rsidRPr="001C24A8">
          <w:rPr>
            <w:rStyle w:val="Lienhypertexte"/>
            <w:noProof/>
          </w:rPr>
          <w:t>4.5</w:t>
        </w:r>
        <w:r w:rsidR="00B02695">
          <w:rPr>
            <w:rFonts w:eastAsiaTheme="minorEastAsia" w:cstheme="minorBidi"/>
            <w:b w:val="0"/>
            <w:bCs w:val="0"/>
            <w:smallCaps w:val="0"/>
            <w:noProof/>
            <w:sz w:val="22"/>
            <w:szCs w:val="22"/>
            <w:lang w:eastAsia="fr-FR"/>
          </w:rPr>
          <w:tab/>
        </w:r>
        <w:r w:rsidR="00B02695" w:rsidRPr="001C24A8">
          <w:rPr>
            <w:rStyle w:val="Lienhypertexte"/>
            <w:noProof/>
          </w:rPr>
          <w:t>Risques et stratégies de prévention des risques</w:t>
        </w:r>
        <w:r w:rsidR="00B02695">
          <w:rPr>
            <w:noProof/>
            <w:webHidden/>
          </w:rPr>
          <w:tab/>
        </w:r>
        <w:r w:rsidR="00B02695">
          <w:rPr>
            <w:noProof/>
            <w:webHidden/>
          </w:rPr>
          <w:fldChar w:fldCharType="begin"/>
        </w:r>
        <w:r w:rsidR="00B02695">
          <w:rPr>
            <w:noProof/>
            <w:webHidden/>
          </w:rPr>
          <w:instrText xml:space="preserve"> PAGEREF _Toc525626837 \h </w:instrText>
        </w:r>
        <w:r w:rsidR="00B02695">
          <w:rPr>
            <w:noProof/>
            <w:webHidden/>
          </w:rPr>
        </w:r>
        <w:r w:rsidR="00B02695">
          <w:rPr>
            <w:noProof/>
            <w:webHidden/>
          </w:rPr>
          <w:fldChar w:fldCharType="separate"/>
        </w:r>
        <w:r w:rsidR="00045A5D">
          <w:rPr>
            <w:noProof/>
            <w:webHidden/>
          </w:rPr>
          <w:t>10</w:t>
        </w:r>
        <w:r w:rsidR="00B02695">
          <w:rPr>
            <w:noProof/>
            <w:webHidden/>
          </w:rPr>
          <w:fldChar w:fldCharType="end"/>
        </w:r>
      </w:hyperlink>
    </w:p>
    <w:p w14:paraId="24EA001C" w14:textId="17A26D78"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38" w:history="1">
        <w:r w:rsidR="00B02695" w:rsidRPr="001C24A8">
          <w:rPr>
            <w:rStyle w:val="Lienhypertexte"/>
            <w:noProof/>
          </w:rPr>
          <w:t>4.6</w:t>
        </w:r>
        <w:r w:rsidR="00B02695">
          <w:rPr>
            <w:rFonts w:eastAsiaTheme="minorEastAsia" w:cstheme="minorBidi"/>
            <w:b w:val="0"/>
            <w:bCs w:val="0"/>
            <w:smallCaps w:val="0"/>
            <w:noProof/>
            <w:sz w:val="22"/>
            <w:szCs w:val="22"/>
            <w:lang w:eastAsia="fr-FR"/>
          </w:rPr>
          <w:tab/>
        </w:r>
        <w:r w:rsidR="00B02695" w:rsidRPr="001C24A8">
          <w:rPr>
            <w:rStyle w:val="Lienhypertexte"/>
            <w:noProof/>
          </w:rPr>
          <w:t>Analyse des acteurs</w:t>
        </w:r>
        <w:r w:rsidR="00B02695">
          <w:rPr>
            <w:noProof/>
            <w:webHidden/>
          </w:rPr>
          <w:tab/>
        </w:r>
        <w:r w:rsidR="00B02695">
          <w:rPr>
            <w:noProof/>
            <w:webHidden/>
          </w:rPr>
          <w:fldChar w:fldCharType="begin"/>
        </w:r>
        <w:r w:rsidR="00B02695">
          <w:rPr>
            <w:noProof/>
            <w:webHidden/>
          </w:rPr>
          <w:instrText xml:space="preserve"> PAGEREF _Toc525626838 \h </w:instrText>
        </w:r>
        <w:r w:rsidR="00B02695">
          <w:rPr>
            <w:noProof/>
            <w:webHidden/>
          </w:rPr>
        </w:r>
        <w:r w:rsidR="00B02695">
          <w:rPr>
            <w:noProof/>
            <w:webHidden/>
          </w:rPr>
          <w:fldChar w:fldCharType="separate"/>
        </w:r>
        <w:r w:rsidR="00045A5D">
          <w:rPr>
            <w:noProof/>
            <w:webHidden/>
          </w:rPr>
          <w:t>11</w:t>
        </w:r>
        <w:r w:rsidR="00B02695">
          <w:rPr>
            <w:noProof/>
            <w:webHidden/>
          </w:rPr>
          <w:fldChar w:fldCharType="end"/>
        </w:r>
      </w:hyperlink>
    </w:p>
    <w:p w14:paraId="4012FA54" w14:textId="4F68CDA6"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39" w:history="1">
        <w:r w:rsidR="00B02695" w:rsidRPr="001C24A8">
          <w:rPr>
            <w:rStyle w:val="Lienhypertexte"/>
            <w:noProof/>
          </w:rPr>
          <w:t>5</w:t>
        </w:r>
        <w:r w:rsidR="00B02695">
          <w:rPr>
            <w:rFonts w:eastAsiaTheme="minorEastAsia" w:cstheme="minorBidi"/>
            <w:b w:val="0"/>
            <w:bCs w:val="0"/>
            <w:caps w:val="0"/>
            <w:noProof/>
            <w:sz w:val="22"/>
            <w:szCs w:val="22"/>
            <w:u w:val="none"/>
            <w:lang w:eastAsia="fr-FR"/>
          </w:rPr>
          <w:tab/>
        </w:r>
        <w:r w:rsidR="00B02695" w:rsidRPr="001C24A8">
          <w:rPr>
            <w:rStyle w:val="Lienhypertexte"/>
            <w:noProof/>
          </w:rPr>
          <w:t>Constats principaux</w:t>
        </w:r>
        <w:r w:rsidR="00B02695">
          <w:rPr>
            <w:noProof/>
            <w:webHidden/>
          </w:rPr>
          <w:tab/>
        </w:r>
        <w:r w:rsidR="00B02695">
          <w:rPr>
            <w:noProof/>
            <w:webHidden/>
          </w:rPr>
          <w:fldChar w:fldCharType="begin"/>
        </w:r>
        <w:r w:rsidR="00B02695">
          <w:rPr>
            <w:noProof/>
            <w:webHidden/>
          </w:rPr>
          <w:instrText xml:space="preserve"> PAGEREF _Toc525626839 \h </w:instrText>
        </w:r>
        <w:r w:rsidR="00B02695">
          <w:rPr>
            <w:noProof/>
            <w:webHidden/>
          </w:rPr>
        </w:r>
        <w:r w:rsidR="00B02695">
          <w:rPr>
            <w:noProof/>
            <w:webHidden/>
          </w:rPr>
          <w:fldChar w:fldCharType="separate"/>
        </w:r>
        <w:r w:rsidR="00045A5D">
          <w:rPr>
            <w:noProof/>
            <w:webHidden/>
          </w:rPr>
          <w:t>12</w:t>
        </w:r>
        <w:r w:rsidR="00B02695">
          <w:rPr>
            <w:noProof/>
            <w:webHidden/>
          </w:rPr>
          <w:fldChar w:fldCharType="end"/>
        </w:r>
      </w:hyperlink>
    </w:p>
    <w:p w14:paraId="331A3F49" w14:textId="3F2FAB27"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40" w:history="1">
        <w:r w:rsidR="00B02695" w:rsidRPr="001C24A8">
          <w:rPr>
            <w:rStyle w:val="Lienhypertexte"/>
            <w:noProof/>
          </w:rPr>
          <w:t>5.1</w:t>
        </w:r>
        <w:r w:rsidR="00B02695">
          <w:rPr>
            <w:rFonts w:eastAsiaTheme="minorEastAsia" w:cstheme="minorBidi"/>
            <w:b w:val="0"/>
            <w:bCs w:val="0"/>
            <w:smallCaps w:val="0"/>
            <w:noProof/>
            <w:sz w:val="22"/>
            <w:szCs w:val="22"/>
            <w:lang w:eastAsia="fr-FR"/>
          </w:rPr>
          <w:tab/>
        </w:r>
        <w:r w:rsidR="00B02695" w:rsidRPr="001C24A8">
          <w:rPr>
            <w:rStyle w:val="Lienhypertexte"/>
            <w:noProof/>
          </w:rPr>
          <w:t>Pertinence</w:t>
        </w:r>
        <w:r w:rsidR="00B02695">
          <w:rPr>
            <w:noProof/>
            <w:webHidden/>
          </w:rPr>
          <w:tab/>
        </w:r>
        <w:r w:rsidR="00B02695">
          <w:rPr>
            <w:noProof/>
            <w:webHidden/>
          </w:rPr>
          <w:fldChar w:fldCharType="begin"/>
        </w:r>
        <w:r w:rsidR="00B02695">
          <w:rPr>
            <w:noProof/>
            <w:webHidden/>
          </w:rPr>
          <w:instrText xml:space="preserve"> PAGEREF _Toc525626840 \h </w:instrText>
        </w:r>
        <w:r w:rsidR="00B02695">
          <w:rPr>
            <w:noProof/>
            <w:webHidden/>
          </w:rPr>
        </w:r>
        <w:r w:rsidR="00B02695">
          <w:rPr>
            <w:noProof/>
            <w:webHidden/>
          </w:rPr>
          <w:fldChar w:fldCharType="separate"/>
        </w:r>
        <w:r w:rsidR="00045A5D">
          <w:rPr>
            <w:noProof/>
            <w:webHidden/>
          </w:rPr>
          <w:t>12</w:t>
        </w:r>
        <w:r w:rsidR="00B02695">
          <w:rPr>
            <w:noProof/>
            <w:webHidden/>
          </w:rPr>
          <w:fldChar w:fldCharType="end"/>
        </w:r>
      </w:hyperlink>
    </w:p>
    <w:p w14:paraId="10FA9409" w14:textId="1B68B176"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1" w:history="1">
        <w:r w:rsidR="00B02695" w:rsidRPr="001C24A8">
          <w:rPr>
            <w:rStyle w:val="Lienhypertexte"/>
            <w:noProof/>
          </w:rPr>
          <w:t>5.1.1</w:t>
        </w:r>
        <w:r w:rsidR="00B02695">
          <w:rPr>
            <w:rFonts w:eastAsiaTheme="minorEastAsia" w:cstheme="minorBidi"/>
            <w:smallCaps w:val="0"/>
            <w:noProof/>
            <w:sz w:val="22"/>
            <w:szCs w:val="22"/>
            <w:lang w:eastAsia="fr-FR"/>
          </w:rPr>
          <w:tab/>
        </w:r>
        <w:r w:rsidR="00B02695" w:rsidRPr="001C24A8">
          <w:rPr>
            <w:rStyle w:val="Lienhypertexte"/>
            <w:noProof/>
          </w:rPr>
          <w:t>Adéquation au contexte</w:t>
        </w:r>
        <w:r w:rsidR="00B02695">
          <w:rPr>
            <w:noProof/>
            <w:webHidden/>
          </w:rPr>
          <w:tab/>
        </w:r>
        <w:r w:rsidR="00B02695">
          <w:rPr>
            <w:noProof/>
            <w:webHidden/>
          </w:rPr>
          <w:fldChar w:fldCharType="begin"/>
        </w:r>
        <w:r w:rsidR="00B02695">
          <w:rPr>
            <w:noProof/>
            <w:webHidden/>
          </w:rPr>
          <w:instrText xml:space="preserve"> PAGEREF _Toc525626841 \h </w:instrText>
        </w:r>
        <w:r w:rsidR="00B02695">
          <w:rPr>
            <w:noProof/>
            <w:webHidden/>
          </w:rPr>
        </w:r>
        <w:r w:rsidR="00B02695">
          <w:rPr>
            <w:noProof/>
            <w:webHidden/>
          </w:rPr>
          <w:fldChar w:fldCharType="separate"/>
        </w:r>
        <w:r w:rsidR="00045A5D">
          <w:rPr>
            <w:noProof/>
            <w:webHidden/>
          </w:rPr>
          <w:t>12</w:t>
        </w:r>
        <w:r w:rsidR="00B02695">
          <w:rPr>
            <w:noProof/>
            <w:webHidden/>
          </w:rPr>
          <w:fldChar w:fldCharType="end"/>
        </w:r>
      </w:hyperlink>
    </w:p>
    <w:p w14:paraId="780DDFCE" w14:textId="5A77E7A2"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2" w:history="1">
        <w:r w:rsidR="00B02695" w:rsidRPr="001C24A8">
          <w:rPr>
            <w:rStyle w:val="Lienhypertexte"/>
            <w:noProof/>
          </w:rPr>
          <w:t>5.1.2</w:t>
        </w:r>
        <w:r w:rsidR="00B02695">
          <w:rPr>
            <w:rFonts w:eastAsiaTheme="minorEastAsia" w:cstheme="minorBidi"/>
            <w:smallCaps w:val="0"/>
            <w:noProof/>
            <w:sz w:val="22"/>
            <w:szCs w:val="22"/>
            <w:lang w:eastAsia="fr-FR"/>
          </w:rPr>
          <w:tab/>
        </w:r>
        <w:r w:rsidR="00B02695" w:rsidRPr="001C24A8">
          <w:rPr>
            <w:rStyle w:val="Lienhypertexte"/>
            <w:noProof/>
          </w:rPr>
          <w:t>Logique d’intervention</w:t>
        </w:r>
        <w:r w:rsidR="00B02695">
          <w:rPr>
            <w:noProof/>
            <w:webHidden/>
          </w:rPr>
          <w:tab/>
        </w:r>
        <w:r w:rsidR="00B02695">
          <w:rPr>
            <w:noProof/>
            <w:webHidden/>
          </w:rPr>
          <w:fldChar w:fldCharType="begin"/>
        </w:r>
        <w:r w:rsidR="00B02695">
          <w:rPr>
            <w:noProof/>
            <w:webHidden/>
          </w:rPr>
          <w:instrText xml:space="preserve"> PAGEREF _Toc525626842 \h </w:instrText>
        </w:r>
        <w:r w:rsidR="00B02695">
          <w:rPr>
            <w:noProof/>
            <w:webHidden/>
          </w:rPr>
        </w:r>
        <w:r w:rsidR="00B02695">
          <w:rPr>
            <w:noProof/>
            <w:webHidden/>
          </w:rPr>
          <w:fldChar w:fldCharType="separate"/>
        </w:r>
        <w:r w:rsidR="00045A5D">
          <w:rPr>
            <w:noProof/>
            <w:webHidden/>
          </w:rPr>
          <w:t>13</w:t>
        </w:r>
        <w:r w:rsidR="00B02695">
          <w:rPr>
            <w:noProof/>
            <w:webHidden/>
          </w:rPr>
          <w:fldChar w:fldCharType="end"/>
        </w:r>
      </w:hyperlink>
    </w:p>
    <w:p w14:paraId="474FC710" w14:textId="648E6EE1"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3" w:history="1">
        <w:r w:rsidR="00B02695" w:rsidRPr="001C24A8">
          <w:rPr>
            <w:rStyle w:val="Lienhypertexte"/>
            <w:noProof/>
          </w:rPr>
          <w:t>5.1.3</w:t>
        </w:r>
        <w:r w:rsidR="00B02695">
          <w:rPr>
            <w:rFonts w:eastAsiaTheme="minorEastAsia" w:cstheme="minorBidi"/>
            <w:smallCaps w:val="0"/>
            <w:noProof/>
            <w:sz w:val="22"/>
            <w:szCs w:val="22"/>
            <w:lang w:eastAsia="fr-FR"/>
          </w:rPr>
          <w:tab/>
        </w:r>
        <w:r w:rsidR="00B02695" w:rsidRPr="001C24A8">
          <w:rPr>
            <w:rStyle w:val="Lienhypertexte"/>
            <w:noProof/>
          </w:rPr>
          <w:t>Mandat du PNUD</w:t>
        </w:r>
        <w:r w:rsidR="00B02695">
          <w:rPr>
            <w:noProof/>
            <w:webHidden/>
          </w:rPr>
          <w:tab/>
        </w:r>
        <w:r w:rsidR="00B02695">
          <w:rPr>
            <w:noProof/>
            <w:webHidden/>
          </w:rPr>
          <w:fldChar w:fldCharType="begin"/>
        </w:r>
        <w:r w:rsidR="00B02695">
          <w:rPr>
            <w:noProof/>
            <w:webHidden/>
          </w:rPr>
          <w:instrText xml:space="preserve"> PAGEREF _Toc525626843 \h </w:instrText>
        </w:r>
        <w:r w:rsidR="00B02695">
          <w:rPr>
            <w:noProof/>
            <w:webHidden/>
          </w:rPr>
        </w:r>
        <w:r w:rsidR="00B02695">
          <w:rPr>
            <w:noProof/>
            <w:webHidden/>
          </w:rPr>
          <w:fldChar w:fldCharType="separate"/>
        </w:r>
        <w:r w:rsidR="00045A5D">
          <w:rPr>
            <w:noProof/>
            <w:webHidden/>
          </w:rPr>
          <w:t>15</w:t>
        </w:r>
        <w:r w:rsidR="00B02695">
          <w:rPr>
            <w:noProof/>
            <w:webHidden/>
          </w:rPr>
          <w:fldChar w:fldCharType="end"/>
        </w:r>
      </w:hyperlink>
    </w:p>
    <w:p w14:paraId="5A9499F0" w14:textId="1591DCEB"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4" w:history="1">
        <w:r w:rsidR="00B02695" w:rsidRPr="001C24A8">
          <w:rPr>
            <w:rStyle w:val="Lienhypertexte"/>
            <w:noProof/>
          </w:rPr>
          <w:t>5.1.4</w:t>
        </w:r>
        <w:r w:rsidR="00B02695">
          <w:rPr>
            <w:rFonts w:eastAsiaTheme="minorEastAsia" w:cstheme="minorBidi"/>
            <w:smallCaps w:val="0"/>
            <w:noProof/>
            <w:sz w:val="22"/>
            <w:szCs w:val="22"/>
            <w:lang w:eastAsia="fr-FR"/>
          </w:rPr>
          <w:tab/>
        </w:r>
        <w:r w:rsidR="00B02695" w:rsidRPr="001C24A8">
          <w:rPr>
            <w:rStyle w:val="Lienhypertexte"/>
            <w:noProof/>
          </w:rPr>
          <w:t>Pertinence de la méthode de mise en œuvre &amp; choix des partenaires institutionnels</w:t>
        </w:r>
        <w:r w:rsidR="00B02695">
          <w:rPr>
            <w:noProof/>
            <w:webHidden/>
          </w:rPr>
          <w:tab/>
        </w:r>
        <w:r w:rsidR="00B02695">
          <w:rPr>
            <w:noProof/>
            <w:webHidden/>
          </w:rPr>
          <w:fldChar w:fldCharType="begin"/>
        </w:r>
        <w:r w:rsidR="00B02695">
          <w:rPr>
            <w:noProof/>
            <w:webHidden/>
          </w:rPr>
          <w:instrText xml:space="preserve"> PAGEREF _Toc525626844 \h </w:instrText>
        </w:r>
        <w:r w:rsidR="00B02695">
          <w:rPr>
            <w:noProof/>
            <w:webHidden/>
          </w:rPr>
        </w:r>
        <w:r w:rsidR="00B02695">
          <w:rPr>
            <w:noProof/>
            <w:webHidden/>
          </w:rPr>
          <w:fldChar w:fldCharType="separate"/>
        </w:r>
        <w:r w:rsidR="00045A5D">
          <w:rPr>
            <w:noProof/>
            <w:webHidden/>
          </w:rPr>
          <w:t>15</w:t>
        </w:r>
        <w:r w:rsidR="00B02695">
          <w:rPr>
            <w:noProof/>
            <w:webHidden/>
          </w:rPr>
          <w:fldChar w:fldCharType="end"/>
        </w:r>
      </w:hyperlink>
    </w:p>
    <w:p w14:paraId="11E25FF6" w14:textId="5C45C8DD"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5" w:history="1">
        <w:r w:rsidR="00B02695" w:rsidRPr="001C24A8">
          <w:rPr>
            <w:rStyle w:val="Lienhypertexte"/>
            <w:noProof/>
          </w:rPr>
          <w:t>5.1.5</w:t>
        </w:r>
        <w:r w:rsidR="00B02695">
          <w:rPr>
            <w:rFonts w:eastAsiaTheme="minorEastAsia" w:cstheme="minorBidi"/>
            <w:smallCaps w:val="0"/>
            <w:noProof/>
            <w:sz w:val="22"/>
            <w:szCs w:val="22"/>
            <w:lang w:eastAsia="fr-FR"/>
          </w:rPr>
          <w:tab/>
        </w:r>
        <w:r w:rsidR="00B02695" w:rsidRPr="001C24A8">
          <w:rPr>
            <w:rStyle w:val="Lienhypertexte"/>
            <w:noProof/>
          </w:rPr>
          <w:t>Aspect genre</w:t>
        </w:r>
        <w:r w:rsidR="00B02695">
          <w:rPr>
            <w:noProof/>
            <w:webHidden/>
          </w:rPr>
          <w:tab/>
        </w:r>
        <w:r w:rsidR="00B02695">
          <w:rPr>
            <w:noProof/>
            <w:webHidden/>
          </w:rPr>
          <w:fldChar w:fldCharType="begin"/>
        </w:r>
        <w:r w:rsidR="00B02695">
          <w:rPr>
            <w:noProof/>
            <w:webHidden/>
          </w:rPr>
          <w:instrText xml:space="preserve"> PAGEREF _Toc525626845 \h </w:instrText>
        </w:r>
        <w:r w:rsidR="00B02695">
          <w:rPr>
            <w:noProof/>
            <w:webHidden/>
          </w:rPr>
        </w:r>
        <w:r w:rsidR="00B02695">
          <w:rPr>
            <w:noProof/>
            <w:webHidden/>
          </w:rPr>
          <w:fldChar w:fldCharType="separate"/>
        </w:r>
        <w:r w:rsidR="00045A5D">
          <w:rPr>
            <w:noProof/>
            <w:webHidden/>
          </w:rPr>
          <w:t>15</w:t>
        </w:r>
        <w:r w:rsidR="00B02695">
          <w:rPr>
            <w:noProof/>
            <w:webHidden/>
          </w:rPr>
          <w:fldChar w:fldCharType="end"/>
        </w:r>
      </w:hyperlink>
    </w:p>
    <w:p w14:paraId="348816B1" w14:textId="7EDE2815"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46" w:history="1">
        <w:r w:rsidR="00B02695" w:rsidRPr="001C24A8">
          <w:rPr>
            <w:rStyle w:val="Lienhypertexte"/>
            <w:noProof/>
          </w:rPr>
          <w:t>5.2</w:t>
        </w:r>
        <w:r w:rsidR="00B02695">
          <w:rPr>
            <w:rFonts w:eastAsiaTheme="minorEastAsia" w:cstheme="minorBidi"/>
            <w:b w:val="0"/>
            <w:bCs w:val="0"/>
            <w:smallCaps w:val="0"/>
            <w:noProof/>
            <w:sz w:val="22"/>
            <w:szCs w:val="22"/>
            <w:lang w:eastAsia="fr-FR"/>
          </w:rPr>
          <w:tab/>
        </w:r>
        <w:r w:rsidR="00B02695" w:rsidRPr="001C24A8">
          <w:rPr>
            <w:rStyle w:val="Lienhypertexte"/>
            <w:noProof/>
          </w:rPr>
          <w:t>Efficacité</w:t>
        </w:r>
        <w:r w:rsidR="00B02695">
          <w:rPr>
            <w:noProof/>
            <w:webHidden/>
          </w:rPr>
          <w:tab/>
        </w:r>
        <w:r w:rsidR="00B02695">
          <w:rPr>
            <w:noProof/>
            <w:webHidden/>
          </w:rPr>
          <w:fldChar w:fldCharType="begin"/>
        </w:r>
        <w:r w:rsidR="00B02695">
          <w:rPr>
            <w:noProof/>
            <w:webHidden/>
          </w:rPr>
          <w:instrText xml:space="preserve"> PAGEREF _Toc525626846 \h </w:instrText>
        </w:r>
        <w:r w:rsidR="00B02695">
          <w:rPr>
            <w:noProof/>
            <w:webHidden/>
          </w:rPr>
        </w:r>
        <w:r w:rsidR="00B02695">
          <w:rPr>
            <w:noProof/>
            <w:webHidden/>
          </w:rPr>
          <w:fldChar w:fldCharType="separate"/>
        </w:r>
        <w:r w:rsidR="00045A5D">
          <w:rPr>
            <w:noProof/>
            <w:webHidden/>
          </w:rPr>
          <w:t>16</w:t>
        </w:r>
        <w:r w:rsidR="00B02695">
          <w:rPr>
            <w:noProof/>
            <w:webHidden/>
          </w:rPr>
          <w:fldChar w:fldCharType="end"/>
        </w:r>
      </w:hyperlink>
    </w:p>
    <w:p w14:paraId="63DB5239" w14:textId="4FA57D4B"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7" w:history="1">
        <w:r w:rsidR="00B02695" w:rsidRPr="001C24A8">
          <w:rPr>
            <w:rStyle w:val="Lienhypertexte"/>
            <w:noProof/>
          </w:rPr>
          <w:t>5.2.1</w:t>
        </w:r>
        <w:r w:rsidR="00B02695">
          <w:rPr>
            <w:rFonts w:eastAsiaTheme="minorEastAsia" w:cstheme="minorBidi"/>
            <w:smallCaps w:val="0"/>
            <w:noProof/>
            <w:sz w:val="22"/>
            <w:szCs w:val="22"/>
            <w:lang w:eastAsia="fr-FR"/>
          </w:rPr>
          <w:tab/>
        </w:r>
        <w:r w:rsidR="00B02695" w:rsidRPr="001C24A8">
          <w:rPr>
            <w:rStyle w:val="Lienhypertexte"/>
            <w:noProof/>
          </w:rPr>
          <w:t>Niveau d’atteintes des résultats</w:t>
        </w:r>
        <w:r w:rsidR="00B02695">
          <w:rPr>
            <w:noProof/>
            <w:webHidden/>
          </w:rPr>
          <w:tab/>
        </w:r>
        <w:r w:rsidR="00B02695">
          <w:rPr>
            <w:noProof/>
            <w:webHidden/>
          </w:rPr>
          <w:fldChar w:fldCharType="begin"/>
        </w:r>
        <w:r w:rsidR="00B02695">
          <w:rPr>
            <w:noProof/>
            <w:webHidden/>
          </w:rPr>
          <w:instrText xml:space="preserve"> PAGEREF _Toc525626847 \h </w:instrText>
        </w:r>
        <w:r w:rsidR="00B02695">
          <w:rPr>
            <w:noProof/>
            <w:webHidden/>
          </w:rPr>
        </w:r>
        <w:r w:rsidR="00B02695">
          <w:rPr>
            <w:noProof/>
            <w:webHidden/>
          </w:rPr>
          <w:fldChar w:fldCharType="separate"/>
        </w:r>
        <w:r w:rsidR="00045A5D">
          <w:rPr>
            <w:noProof/>
            <w:webHidden/>
          </w:rPr>
          <w:t>17</w:t>
        </w:r>
        <w:r w:rsidR="00B02695">
          <w:rPr>
            <w:noProof/>
            <w:webHidden/>
          </w:rPr>
          <w:fldChar w:fldCharType="end"/>
        </w:r>
      </w:hyperlink>
    </w:p>
    <w:p w14:paraId="6FEE514F" w14:textId="02949996"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48" w:history="1">
        <w:r w:rsidR="00B02695" w:rsidRPr="001C24A8">
          <w:rPr>
            <w:rStyle w:val="Lienhypertexte"/>
            <w:noProof/>
          </w:rPr>
          <w:t>5.2.2</w:t>
        </w:r>
        <w:r w:rsidR="00B02695">
          <w:rPr>
            <w:rFonts w:eastAsiaTheme="minorEastAsia" w:cstheme="minorBidi"/>
            <w:smallCaps w:val="0"/>
            <w:noProof/>
            <w:sz w:val="22"/>
            <w:szCs w:val="22"/>
            <w:lang w:eastAsia="fr-FR"/>
          </w:rPr>
          <w:tab/>
        </w:r>
        <w:r w:rsidR="00B02695" w:rsidRPr="001C24A8">
          <w:rPr>
            <w:rStyle w:val="Lienhypertexte"/>
            <w:noProof/>
          </w:rPr>
          <w:t>Synergies</w:t>
        </w:r>
        <w:r w:rsidR="00B02695">
          <w:rPr>
            <w:noProof/>
            <w:webHidden/>
          </w:rPr>
          <w:tab/>
        </w:r>
        <w:r w:rsidR="00B02695">
          <w:rPr>
            <w:noProof/>
            <w:webHidden/>
          </w:rPr>
          <w:fldChar w:fldCharType="begin"/>
        </w:r>
        <w:r w:rsidR="00B02695">
          <w:rPr>
            <w:noProof/>
            <w:webHidden/>
          </w:rPr>
          <w:instrText xml:space="preserve"> PAGEREF _Toc525626848 \h </w:instrText>
        </w:r>
        <w:r w:rsidR="00B02695">
          <w:rPr>
            <w:noProof/>
            <w:webHidden/>
          </w:rPr>
        </w:r>
        <w:r w:rsidR="00B02695">
          <w:rPr>
            <w:noProof/>
            <w:webHidden/>
          </w:rPr>
          <w:fldChar w:fldCharType="separate"/>
        </w:r>
        <w:r w:rsidR="00045A5D">
          <w:rPr>
            <w:noProof/>
            <w:webHidden/>
          </w:rPr>
          <w:t>22</w:t>
        </w:r>
        <w:r w:rsidR="00B02695">
          <w:rPr>
            <w:noProof/>
            <w:webHidden/>
          </w:rPr>
          <w:fldChar w:fldCharType="end"/>
        </w:r>
      </w:hyperlink>
    </w:p>
    <w:p w14:paraId="24B24687" w14:textId="2B2BB9BB" w:rsidR="00B02695" w:rsidRDefault="00DC459F">
      <w:pPr>
        <w:pStyle w:val="TM3"/>
        <w:tabs>
          <w:tab w:val="left" w:pos="645"/>
          <w:tab w:val="right" w:leader="dot" w:pos="8629"/>
        </w:tabs>
        <w:rPr>
          <w:rFonts w:eastAsiaTheme="minorEastAsia" w:cstheme="minorBidi"/>
          <w:smallCaps w:val="0"/>
          <w:noProof/>
          <w:sz w:val="22"/>
          <w:szCs w:val="22"/>
          <w:lang w:eastAsia="fr-FR"/>
        </w:rPr>
      </w:pPr>
      <w:hyperlink w:anchor="_Toc525626849" w:history="1">
        <w:r w:rsidR="00B02695" w:rsidRPr="001C24A8">
          <w:rPr>
            <w:rStyle w:val="Lienhypertexte"/>
            <w:noProof/>
          </w:rPr>
          <w:t>5.2.3</w:t>
        </w:r>
        <w:r w:rsidR="00B02695">
          <w:rPr>
            <w:rFonts w:eastAsiaTheme="minorEastAsia" w:cstheme="minorBidi"/>
            <w:smallCaps w:val="0"/>
            <w:noProof/>
            <w:sz w:val="22"/>
            <w:szCs w:val="22"/>
            <w:lang w:eastAsia="fr-FR"/>
          </w:rPr>
          <w:tab/>
        </w:r>
        <w:r w:rsidR="00B02695" w:rsidRPr="001C24A8">
          <w:rPr>
            <w:rStyle w:val="Lienhypertexte"/>
            <w:noProof/>
          </w:rPr>
          <w:t>Problèmes et contraintes</w:t>
        </w:r>
        <w:r w:rsidR="00B02695">
          <w:rPr>
            <w:noProof/>
            <w:webHidden/>
          </w:rPr>
          <w:tab/>
        </w:r>
        <w:r w:rsidR="00B02695">
          <w:rPr>
            <w:noProof/>
            <w:webHidden/>
          </w:rPr>
          <w:fldChar w:fldCharType="begin"/>
        </w:r>
        <w:r w:rsidR="00B02695">
          <w:rPr>
            <w:noProof/>
            <w:webHidden/>
          </w:rPr>
          <w:instrText xml:space="preserve"> PAGEREF _Toc525626849 \h </w:instrText>
        </w:r>
        <w:r w:rsidR="00B02695">
          <w:rPr>
            <w:noProof/>
            <w:webHidden/>
          </w:rPr>
        </w:r>
        <w:r w:rsidR="00B02695">
          <w:rPr>
            <w:noProof/>
            <w:webHidden/>
          </w:rPr>
          <w:fldChar w:fldCharType="separate"/>
        </w:r>
        <w:r w:rsidR="00045A5D">
          <w:rPr>
            <w:noProof/>
            <w:webHidden/>
          </w:rPr>
          <w:t>22</w:t>
        </w:r>
        <w:r w:rsidR="00B02695">
          <w:rPr>
            <w:noProof/>
            <w:webHidden/>
          </w:rPr>
          <w:fldChar w:fldCharType="end"/>
        </w:r>
      </w:hyperlink>
    </w:p>
    <w:p w14:paraId="66486236" w14:textId="6154899C"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50" w:history="1">
        <w:r w:rsidR="00B02695" w:rsidRPr="001C24A8">
          <w:rPr>
            <w:rStyle w:val="Lienhypertexte"/>
            <w:noProof/>
          </w:rPr>
          <w:t>5.3</w:t>
        </w:r>
        <w:r w:rsidR="00B02695">
          <w:rPr>
            <w:rFonts w:eastAsiaTheme="minorEastAsia" w:cstheme="minorBidi"/>
            <w:b w:val="0"/>
            <w:bCs w:val="0"/>
            <w:smallCaps w:val="0"/>
            <w:noProof/>
            <w:sz w:val="22"/>
            <w:szCs w:val="22"/>
            <w:lang w:eastAsia="fr-FR"/>
          </w:rPr>
          <w:tab/>
        </w:r>
        <w:r w:rsidR="00B02695" w:rsidRPr="001C24A8">
          <w:rPr>
            <w:rStyle w:val="Lienhypertexte"/>
            <w:noProof/>
          </w:rPr>
          <w:t>Efficience</w:t>
        </w:r>
        <w:r w:rsidR="00B02695">
          <w:rPr>
            <w:noProof/>
            <w:webHidden/>
          </w:rPr>
          <w:tab/>
        </w:r>
        <w:r w:rsidR="00B02695">
          <w:rPr>
            <w:noProof/>
            <w:webHidden/>
          </w:rPr>
          <w:fldChar w:fldCharType="begin"/>
        </w:r>
        <w:r w:rsidR="00B02695">
          <w:rPr>
            <w:noProof/>
            <w:webHidden/>
          </w:rPr>
          <w:instrText xml:space="preserve"> PAGEREF _Toc525626850 \h </w:instrText>
        </w:r>
        <w:r w:rsidR="00B02695">
          <w:rPr>
            <w:noProof/>
            <w:webHidden/>
          </w:rPr>
        </w:r>
        <w:r w:rsidR="00B02695">
          <w:rPr>
            <w:noProof/>
            <w:webHidden/>
          </w:rPr>
          <w:fldChar w:fldCharType="separate"/>
        </w:r>
        <w:r w:rsidR="00045A5D">
          <w:rPr>
            <w:noProof/>
            <w:webHidden/>
          </w:rPr>
          <w:t>25</w:t>
        </w:r>
        <w:r w:rsidR="00B02695">
          <w:rPr>
            <w:noProof/>
            <w:webHidden/>
          </w:rPr>
          <w:fldChar w:fldCharType="end"/>
        </w:r>
      </w:hyperlink>
    </w:p>
    <w:p w14:paraId="01ECA22A" w14:textId="6691D1EB"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51" w:history="1">
        <w:r w:rsidR="00B02695" w:rsidRPr="001C24A8">
          <w:rPr>
            <w:rStyle w:val="Lienhypertexte"/>
            <w:noProof/>
          </w:rPr>
          <w:t>5.3.1</w:t>
        </w:r>
        <w:r w:rsidR="00B02695">
          <w:rPr>
            <w:rFonts w:eastAsiaTheme="minorEastAsia" w:cstheme="minorBidi"/>
            <w:smallCaps w:val="0"/>
            <w:noProof/>
            <w:sz w:val="22"/>
            <w:szCs w:val="22"/>
            <w:lang w:eastAsia="fr-FR"/>
          </w:rPr>
          <w:tab/>
        </w:r>
        <w:r w:rsidR="00B02695" w:rsidRPr="001C24A8">
          <w:rPr>
            <w:rStyle w:val="Lienhypertexte"/>
            <w:noProof/>
          </w:rPr>
          <w:t>Utilisation des ressources et alternatives</w:t>
        </w:r>
        <w:r w:rsidR="00B02695">
          <w:rPr>
            <w:noProof/>
            <w:webHidden/>
          </w:rPr>
          <w:tab/>
        </w:r>
        <w:r w:rsidR="00B02695">
          <w:rPr>
            <w:noProof/>
            <w:webHidden/>
          </w:rPr>
          <w:fldChar w:fldCharType="begin"/>
        </w:r>
        <w:r w:rsidR="00B02695">
          <w:rPr>
            <w:noProof/>
            <w:webHidden/>
          </w:rPr>
          <w:instrText xml:space="preserve"> PAGEREF _Toc525626851 \h </w:instrText>
        </w:r>
        <w:r w:rsidR="00B02695">
          <w:rPr>
            <w:noProof/>
            <w:webHidden/>
          </w:rPr>
        </w:r>
        <w:r w:rsidR="00B02695">
          <w:rPr>
            <w:noProof/>
            <w:webHidden/>
          </w:rPr>
          <w:fldChar w:fldCharType="separate"/>
        </w:r>
        <w:r w:rsidR="00045A5D">
          <w:rPr>
            <w:noProof/>
            <w:webHidden/>
          </w:rPr>
          <w:t>25</w:t>
        </w:r>
        <w:r w:rsidR="00B02695">
          <w:rPr>
            <w:noProof/>
            <w:webHidden/>
          </w:rPr>
          <w:fldChar w:fldCharType="end"/>
        </w:r>
      </w:hyperlink>
    </w:p>
    <w:p w14:paraId="6E15D1FD" w14:textId="4178B124"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52" w:history="1">
        <w:r w:rsidR="00B02695" w:rsidRPr="001C24A8">
          <w:rPr>
            <w:rStyle w:val="Lienhypertexte"/>
            <w:noProof/>
          </w:rPr>
          <w:t>5.3.2</w:t>
        </w:r>
        <w:r w:rsidR="00B02695">
          <w:rPr>
            <w:rFonts w:eastAsiaTheme="minorEastAsia" w:cstheme="minorBidi"/>
            <w:smallCaps w:val="0"/>
            <w:noProof/>
            <w:sz w:val="22"/>
            <w:szCs w:val="22"/>
            <w:lang w:eastAsia="fr-FR"/>
          </w:rPr>
          <w:tab/>
        </w:r>
        <w:r w:rsidR="00B02695" w:rsidRPr="001C24A8">
          <w:rPr>
            <w:rStyle w:val="Lienhypertexte"/>
            <w:noProof/>
          </w:rPr>
          <w:t>Gestion et redevabilité</w:t>
        </w:r>
        <w:r w:rsidR="00B02695">
          <w:rPr>
            <w:noProof/>
            <w:webHidden/>
          </w:rPr>
          <w:tab/>
        </w:r>
        <w:r w:rsidR="00B02695">
          <w:rPr>
            <w:noProof/>
            <w:webHidden/>
          </w:rPr>
          <w:fldChar w:fldCharType="begin"/>
        </w:r>
        <w:r w:rsidR="00B02695">
          <w:rPr>
            <w:noProof/>
            <w:webHidden/>
          </w:rPr>
          <w:instrText xml:space="preserve"> PAGEREF _Toc525626852 \h </w:instrText>
        </w:r>
        <w:r w:rsidR="00B02695">
          <w:rPr>
            <w:noProof/>
            <w:webHidden/>
          </w:rPr>
        </w:r>
        <w:r w:rsidR="00B02695">
          <w:rPr>
            <w:noProof/>
            <w:webHidden/>
          </w:rPr>
          <w:fldChar w:fldCharType="separate"/>
        </w:r>
        <w:r w:rsidR="00045A5D">
          <w:rPr>
            <w:noProof/>
            <w:webHidden/>
          </w:rPr>
          <w:t>26</w:t>
        </w:r>
        <w:r w:rsidR="00B02695">
          <w:rPr>
            <w:noProof/>
            <w:webHidden/>
          </w:rPr>
          <w:fldChar w:fldCharType="end"/>
        </w:r>
      </w:hyperlink>
    </w:p>
    <w:p w14:paraId="5625C19C" w14:textId="352A396E" w:rsidR="00B02695" w:rsidRDefault="006546B1">
      <w:pPr>
        <w:pStyle w:val="TM3"/>
        <w:tabs>
          <w:tab w:val="left" w:pos="645"/>
          <w:tab w:val="right" w:leader="dot" w:pos="8629"/>
        </w:tabs>
        <w:rPr>
          <w:rFonts w:eastAsiaTheme="minorEastAsia" w:cstheme="minorBidi"/>
          <w:smallCaps w:val="0"/>
          <w:noProof/>
          <w:sz w:val="22"/>
          <w:szCs w:val="22"/>
          <w:lang w:eastAsia="fr-FR"/>
        </w:rPr>
      </w:pPr>
      <w:hyperlink w:anchor="_Toc525626853" w:history="1">
        <w:r w:rsidR="00B02695" w:rsidRPr="001C24A8">
          <w:rPr>
            <w:rStyle w:val="Lienhypertexte"/>
            <w:noProof/>
          </w:rPr>
          <w:t>5.3.3</w:t>
        </w:r>
        <w:r w:rsidR="00B02695">
          <w:rPr>
            <w:rFonts w:eastAsiaTheme="minorEastAsia" w:cstheme="minorBidi"/>
            <w:smallCaps w:val="0"/>
            <w:noProof/>
            <w:sz w:val="22"/>
            <w:szCs w:val="22"/>
            <w:lang w:eastAsia="fr-FR"/>
          </w:rPr>
          <w:tab/>
        </w:r>
        <w:r w:rsidR="00B02695" w:rsidRPr="001C24A8">
          <w:rPr>
            <w:rStyle w:val="Lienhypertexte"/>
            <w:noProof/>
          </w:rPr>
          <w:t>Suivi / évaluation</w:t>
        </w:r>
        <w:r w:rsidR="00B02695">
          <w:rPr>
            <w:noProof/>
            <w:webHidden/>
          </w:rPr>
          <w:tab/>
        </w:r>
        <w:r w:rsidR="00B02695">
          <w:rPr>
            <w:noProof/>
            <w:webHidden/>
          </w:rPr>
          <w:fldChar w:fldCharType="begin"/>
        </w:r>
        <w:r w:rsidR="00B02695">
          <w:rPr>
            <w:noProof/>
            <w:webHidden/>
          </w:rPr>
          <w:instrText xml:space="preserve"> PAGEREF _Toc525626853 \h </w:instrText>
        </w:r>
        <w:r w:rsidR="00B02695">
          <w:rPr>
            <w:noProof/>
            <w:webHidden/>
          </w:rPr>
        </w:r>
        <w:r w:rsidR="00B02695">
          <w:rPr>
            <w:noProof/>
            <w:webHidden/>
          </w:rPr>
          <w:fldChar w:fldCharType="separate"/>
        </w:r>
        <w:r w:rsidR="00045A5D">
          <w:rPr>
            <w:noProof/>
            <w:webHidden/>
          </w:rPr>
          <w:t>27</w:t>
        </w:r>
        <w:r w:rsidR="00B02695">
          <w:rPr>
            <w:noProof/>
            <w:webHidden/>
          </w:rPr>
          <w:fldChar w:fldCharType="end"/>
        </w:r>
      </w:hyperlink>
    </w:p>
    <w:p w14:paraId="01816168" w14:textId="47810676" w:rsidR="00B02695" w:rsidRDefault="00DC459F">
      <w:pPr>
        <w:pStyle w:val="TM3"/>
        <w:tabs>
          <w:tab w:val="left" w:pos="645"/>
          <w:tab w:val="right" w:leader="dot" w:pos="8629"/>
        </w:tabs>
        <w:rPr>
          <w:rFonts w:eastAsiaTheme="minorEastAsia" w:cstheme="minorBidi"/>
          <w:smallCaps w:val="0"/>
          <w:noProof/>
          <w:sz w:val="22"/>
          <w:szCs w:val="22"/>
          <w:lang w:eastAsia="fr-FR"/>
        </w:rPr>
      </w:pPr>
      <w:hyperlink w:anchor="_Toc525626854" w:history="1">
        <w:r w:rsidR="00B02695" w:rsidRPr="001C24A8">
          <w:rPr>
            <w:rStyle w:val="Lienhypertexte"/>
            <w:noProof/>
          </w:rPr>
          <w:t>5.3.4</w:t>
        </w:r>
        <w:r w:rsidR="00B02695">
          <w:rPr>
            <w:rFonts w:eastAsiaTheme="minorEastAsia" w:cstheme="minorBidi"/>
            <w:smallCaps w:val="0"/>
            <w:noProof/>
            <w:sz w:val="22"/>
            <w:szCs w:val="22"/>
            <w:lang w:eastAsia="fr-FR"/>
          </w:rPr>
          <w:tab/>
        </w:r>
        <w:r w:rsidR="00B02695" w:rsidRPr="001C24A8">
          <w:rPr>
            <w:rStyle w:val="Lienhypertexte"/>
            <w:noProof/>
          </w:rPr>
          <w:t>Coordination</w:t>
        </w:r>
        <w:r w:rsidR="00B02695">
          <w:rPr>
            <w:noProof/>
            <w:webHidden/>
          </w:rPr>
          <w:tab/>
        </w:r>
        <w:r w:rsidR="00B02695">
          <w:rPr>
            <w:noProof/>
            <w:webHidden/>
          </w:rPr>
          <w:fldChar w:fldCharType="begin"/>
        </w:r>
        <w:r w:rsidR="00B02695">
          <w:rPr>
            <w:noProof/>
            <w:webHidden/>
          </w:rPr>
          <w:instrText xml:space="preserve"> PAGEREF _Toc525626854 \h </w:instrText>
        </w:r>
        <w:r w:rsidR="00B02695">
          <w:rPr>
            <w:noProof/>
            <w:webHidden/>
          </w:rPr>
        </w:r>
        <w:r w:rsidR="00B02695">
          <w:rPr>
            <w:noProof/>
            <w:webHidden/>
          </w:rPr>
          <w:fldChar w:fldCharType="separate"/>
        </w:r>
        <w:r w:rsidR="00045A5D">
          <w:rPr>
            <w:noProof/>
            <w:webHidden/>
          </w:rPr>
          <w:t>27</w:t>
        </w:r>
        <w:r w:rsidR="00B02695">
          <w:rPr>
            <w:noProof/>
            <w:webHidden/>
          </w:rPr>
          <w:fldChar w:fldCharType="end"/>
        </w:r>
      </w:hyperlink>
    </w:p>
    <w:p w14:paraId="5B827D30" w14:textId="257AA588"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55" w:history="1">
        <w:r w:rsidR="00B02695" w:rsidRPr="001C24A8">
          <w:rPr>
            <w:rStyle w:val="Lienhypertexte"/>
            <w:noProof/>
          </w:rPr>
          <w:t>5.4</w:t>
        </w:r>
        <w:r w:rsidR="00B02695">
          <w:rPr>
            <w:rFonts w:eastAsiaTheme="minorEastAsia" w:cstheme="minorBidi"/>
            <w:b w:val="0"/>
            <w:bCs w:val="0"/>
            <w:smallCaps w:val="0"/>
            <w:noProof/>
            <w:sz w:val="22"/>
            <w:szCs w:val="22"/>
            <w:lang w:eastAsia="fr-FR"/>
          </w:rPr>
          <w:tab/>
        </w:r>
        <w:r w:rsidR="00B02695" w:rsidRPr="001C24A8">
          <w:rPr>
            <w:rStyle w:val="Lienhypertexte"/>
            <w:noProof/>
          </w:rPr>
          <w:t>Durabilité</w:t>
        </w:r>
        <w:r w:rsidR="00B02695">
          <w:rPr>
            <w:noProof/>
            <w:webHidden/>
          </w:rPr>
          <w:tab/>
        </w:r>
        <w:r w:rsidR="00B02695">
          <w:rPr>
            <w:noProof/>
            <w:webHidden/>
          </w:rPr>
          <w:fldChar w:fldCharType="begin"/>
        </w:r>
        <w:r w:rsidR="00B02695">
          <w:rPr>
            <w:noProof/>
            <w:webHidden/>
          </w:rPr>
          <w:instrText xml:space="preserve"> PAGEREF _Toc525626855 \h </w:instrText>
        </w:r>
        <w:r w:rsidR="00B02695">
          <w:rPr>
            <w:noProof/>
            <w:webHidden/>
          </w:rPr>
        </w:r>
        <w:r w:rsidR="00B02695">
          <w:rPr>
            <w:noProof/>
            <w:webHidden/>
          </w:rPr>
          <w:fldChar w:fldCharType="separate"/>
        </w:r>
        <w:r w:rsidR="00045A5D">
          <w:rPr>
            <w:noProof/>
            <w:webHidden/>
          </w:rPr>
          <w:t>28</w:t>
        </w:r>
        <w:r w:rsidR="00B02695">
          <w:rPr>
            <w:noProof/>
            <w:webHidden/>
          </w:rPr>
          <w:fldChar w:fldCharType="end"/>
        </w:r>
      </w:hyperlink>
    </w:p>
    <w:p w14:paraId="3809934C" w14:textId="736FBEF6" w:rsidR="00B02695" w:rsidRDefault="006546B1">
      <w:pPr>
        <w:pStyle w:val="TM2"/>
        <w:tabs>
          <w:tab w:val="left" w:pos="489"/>
          <w:tab w:val="right" w:leader="dot" w:pos="8629"/>
        </w:tabs>
        <w:rPr>
          <w:rFonts w:eastAsiaTheme="minorEastAsia" w:cstheme="minorBidi"/>
          <w:b w:val="0"/>
          <w:bCs w:val="0"/>
          <w:smallCaps w:val="0"/>
          <w:noProof/>
          <w:sz w:val="22"/>
          <w:szCs w:val="22"/>
          <w:lang w:eastAsia="fr-FR"/>
        </w:rPr>
      </w:pPr>
      <w:hyperlink w:anchor="_Toc525626856" w:history="1">
        <w:r w:rsidR="00B02695" w:rsidRPr="001C24A8">
          <w:rPr>
            <w:rStyle w:val="Lienhypertexte"/>
            <w:noProof/>
          </w:rPr>
          <w:t>5.5</w:t>
        </w:r>
        <w:r w:rsidR="00B02695">
          <w:rPr>
            <w:rFonts w:eastAsiaTheme="minorEastAsia" w:cstheme="minorBidi"/>
            <w:b w:val="0"/>
            <w:bCs w:val="0"/>
            <w:smallCaps w:val="0"/>
            <w:noProof/>
            <w:sz w:val="22"/>
            <w:szCs w:val="22"/>
            <w:lang w:eastAsia="fr-FR"/>
          </w:rPr>
          <w:tab/>
        </w:r>
        <w:r w:rsidR="00B02695" w:rsidRPr="001C24A8">
          <w:rPr>
            <w:rStyle w:val="Lienhypertexte"/>
            <w:noProof/>
          </w:rPr>
          <w:t>Impact</w:t>
        </w:r>
        <w:r w:rsidR="00B02695">
          <w:rPr>
            <w:noProof/>
            <w:webHidden/>
          </w:rPr>
          <w:tab/>
        </w:r>
        <w:r w:rsidR="00B02695">
          <w:rPr>
            <w:noProof/>
            <w:webHidden/>
          </w:rPr>
          <w:fldChar w:fldCharType="begin"/>
        </w:r>
        <w:r w:rsidR="00B02695">
          <w:rPr>
            <w:noProof/>
            <w:webHidden/>
          </w:rPr>
          <w:instrText xml:space="preserve"> PAGEREF _Toc525626856 \h </w:instrText>
        </w:r>
        <w:r w:rsidR="00B02695">
          <w:rPr>
            <w:noProof/>
            <w:webHidden/>
          </w:rPr>
        </w:r>
        <w:r w:rsidR="00B02695">
          <w:rPr>
            <w:noProof/>
            <w:webHidden/>
          </w:rPr>
          <w:fldChar w:fldCharType="separate"/>
        </w:r>
        <w:r w:rsidR="00045A5D">
          <w:rPr>
            <w:noProof/>
            <w:webHidden/>
          </w:rPr>
          <w:t>29</w:t>
        </w:r>
        <w:r w:rsidR="00B02695">
          <w:rPr>
            <w:noProof/>
            <w:webHidden/>
          </w:rPr>
          <w:fldChar w:fldCharType="end"/>
        </w:r>
      </w:hyperlink>
    </w:p>
    <w:p w14:paraId="6264AF63" w14:textId="44194BEE"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57" w:history="1">
        <w:r w:rsidR="00B02695" w:rsidRPr="001C24A8">
          <w:rPr>
            <w:rStyle w:val="Lienhypertexte"/>
            <w:noProof/>
          </w:rPr>
          <w:t>6</w:t>
        </w:r>
        <w:r w:rsidR="00B02695">
          <w:rPr>
            <w:rFonts w:eastAsiaTheme="minorEastAsia" w:cstheme="minorBidi"/>
            <w:b w:val="0"/>
            <w:bCs w:val="0"/>
            <w:caps w:val="0"/>
            <w:noProof/>
            <w:sz w:val="22"/>
            <w:szCs w:val="22"/>
            <w:u w:val="none"/>
            <w:lang w:eastAsia="fr-FR"/>
          </w:rPr>
          <w:tab/>
        </w:r>
        <w:r w:rsidR="00B02695" w:rsidRPr="001C24A8">
          <w:rPr>
            <w:rStyle w:val="Lienhypertexte"/>
            <w:noProof/>
          </w:rPr>
          <w:t>Leçons apprises et bonnes pratiques</w:t>
        </w:r>
        <w:r w:rsidR="00B02695">
          <w:rPr>
            <w:noProof/>
            <w:webHidden/>
          </w:rPr>
          <w:tab/>
        </w:r>
        <w:r w:rsidR="00B02695">
          <w:rPr>
            <w:noProof/>
            <w:webHidden/>
          </w:rPr>
          <w:fldChar w:fldCharType="begin"/>
        </w:r>
        <w:r w:rsidR="00B02695">
          <w:rPr>
            <w:noProof/>
            <w:webHidden/>
          </w:rPr>
          <w:instrText xml:space="preserve"> PAGEREF _Toc525626857 \h </w:instrText>
        </w:r>
        <w:r w:rsidR="00B02695">
          <w:rPr>
            <w:noProof/>
            <w:webHidden/>
          </w:rPr>
        </w:r>
        <w:r w:rsidR="00B02695">
          <w:rPr>
            <w:noProof/>
            <w:webHidden/>
          </w:rPr>
          <w:fldChar w:fldCharType="separate"/>
        </w:r>
        <w:r w:rsidR="00045A5D">
          <w:rPr>
            <w:noProof/>
            <w:webHidden/>
          </w:rPr>
          <w:t>31</w:t>
        </w:r>
        <w:r w:rsidR="00B02695">
          <w:rPr>
            <w:noProof/>
            <w:webHidden/>
          </w:rPr>
          <w:fldChar w:fldCharType="end"/>
        </w:r>
      </w:hyperlink>
    </w:p>
    <w:p w14:paraId="4BA94E91" w14:textId="45D671D0"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58" w:history="1">
        <w:r w:rsidR="00B02695" w:rsidRPr="001C24A8">
          <w:rPr>
            <w:rStyle w:val="Lienhypertexte"/>
            <w:noProof/>
          </w:rPr>
          <w:t>7</w:t>
        </w:r>
        <w:r w:rsidR="00B02695">
          <w:rPr>
            <w:rFonts w:eastAsiaTheme="minorEastAsia" w:cstheme="minorBidi"/>
            <w:b w:val="0"/>
            <w:bCs w:val="0"/>
            <w:caps w:val="0"/>
            <w:noProof/>
            <w:sz w:val="22"/>
            <w:szCs w:val="22"/>
            <w:u w:val="none"/>
            <w:lang w:eastAsia="fr-FR"/>
          </w:rPr>
          <w:tab/>
        </w:r>
        <w:r w:rsidR="00B02695" w:rsidRPr="001C24A8">
          <w:rPr>
            <w:rStyle w:val="Lienhypertexte"/>
            <w:noProof/>
          </w:rPr>
          <w:t>Conclusion</w:t>
        </w:r>
        <w:r w:rsidR="00B02695">
          <w:rPr>
            <w:noProof/>
            <w:webHidden/>
          </w:rPr>
          <w:tab/>
        </w:r>
        <w:r w:rsidR="00B02695">
          <w:rPr>
            <w:noProof/>
            <w:webHidden/>
          </w:rPr>
          <w:fldChar w:fldCharType="begin"/>
        </w:r>
        <w:r w:rsidR="00B02695">
          <w:rPr>
            <w:noProof/>
            <w:webHidden/>
          </w:rPr>
          <w:instrText xml:space="preserve"> PAGEREF _Toc525626858 \h </w:instrText>
        </w:r>
        <w:r w:rsidR="00B02695">
          <w:rPr>
            <w:noProof/>
            <w:webHidden/>
          </w:rPr>
        </w:r>
        <w:r w:rsidR="00B02695">
          <w:rPr>
            <w:noProof/>
            <w:webHidden/>
          </w:rPr>
          <w:fldChar w:fldCharType="separate"/>
        </w:r>
        <w:r w:rsidR="00045A5D">
          <w:rPr>
            <w:noProof/>
            <w:webHidden/>
          </w:rPr>
          <w:t>31</w:t>
        </w:r>
        <w:r w:rsidR="00B02695">
          <w:rPr>
            <w:noProof/>
            <w:webHidden/>
          </w:rPr>
          <w:fldChar w:fldCharType="end"/>
        </w:r>
      </w:hyperlink>
    </w:p>
    <w:p w14:paraId="3937F634" w14:textId="77EEB33C" w:rsidR="00B02695" w:rsidRDefault="006546B1">
      <w:pPr>
        <w:pStyle w:val="TM1"/>
        <w:tabs>
          <w:tab w:val="left" w:pos="326"/>
          <w:tab w:val="right" w:leader="dot" w:pos="8629"/>
        </w:tabs>
        <w:rPr>
          <w:rFonts w:eastAsiaTheme="minorEastAsia" w:cstheme="minorBidi"/>
          <w:b w:val="0"/>
          <w:bCs w:val="0"/>
          <w:caps w:val="0"/>
          <w:noProof/>
          <w:sz w:val="22"/>
          <w:szCs w:val="22"/>
          <w:u w:val="none"/>
          <w:lang w:eastAsia="fr-FR"/>
        </w:rPr>
      </w:pPr>
      <w:hyperlink w:anchor="_Toc525626859" w:history="1">
        <w:r w:rsidR="00B02695" w:rsidRPr="001C24A8">
          <w:rPr>
            <w:rStyle w:val="Lienhypertexte"/>
            <w:noProof/>
          </w:rPr>
          <w:t>8</w:t>
        </w:r>
        <w:r w:rsidR="00B02695">
          <w:rPr>
            <w:rFonts w:eastAsiaTheme="minorEastAsia" w:cstheme="minorBidi"/>
            <w:b w:val="0"/>
            <w:bCs w:val="0"/>
            <w:caps w:val="0"/>
            <w:noProof/>
            <w:sz w:val="22"/>
            <w:szCs w:val="22"/>
            <w:u w:val="none"/>
            <w:lang w:eastAsia="fr-FR"/>
          </w:rPr>
          <w:tab/>
        </w:r>
        <w:r w:rsidR="00B02695" w:rsidRPr="001C24A8">
          <w:rPr>
            <w:rStyle w:val="Lienhypertexte"/>
            <w:noProof/>
          </w:rPr>
          <w:t>Recommandations</w:t>
        </w:r>
        <w:r w:rsidR="00B02695">
          <w:rPr>
            <w:noProof/>
            <w:webHidden/>
          </w:rPr>
          <w:tab/>
        </w:r>
        <w:r w:rsidR="00B02695">
          <w:rPr>
            <w:noProof/>
            <w:webHidden/>
          </w:rPr>
          <w:fldChar w:fldCharType="begin"/>
        </w:r>
        <w:r w:rsidR="00B02695">
          <w:rPr>
            <w:noProof/>
            <w:webHidden/>
          </w:rPr>
          <w:instrText xml:space="preserve"> PAGEREF _Toc525626859 \h </w:instrText>
        </w:r>
        <w:r w:rsidR="00B02695">
          <w:rPr>
            <w:noProof/>
            <w:webHidden/>
          </w:rPr>
        </w:r>
        <w:r w:rsidR="00B02695">
          <w:rPr>
            <w:noProof/>
            <w:webHidden/>
          </w:rPr>
          <w:fldChar w:fldCharType="separate"/>
        </w:r>
        <w:r w:rsidR="00045A5D">
          <w:rPr>
            <w:noProof/>
            <w:webHidden/>
          </w:rPr>
          <w:t>32</w:t>
        </w:r>
        <w:r w:rsidR="00B02695">
          <w:rPr>
            <w:noProof/>
            <w:webHidden/>
          </w:rPr>
          <w:fldChar w:fldCharType="end"/>
        </w:r>
      </w:hyperlink>
    </w:p>
    <w:p w14:paraId="32ED0774" w14:textId="25E852FD" w:rsidR="00B02695" w:rsidRDefault="006546B1">
      <w:pPr>
        <w:pStyle w:val="TM1"/>
        <w:tabs>
          <w:tab w:val="right" w:leader="dot" w:pos="8629"/>
        </w:tabs>
        <w:rPr>
          <w:rFonts w:eastAsiaTheme="minorEastAsia" w:cstheme="minorBidi"/>
          <w:b w:val="0"/>
          <w:bCs w:val="0"/>
          <w:caps w:val="0"/>
          <w:noProof/>
          <w:sz w:val="22"/>
          <w:szCs w:val="22"/>
          <w:u w:val="none"/>
          <w:lang w:eastAsia="fr-FR"/>
        </w:rPr>
      </w:pPr>
      <w:hyperlink w:anchor="_Toc525626860" w:history="1">
        <w:r w:rsidR="00B02695" w:rsidRPr="001C24A8">
          <w:rPr>
            <w:rStyle w:val="Lienhypertexte"/>
            <w:noProof/>
          </w:rPr>
          <w:t>Annexes</w:t>
        </w:r>
        <w:r w:rsidR="00B02695">
          <w:rPr>
            <w:noProof/>
            <w:webHidden/>
          </w:rPr>
          <w:tab/>
        </w:r>
        <w:r w:rsidR="00B02695">
          <w:rPr>
            <w:noProof/>
            <w:webHidden/>
          </w:rPr>
          <w:fldChar w:fldCharType="begin"/>
        </w:r>
        <w:r w:rsidR="00B02695">
          <w:rPr>
            <w:noProof/>
            <w:webHidden/>
          </w:rPr>
          <w:instrText xml:space="preserve"> PAGEREF _Toc525626860 \h </w:instrText>
        </w:r>
        <w:r w:rsidR="00B02695">
          <w:rPr>
            <w:noProof/>
            <w:webHidden/>
          </w:rPr>
        </w:r>
        <w:r w:rsidR="00B02695">
          <w:rPr>
            <w:noProof/>
            <w:webHidden/>
          </w:rPr>
          <w:fldChar w:fldCharType="separate"/>
        </w:r>
        <w:r w:rsidR="00045A5D">
          <w:rPr>
            <w:noProof/>
            <w:webHidden/>
          </w:rPr>
          <w:t>34</w:t>
        </w:r>
        <w:r w:rsidR="00B02695">
          <w:rPr>
            <w:noProof/>
            <w:webHidden/>
          </w:rPr>
          <w:fldChar w:fldCharType="end"/>
        </w:r>
      </w:hyperlink>
    </w:p>
    <w:p w14:paraId="34D6E0DF" w14:textId="0A62A592" w:rsidR="00711B4F" w:rsidRDefault="00711B4F" w:rsidP="00117A2F">
      <w:r>
        <w:fldChar w:fldCharType="end"/>
      </w:r>
    </w:p>
    <w:p w14:paraId="39CEE851" w14:textId="18867144" w:rsidR="00CC54EF" w:rsidRDefault="00CC54EF" w:rsidP="00117A2F">
      <w:pPr>
        <w:pStyle w:val="Titre1"/>
      </w:pPr>
      <w:bookmarkStart w:id="7" w:name="_Toc525626829"/>
      <w:r>
        <w:lastRenderedPageBreak/>
        <w:t>Introduction</w:t>
      </w:r>
      <w:bookmarkEnd w:id="7"/>
    </w:p>
    <w:p w14:paraId="78B3EFC1" w14:textId="2A01A5D7" w:rsidR="00CC54EF" w:rsidRDefault="00CC54EF" w:rsidP="00117A2F"/>
    <w:p w14:paraId="3570AFAC" w14:textId="56569DA3" w:rsidR="007A5F97" w:rsidRDefault="00CC54EF" w:rsidP="00117A2F">
      <w:r>
        <w:t xml:space="preserve">Ce document est le </w:t>
      </w:r>
      <w:r w:rsidR="0045311B">
        <w:t xml:space="preserve">projet de </w:t>
      </w:r>
      <w:r>
        <w:t xml:space="preserve">rapport </w:t>
      </w:r>
      <w:r w:rsidR="0045311B">
        <w:t xml:space="preserve">d’évaluation </w:t>
      </w:r>
      <w:r>
        <w:t>du projet d’appui à la bonne gouvernance et à la lutte contre la corruption mis en place par le PNUD de 2013 à 2017.</w:t>
      </w:r>
      <w:r w:rsidR="007A5F97">
        <w:t xml:space="preserve"> Il comprend une première analyse du contexte et du projet, ainsi que la méthodologie</w:t>
      </w:r>
      <w:r w:rsidR="0045311B">
        <w:t>, et les constats principaux par critère d’évaluation</w:t>
      </w:r>
      <w:r w:rsidR="00C77BDF">
        <w:t>, ainsi que les conclusions et recommandations</w:t>
      </w:r>
      <w:r w:rsidR="007A5F97">
        <w:t>.</w:t>
      </w:r>
      <w:r w:rsidR="00C77BDF">
        <w:t xml:space="preserve"> Ce rapport fait suite à la mission d’évaluation qui s’est déroulé du 30 juillet au 16 août 2018, qui s’est conclu par une séance de débriefing.  </w:t>
      </w:r>
    </w:p>
    <w:p w14:paraId="1C440425" w14:textId="05980E7E" w:rsidR="00CC54EF" w:rsidRPr="00CC54EF" w:rsidRDefault="00CC54EF" w:rsidP="00117A2F">
      <w:r>
        <w:t xml:space="preserve"> </w:t>
      </w:r>
    </w:p>
    <w:p w14:paraId="7AC6DD4D" w14:textId="11991BDF" w:rsidR="007606B5" w:rsidRDefault="007606B5" w:rsidP="00117A2F">
      <w:pPr>
        <w:pStyle w:val="Titre1"/>
      </w:pPr>
      <w:bookmarkStart w:id="8" w:name="_Toc525626830"/>
      <w:r w:rsidRPr="00783C9E">
        <w:t>Context</w:t>
      </w:r>
      <w:r w:rsidR="00586674" w:rsidRPr="00783C9E">
        <w:t>e</w:t>
      </w:r>
      <w:bookmarkEnd w:id="8"/>
    </w:p>
    <w:p w14:paraId="0CD01AA6" w14:textId="48FEE54E" w:rsidR="007A1951" w:rsidRDefault="007A1951" w:rsidP="00117A2F"/>
    <w:p w14:paraId="75AFBBFF" w14:textId="5AA8CA1C" w:rsidR="001D0EF2" w:rsidRPr="001D0EF2" w:rsidRDefault="001D0EF2" w:rsidP="00117A2F">
      <w:pPr>
        <w:rPr>
          <w:b/>
        </w:rPr>
      </w:pPr>
      <w:r w:rsidRPr="001D0EF2">
        <w:rPr>
          <w:b/>
        </w:rPr>
        <w:t>Contexte général</w:t>
      </w:r>
    </w:p>
    <w:p w14:paraId="3E984914" w14:textId="77777777" w:rsidR="001D0EF2" w:rsidRDefault="001D0EF2" w:rsidP="00117A2F"/>
    <w:p w14:paraId="215549C4" w14:textId="77777777" w:rsidR="001D0EF2" w:rsidRDefault="001D0EF2" w:rsidP="001D0EF2">
      <w:r>
        <w:t>Le pays fait 27 830 km2, pour une population estimée de 11 466 000 millions. La population est composée de Hutu 85%, Tutsi 14%, Twa (Pygmés) 1%. La population est densément peuplée avec un taux de croissance de la population important, et la pression sur l’accès aux ressources, terres cultivables notamment est donc particulièrement forte. La guerre a entraîné de nombreux déplacements de population, et retour, qui complexifie les problématiques d’accès à la terre et de gouvernance.</w:t>
      </w:r>
    </w:p>
    <w:p w14:paraId="5FFBA1DE" w14:textId="77777777" w:rsidR="001D0EF2" w:rsidRDefault="001D0EF2" w:rsidP="001D0EF2">
      <w:r>
        <w:t>Le pays a un taux de d’Indice de Développement Humain de 0,417 en 2017 pour 0,421 en 2014 et 0,408 en 2012, ce qui le place aujourd’hui au 185ème rang sur 189</w:t>
      </w:r>
      <w:r>
        <w:rPr>
          <w:rStyle w:val="Appelnotedebasdep"/>
        </w:rPr>
        <w:footnoteReference w:id="1"/>
      </w:r>
      <w:r>
        <w:t xml:space="preserve"> avec 3 places perdues depuis 2012. </w:t>
      </w:r>
    </w:p>
    <w:p w14:paraId="2672C1B9" w14:textId="4EF6A572" w:rsidR="007A1951" w:rsidRDefault="001D0EF2" w:rsidP="00117A2F">
      <w:r>
        <w:t>Le pays est divisé en 18 provinces, 119 communes et entre 2000 et 3000 collines.</w:t>
      </w:r>
    </w:p>
    <w:p w14:paraId="6496A0A7" w14:textId="77777777" w:rsidR="007A1951" w:rsidRDefault="007A1951" w:rsidP="00117A2F"/>
    <w:p w14:paraId="4642EEA9" w14:textId="10CAA3E9" w:rsidR="001D0EF2" w:rsidRDefault="001D0EF2" w:rsidP="001D0EF2">
      <w:r>
        <w:t xml:space="preserve">Les accords d’Arusha de 2000 ont marqué la fin de la guerre civile de 1993 à 2005 et constitué les bases de la gouvernance. P. Nkurunziza a été élu président en 2005 et 2010, et de nouveau en 2015. </w:t>
      </w:r>
      <w:r w:rsidR="00816BC9">
        <w:t>L</w:t>
      </w:r>
      <w:r w:rsidR="00816BC9" w:rsidRPr="009E00BF">
        <w:t xml:space="preserve">a période d’exécution du projet a été marquée par une grave crise politique, </w:t>
      </w:r>
      <w:r w:rsidR="00816BC9">
        <w:t>à compter du mois d’avril 2015, en lien avec la tenue d’élections présidentielles. Ceci a bien évidemment affecté la dynamique du projet et la réalisation des activités. Les bailleurs ont également suspendu leur aide, et le volume d’activités proposé par les institutions a ainsi diminué.</w:t>
      </w:r>
      <w:r w:rsidRPr="001D0EF2">
        <w:t xml:space="preserve"> </w:t>
      </w:r>
      <w:r>
        <w:t>Depuis 2015, les contrôles ont été renforcés. Les perquisitions sont maintenant possibles toute la nuit, et les familles doivent tenir un cahier de ménage renseignant les habitants ainsi que les visiteurs reçus.</w:t>
      </w:r>
    </w:p>
    <w:p w14:paraId="0BC5C5AD" w14:textId="522E0B3E" w:rsidR="004702AB" w:rsidRDefault="004702AB" w:rsidP="00117A2F"/>
    <w:p w14:paraId="679BCBEF" w14:textId="6A15AF54" w:rsidR="00AA5B6E" w:rsidRDefault="001D0EF2" w:rsidP="00117A2F">
      <w:r>
        <w:t>Les problématiques du pays font écho aux enjeux régionaux des pays frontaliers, en particulier République Démocratique du Congo et dans une certaine mesure Rwanda.</w:t>
      </w:r>
    </w:p>
    <w:p w14:paraId="152FECB9" w14:textId="70E07448" w:rsidR="00DD02ED" w:rsidRDefault="00DD02ED" w:rsidP="00117A2F"/>
    <w:p w14:paraId="6DD9D5B4" w14:textId="690B289B" w:rsidR="00F44BFD" w:rsidRPr="00F44BFD" w:rsidRDefault="00F44BFD" w:rsidP="00117A2F">
      <w:pPr>
        <w:rPr>
          <w:b/>
        </w:rPr>
      </w:pPr>
      <w:r w:rsidRPr="00F44BFD">
        <w:rPr>
          <w:b/>
        </w:rPr>
        <w:t>Stratégie Nationale de Bonne Gouvernance et Lutte contre la Corruption</w:t>
      </w:r>
    </w:p>
    <w:p w14:paraId="651648E5" w14:textId="6C21BF36" w:rsidR="00F44BFD" w:rsidRDefault="00F44BFD" w:rsidP="00117A2F"/>
    <w:p w14:paraId="65B172F3" w14:textId="4CBBABFF" w:rsidR="00F44BFD" w:rsidRDefault="00E73308" w:rsidP="00117A2F">
      <w:r>
        <w:t>La Stratégie Nationale de Bonne Gouvernance et Lutte contre la Corruption</w:t>
      </w:r>
      <w:r w:rsidR="00781E7A">
        <w:t xml:space="preserve"> a été </w:t>
      </w:r>
      <w:r w:rsidR="00C71043">
        <w:t>publiée</w:t>
      </w:r>
      <w:r w:rsidR="00781E7A">
        <w:t xml:space="preserve"> </w:t>
      </w:r>
      <w:r w:rsidR="00C71043">
        <w:t>en 2012, et couvrait la période 2011-2015.</w:t>
      </w:r>
    </w:p>
    <w:p w14:paraId="418D9723" w14:textId="2B61A612" w:rsidR="00E73308" w:rsidRDefault="00E73308" w:rsidP="00117A2F">
      <w:r>
        <w:t xml:space="preserve">Elle </w:t>
      </w:r>
      <w:r w:rsidR="00C71043">
        <w:t xml:space="preserve">vise les objectifs suivants : </w:t>
      </w:r>
    </w:p>
    <w:p w14:paraId="1CD20B22" w14:textId="32EC919E" w:rsidR="00C71043" w:rsidRPr="00C71043" w:rsidRDefault="00C71043" w:rsidP="00353A8C">
      <w:pPr>
        <w:pStyle w:val="Paragraphedeliste"/>
        <w:numPr>
          <w:ilvl w:val="0"/>
          <w:numId w:val="23"/>
        </w:numPr>
        <w:rPr>
          <w:i/>
        </w:rPr>
      </w:pPr>
      <w:proofErr w:type="gramStart"/>
      <w:r w:rsidRPr="00C71043">
        <w:rPr>
          <w:i/>
        </w:rPr>
        <w:t>l’instauration</w:t>
      </w:r>
      <w:proofErr w:type="gramEnd"/>
      <w:r w:rsidRPr="00C71043">
        <w:rPr>
          <w:i/>
        </w:rPr>
        <w:t xml:space="preserve"> d’une culture de redevabilité à tous les niveaux de responsabilité ; </w:t>
      </w:r>
    </w:p>
    <w:p w14:paraId="36718C9B" w14:textId="4113054B" w:rsidR="00C71043" w:rsidRPr="00C71043" w:rsidRDefault="00C71043" w:rsidP="00353A8C">
      <w:pPr>
        <w:pStyle w:val="Paragraphedeliste"/>
        <w:numPr>
          <w:ilvl w:val="0"/>
          <w:numId w:val="23"/>
        </w:numPr>
        <w:rPr>
          <w:i/>
        </w:rPr>
      </w:pPr>
      <w:proofErr w:type="gramStart"/>
      <w:r w:rsidRPr="00C71043">
        <w:rPr>
          <w:i/>
        </w:rPr>
        <w:t>l’amélioration</w:t>
      </w:r>
      <w:proofErr w:type="gramEnd"/>
      <w:r w:rsidRPr="00C71043">
        <w:rPr>
          <w:i/>
        </w:rPr>
        <w:t xml:space="preserve"> de la transparence dans la gestion des affaires publiques ; </w:t>
      </w:r>
    </w:p>
    <w:p w14:paraId="61DCAFC2" w14:textId="3D517C1E" w:rsidR="00C71043" w:rsidRPr="00C71043" w:rsidRDefault="00C71043" w:rsidP="00353A8C">
      <w:pPr>
        <w:pStyle w:val="Paragraphedeliste"/>
        <w:numPr>
          <w:ilvl w:val="0"/>
          <w:numId w:val="23"/>
        </w:numPr>
        <w:rPr>
          <w:i/>
        </w:rPr>
      </w:pPr>
      <w:proofErr w:type="gramStart"/>
      <w:r w:rsidRPr="00C71043">
        <w:rPr>
          <w:i/>
        </w:rPr>
        <w:t>l’amélioration</w:t>
      </w:r>
      <w:proofErr w:type="gramEnd"/>
      <w:r w:rsidRPr="00C71043">
        <w:rPr>
          <w:i/>
        </w:rPr>
        <w:t xml:space="preserve"> de performance de l’administration publique; </w:t>
      </w:r>
    </w:p>
    <w:p w14:paraId="32C8908A" w14:textId="62F14446" w:rsidR="00C71043" w:rsidRPr="00C71043" w:rsidRDefault="00C71043" w:rsidP="00353A8C">
      <w:pPr>
        <w:pStyle w:val="Paragraphedeliste"/>
        <w:numPr>
          <w:ilvl w:val="0"/>
          <w:numId w:val="24"/>
        </w:numPr>
        <w:rPr>
          <w:i/>
        </w:rPr>
      </w:pPr>
      <w:proofErr w:type="gramStart"/>
      <w:r w:rsidRPr="00C71043">
        <w:rPr>
          <w:i/>
        </w:rPr>
        <w:t>le</w:t>
      </w:r>
      <w:proofErr w:type="gramEnd"/>
      <w:r w:rsidRPr="00C71043">
        <w:rPr>
          <w:i/>
        </w:rPr>
        <w:t xml:space="preserve"> renforcement de l’Etat de droit ;</w:t>
      </w:r>
    </w:p>
    <w:p w14:paraId="0973EDBE" w14:textId="5D39F8B9" w:rsidR="00C71043" w:rsidRPr="00C71043" w:rsidRDefault="00C71043" w:rsidP="00353A8C">
      <w:pPr>
        <w:pStyle w:val="Paragraphedeliste"/>
        <w:numPr>
          <w:ilvl w:val="0"/>
          <w:numId w:val="24"/>
        </w:numPr>
        <w:rPr>
          <w:i/>
        </w:rPr>
      </w:pPr>
      <w:proofErr w:type="gramStart"/>
      <w:r w:rsidRPr="00C71043">
        <w:rPr>
          <w:i/>
        </w:rPr>
        <w:t>le</w:t>
      </w:r>
      <w:proofErr w:type="gramEnd"/>
      <w:r w:rsidRPr="00C71043">
        <w:rPr>
          <w:i/>
        </w:rPr>
        <w:t xml:space="preserve"> renforcement de la participation des citoyens et de la société civile à la gestion des affaires publiques ;</w:t>
      </w:r>
    </w:p>
    <w:p w14:paraId="09DF6419" w14:textId="7C7AF2C2" w:rsidR="00C71043" w:rsidRPr="00C71043" w:rsidRDefault="00C71043" w:rsidP="00353A8C">
      <w:pPr>
        <w:pStyle w:val="Paragraphedeliste"/>
        <w:numPr>
          <w:ilvl w:val="0"/>
          <w:numId w:val="24"/>
        </w:numPr>
        <w:rPr>
          <w:i/>
        </w:rPr>
      </w:pPr>
      <w:proofErr w:type="gramStart"/>
      <w:r w:rsidRPr="00C71043">
        <w:rPr>
          <w:i/>
        </w:rPr>
        <w:t>le</w:t>
      </w:r>
      <w:proofErr w:type="gramEnd"/>
      <w:r w:rsidRPr="00C71043">
        <w:rPr>
          <w:i/>
        </w:rPr>
        <w:t xml:space="preserve"> renforcement de l’équité et de l’inclusion dans la gestion des affaires publiques ;</w:t>
      </w:r>
    </w:p>
    <w:p w14:paraId="5C2CD342" w14:textId="007C8512" w:rsidR="00C71043" w:rsidRPr="00C71043" w:rsidRDefault="00C71043" w:rsidP="00353A8C">
      <w:pPr>
        <w:pStyle w:val="Paragraphedeliste"/>
        <w:numPr>
          <w:ilvl w:val="0"/>
          <w:numId w:val="24"/>
        </w:numPr>
        <w:rPr>
          <w:i/>
        </w:rPr>
      </w:pPr>
      <w:proofErr w:type="gramStart"/>
      <w:r w:rsidRPr="00C71043">
        <w:rPr>
          <w:i/>
        </w:rPr>
        <w:t>l’amélioration</w:t>
      </w:r>
      <w:proofErr w:type="gramEnd"/>
      <w:r w:rsidRPr="00C71043">
        <w:rPr>
          <w:i/>
        </w:rPr>
        <w:t xml:space="preserve"> de la vision stratégique.</w:t>
      </w:r>
    </w:p>
    <w:p w14:paraId="30F08A34" w14:textId="4B2A31DA" w:rsidR="00C71043" w:rsidRDefault="00C71043" w:rsidP="00C71043">
      <w:r>
        <w:t>Elle cible tous les aspects de la gouvernance : politique et démocratique, administrative, économique, des sectoriels, et corruption. Le projet du PNUD objet de l’évaluation traite uniquement de la partie corruption.</w:t>
      </w:r>
    </w:p>
    <w:p w14:paraId="6279E548" w14:textId="3710AB57" w:rsidR="00B14761" w:rsidRDefault="00B14761" w:rsidP="00117A2F"/>
    <w:p w14:paraId="2A7153FB" w14:textId="06AF3869" w:rsidR="0079440F" w:rsidRPr="0079440F" w:rsidRDefault="0079440F" w:rsidP="00117A2F">
      <w:pPr>
        <w:rPr>
          <w:b/>
        </w:rPr>
      </w:pPr>
      <w:r w:rsidRPr="0079440F">
        <w:rPr>
          <w:b/>
        </w:rPr>
        <w:t>Cadre légal</w:t>
      </w:r>
    </w:p>
    <w:p w14:paraId="0B13D004" w14:textId="3D7A9DC7" w:rsidR="0079440F" w:rsidRDefault="0079440F" w:rsidP="00117A2F"/>
    <w:p w14:paraId="24039DC2" w14:textId="5734B5D1" w:rsidR="001D0EF2" w:rsidRDefault="001D0EF2" w:rsidP="00117A2F">
      <w:r>
        <w:t>Plusieurs évolutions du cadre légal ont eu lieu récemment.</w:t>
      </w:r>
    </w:p>
    <w:p w14:paraId="56036A18" w14:textId="5954FC15" w:rsidR="00B90F25" w:rsidRDefault="001D0EF2" w:rsidP="001D0EF2">
      <w:r>
        <w:t xml:space="preserve">La Constitution a été modifiée </w:t>
      </w:r>
      <w:proofErr w:type="gramStart"/>
      <w:r>
        <w:t>suite au</w:t>
      </w:r>
      <w:proofErr w:type="gramEnd"/>
      <w:r>
        <w:t xml:space="preserve"> référendum </w:t>
      </w:r>
      <w:r w:rsidR="00B90F25">
        <w:t>de mai 2018. La corruption y est mentionnée dans l’article 69 et 146</w:t>
      </w:r>
      <w:r w:rsidR="00314582">
        <w:t>.</w:t>
      </w:r>
      <w:r w:rsidR="00B90F25">
        <w:t xml:space="preserve">  </w:t>
      </w:r>
    </w:p>
    <w:p w14:paraId="3E6857E6" w14:textId="6C6D518F" w:rsidR="00507066" w:rsidRDefault="00507066" w:rsidP="001D0EF2"/>
    <w:p w14:paraId="71F8562E" w14:textId="7D09E5DF" w:rsidR="00507066" w:rsidRPr="00507066" w:rsidRDefault="00507066" w:rsidP="001D0EF2">
      <w:pPr>
        <w:rPr>
          <w:i/>
        </w:rPr>
      </w:pPr>
      <w:r w:rsidRPr="00507066">
        <w:rPr>
          <w:i/>
        </w:rPr>
        <w:t>Articles de la Constitution</w:t>
      </w:r>
    </w:p>
    <w:p w14:paraId="4B255B76" w14:textId="2540D75B" w:rsidR="00B90F25" w:rsidRDefault="00000FFA" w:rsidP="001D0EF2">
      <w:r w:rsidRPr="00C215AE">
        <w:rPr>
          <w:noProof/>
        </w:rPr>
        <w:drawing>
          <wp:anchor distT="0" distB="0" distL="114300" distR="114300" simplePos="0" relativeHeight="251671552" behindDoc="1" locked="0" layoutInCell="1" allowOverlap="1" wp14:anchorId="0857FA3B" wp14:editId="6E149FBC">
            <wp:simplePos x="0" y="0"/>
            <wp:positionH relativeFrom="page">
              <wp:posOffset>3979817</wp:posOffset>
            </wp:positionH>
            <wp:positionV relativeFrom="paragraph">
              <wp:posOffset>15240</wp:posOffset>
            </wp:positionV>
            <wp:extent cx="2922905" cy="1475740"/>
            <wp:effectExtent l="0" t="0" r="0" b="0"/>
            <wp:wrapTight wrapText="bothSides">
              <wp:wrapPolygon edited="0">
                <wp:start x="0" y="0"/>
                <wp:lineTo x="0" y="21191"/>
                <wp:lineTo x="21398" y="21191"/>
                <wp:lineTo x="2139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42" t="12724" r="1342" b="4718"/>
                    <a:stretch/>
                  </pic:blipFill>
                  <pic:spPr bwMode="auto">
                    <a:xfrm>
                      <a:off x="0" y="0"/>
                      <a:ext cx="2922905" cy="1475740"/>
                    </a:xfrm>
                    <a:prstGeom prst="rect">
                      <a:avLst/>
                    </a:prstGeom>
                    <a:noFill/>
                    <a:ln>
                      <a:noFill/>
                    </a:ln>
                    <a:extLst>
                      <a:ext uri="{53640926-AAD7-44D8-BBD7-CCE9431645EC}">
                        <a14:shadowObscured xmlns:a14="http://schemas.microsoft.com/office/drawing/2010/main"/>
                      </a:ext>
                    </a:extLst>
                  </pic:spPr>
                </pic:pic>
              </a:graphicData>
            </a:graphic>
          </wp:anchor>
        </w:drawing>
      </w:r>
      <w:r w:rsidR="00507066" w:rsidRPr="00F92265">
        <w:rPr>
          <w:noProof/>
        </w:rPr>
        <w:drawing>
          <wp:anchor distT="0" distB="0" distL="114300" distR="114300" simplePos="0" relativeHeight="251668480" behindDoc="1" locked="0" layoutInCell="1" allowOverlap="1" wp14:anchorId="52802AF1" wp14:editId="0840A6EE">
            <wp:simplePos x="0" y="0"/>
            <wp:positionH relativeFrom="margin">
              <wp:posOffset>-294186</wp:posOffset>
            </wp:positionH>
            <wp:positionV relativeFrom="paragraph">
              <wp:posOffset>280670</wp:posOffset>
            </wp:positionV>
            <wp:extent cx="3023870" cy="1079500"/>
            <wp:effectExtent l="0" t="0" r="5080" b="6350"/>
            <wp:wrapTight wrapText="bothSides">
              <wp:wrapPolygon edited="0">
                <wp:start x="0" y="0"/>
                <wp:lineTo x="0" y="21346"/>
                <wp:lineTo x="21500" y="21346"/>
                <wp:lineTo x="2150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8646" b="4789"/>
                    <a:stretch/>
                  </pic:blipFill>
                  <pic:spPr bwMode="auto">
                    <a:xfrm>
                      <a:off x="0" y="0"/>
                      <a:ext cx="302387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BBCE7" w14:textId="1E239671" w:rsidR="00B90F25" w:rsidRDefault="00B90F25" w:rsidP="001D0EF2"/>
    <w:p w14:paraId="395F622B" w14:textId="77777777" w:rsidR="00BC62C9" w:rsidRDefault="00BC62C9" w:rsidP="00117A2F"/>
    <w:p w14:paraId="7FE96ABF" w14:textId="3350AF3C" w:rsidR="00510F63" w:rsidRDefault="00510F63" w:rsidP="00117A2F">
      <w:r>
        <w:t xml:space="preserve">Le Code Pénal a été révisé </w:t>
      </w:r>
      <w:r w:rsidR="00AF50AC">
        <w:t xml:space="preserve">avec un changement des délais et des procédures d’arrestation </w:t>
      </w:r>
      <w:r w:rsidR="00AF50AC" w:rsidRPr="00000FFA">
        <w:t>pour le respect des droits et libertés fondamentales dans les enquêtes préliminaires.</w:t>
      </w:r>
      <w:r w:rsidR="00346870" w:rsidRPr="00000FFA">
        <w:t xml:space="preserve"> Des infractions ont également été ajoutées</w:t>
      </w:r>
      <w:r w:rsidR="00B90F25" w:rsidRPr="00000FFA">
        <w:t>.</w:t>
      </w:r>
    </w:p>
    <w:p w14:paraId="7E0393F1" w14:textId="64AAE8AC" w:rsidR="00510F63" w:rsidRDefault="0016609E" w:rsidP="00117A2F">
      <w:r>
        <w:t xml:space="preserve">Le Code des Marchés Publics élaboré en 2008 vient d’être révisé et a été promulgué en janvier 2018. </w:t>
      </w:r>
    </w:p>
    <w:p w14:paraId="5E310A91" w14:textId="07171B76" w:rsidR="00C215AE" w:rsidRDefault="00C215AE" w:rsidP="00117A2F"/>
    <w:p w14:paraId="6EC958AB" w14:textId="77777777" w:rsidR="00F92265" w:rsidRDefault="00F92265" w:rsidP="00117A2F"/>
    <w:p w14:paraId="328979D6" w14:textId="78FD04D5" w:rsidR="0079440F" w:rsidRPr="0079440F" w:rsidRDefault="0079440F" w:rsidP="00117A2F">
      <w:pPr>
        <w:rPr>
          <w:b/>
        </w:rPr>
      </w:pPr>
      <w:r w:rsidRPr="0079440F">
        <w:rPr>
          <w:b/>
        </w:rPr>
        <w:t xml:space="preserve">Types de corruption </w:t>
      </w:r>
      <w:r>
        <w:rPr>
          <w:b/>
        </w:rPr>
        <w:t>/ définition</w:t>
      </w:r>
    </w:p>
    <w:p w14:paraId="413D8D5E" w14:textId="478E1CDE" w:rsidR="0079440F" w:rsidRDefault="0079440F" w:rsidP="00117A2F"/>
    <w:p w14:paraId="687C92B3" w14:textId="0E7EA981" w:rsidR="007D1AE9" w:rsidRPr="007D1AE9" w:rsidRDefault="00A1203F" w:rsidP="007D1AE9">
      <w:pPr>
        <w:autoSpaceDE w:val="0"/>
        <w:autoSpaceDN w:val="0"/>
        <w:adjustRightInd w:val="0"/>
        <w:rPr>
          <w:rFonts w:ascii="ChaparralPro-Regular" w:hAnsi="ChaparralPro-Regular" w:cs="ChaparralPro-Regular"/>
          <w:sz w:val="22"/>
          <w:szCs w:val="22"/>
        </w:rPr>
      </w:pPr>
      <w:r>
        <w:t>Il existe peu de données précises sur l’étendu du phénomène et les différentes formes</w:t>
      </w:r>
      <w:r w:rsidR="008B014A">
        <w:t xml:space="preserve"> qu’elle peut prendre</w:t>
      </w:r>
      <w:r w:rsidR="00D57C81">
        <w:t>, mais chaque citoyen y fait face d’une façon ou d’une autre</w:t>
      </w:r>
      <w:r w:rsidR="003F368E">
        <w:t xml:space="preserve">, même si la stratégie incluait une définition de la corruption, et si </w:t>
      </w:r>
      <w:r w:rsidR="007D1AE9">
        <w:t>plusieurs organisations de la société civile travaillent ou ont travaillé sur la question.</w:t>
      </w:r>
      <w:r>
        <w:t xml:space="preserve"> </w:t>
      </w:r>
      <w:r w:rsidR="007D1AE9">
        <w:t>La stratégie fait référence aux indicateurs internationaux et à une étude diagnostic réalisée 2007 par le CERTI, bureau indépendant qui stipulent que</w:t>
      </w:r>
      <w:r w:rsidR="007D1AE9" w:rsidRPr="007D1AE9">
        <w:t xml:space="preserve"> </w:t>
      </w:r>
      <w:r w:rsidR="007D1AE9" w:rsidRPr="007D1AE9">
        <w:rPr>
          <w:i/>
        </w:rPr>
        <w:t>« </w:t>
      </w:r>
      <w:r w:rsidR="007D1AE9" w:rsidRPr="007D1AE9">
        <w:rPr>
          <w:i/>
          <w:sz w:val="22"/>
          <w:szCs w:val="22"/>
        </w:rPr>
        <w:t>les plus grandes fréquences de paiements de pot-de-vin sont remarquables au niveau des policiers avec respectivement 76% des ONG, 66% des entrepreneurs, 54% des fonctionnaires et 29% des citoyens disant ayant eu à payer des pots-de-vin aux agents de la police au cours de l’année 2006.  Les autres fréquences élevées sont relevées au niveau des employés de la mairie et des douaniers. »</w:t>
      </w:r>
      <w:r w:rsidR="007D1AE9">
        <w:rPr>
          <w:i/>
          <w:sz w:val="22"/>
          <w:szCs w:val="22"/>
        </w:rPr>
        <w:t xml:space="preserve"> </w:t>
      </w:r>
      <w:r w:rsidR="007D1AE9" w:rsidRPr="007D1AE9">
        <w:rPr>
          <w:sz w:val="22"/>
          <w:szCs w:val="22"/>
        </w:rPr>
        <w:t>Elle touche aussi tous les services, y compris système judiciaire, éducation, passation des marchés publics et fisc.</w:t>
      </w:r>
    </w:p>
    <w:p w14:paraId="6AFE0D0B" w14:textId="258D20FC" w:rsidR="001C19A9" w:rsidRDefault="007D1AE9" w:rsidP="00117A2F">
      <w:r>
        <w:t>D’après les personnes rencontrées, l</w:t>
      </w:r>
      <w:r w:rsidR="001C19A9">
        <w:t>a corruption ne concerne pas seulement des comportements individuels, mais aussi des approches collectives</w:t>
      </w:r>
      <w:r w:rsidR="003F61DD">
        <w:t>, puisque dans certains cas les agents sont déployés à des postes où la collecte illicite est la plus rentable, et doivent ainsi rétrocéd</w:t>
      </w:r>
      <w:r w:rsidR="00D7284A">
        <w:t>er</w:t>
      </w:r>
      <w:r w:rsidR="003F61DD">
        <w:t xml:space="preserve"> une partie des gains collectés en dédommagement.</w:t>
      </w:r>
      <w:r w:rsidR="00D7284A">
        <w:t xml:space="preserve"> Cette organisation hiérarchique pèse bien sûr sur et crée des pressions sur le personnel, qui ne peuvent lutter contre le phénomène sous peine de perdre son poste ou pire « La corruption qui est ici, c’est la peur », déclare ainsi un interlocuteur.</w:t>
      </w:r>
    </w:p>
    <w:p w14:paraId="4E83A467" w14:textId="53A6CD78" w:rsidR="00EA4A52" w:rsidRDefault="00EA4A52" w:rsidP="00117A2F">
      <w:r>
        <w:t>Compte tenu de ces différents types de liens de solidarité / redevabilité, de nombreux acteurs font figure d’intouchables, « Personne ne pense à l’avenir et tout le monde pense à lui-même »</w:t>
      </w:r>
      <w:r w:rsidR="000E2D08">
        <w:t>, « C’est la loi du ventre »</w:t>
      </w:r>
      <w:r>
        <w:t xml:space="preserve">. </w:t>
      </w:r>
    </w:p>
    <w:p w14:paraId="2175CEA7" w14:textId="77476F8A" w:rsidR="00C144E7" w:rsidRDefault="00C144E7" w:rsidP="00117A2F">
      <w:r>
        <w:t xml:space="preserve">Les salaires des agents de l’Etat ne sont pas très </w:t>
      </w:r>
      <w:r w:rsidRPr="00D57C81">
        <w:t>élevés (60 000 FBU environs pour un policier, 120 000 FBU pour un officier)</w:t>
      </w:r>
      <w:r w:rsidR="00D57C81" w:rsidRPr="00D57C81">
        <w:t>, et la corruption est une solution pour augmenter les ressources du foyer.</w:t>
      </w:r>
      <w:r w:rsidR="00D57C81">
        <w:t xml:space="preserve"> Le niveau de pauvreté favorise ce type de comportements. </w:t>
      </w:r>
      <w:r>
        <w:t>La dépréciation du Franc Burundais</w:t>
      </w:r>
      <w:r w:rsidR="00D57C81">
        <w:t xml:space="preserve"> au cours des dernières années</w:t>
      </w:r>
      <w:r w:rsidR="008B57E5">
        <w:t xml:space="preserve"> de 1500 FBU/USD en 2014 /2018 à près de 1800 FBU/USD en 2018</w:t>
      </w:r>
      <w:r>
        <w:t>,</w:t>
      </w:r>
      <w:r w:rsidR="00152232">
        <w:t xml:space="preserve"> avec un taux d’inflation de 18%</w:t>
      </w:r>
      <w:r w:rsidR="00D57C81">
        <w:t>, augmente aussi la pression financière sur les acteurs.</w:t>
      </w:r>
    </w:p>
    <w:p w14:paraId="62FF3D3F" w14:textId="77777777" w:rsidR="00510F63" w:rsidRDefault="00510F63" w:rsidP="00117A2F"/>
    <w:p w14:paraId="25703710" w14:textId="5CFD32A2" w:rsidR="007A1951" w:rsidRDefault="007A1951" w:rsidP="00117A2F"/>
    <w:p w14:paraId="788C582D" w14:textId="10C85266" w:rsidR="007A1951" w:rsidRPr="000509CA" w:rsidRDefault="007A1951" w:rsidP="00117A2F">
      <w:pPr>
        <w:rPr>
          <w:b/>
        </w:rPr>
      </w:pPr>
      <w:r w:rsidRPr="000509CA">
        <w:rPr>
          <w:b/>
        </w:rPr>
        <w:t>Principaux bailleurs</w:t>
      </w:r>
    </w:p>
    <w:p w14:paraId="700DC840" w14:textId="34939B2B" w:rsidR="007A1951" w:rsidRDefault="007A1951" w:rsidP="00117A2F"/>
    <w:p w14:paraId="1DB48AA7" w14:textId="137FA535" w:rsidR="009E0669" w:rsidRDefault="009E0669" w:rsidP="00117A2F">
      <w:r>
        <w:t>Les bailleurs se sont largement désengagés de l’appui aux institutions étatiques, notamment Institutions Supérieures de Contrôle. Les interventions suivantes ont cependant été identifiée (cette liste n’est pas exhaustive), témoignant d’un certain intérêt pour la thématique, via des approches ciblées.</w:t>
      </w:r>
    </w:p>
    <w:p w14:paraId="25D9D884" w14:textId="2DCC9727" w:rsidR="000509CA" w:rsidRDefault="000509CA" w:rsidP="00117A2F">
      <w:pPr>
        <w:rPr>
          <w:highlight w:val="yellow"/>
        </w:rPr>
      </w:pPr>
      <w:r>
        <w:t>L’Union Européenne avait un grand projet de gouvernance, qui s’est clôturé en 2015 à cause de la crise.</w:t>
      </w:r>
      <w:r w:rsidR="007948E2">
        <w:t xml:space="preserve"> En effet, l’appui de l’UE aux institutions étatiques a été suspendu en 2015 en vertu de l’article 96 des accords de Cotonou</w:t>
      </w:r>
      <w:r w:rsidR="001A31F3">
        <w:t>, et l’appui a été réorienté pour un appui direct aux populations</w:t>
      </w:r>
      <w:r w:rsidR="007948E2">
        <w:t>.</w:t>
      </w:r>
      <w:r w:rsidR="00F35983">
        <w:t xml:space="preserve"> Compte tenu des frictions avec le gouvernement, les objectifs et benchmarks qui permettraient le rétablissement de la situation ne sont pas encore discutés.</w:t>
      </w:r>
      <w:r w:rsidR="007948E2">
        <w:t xml:space="preserve"> </w:t>
      </w:r>
    </w:p>
    <w:p w14:paraId="5E658CE2" w14:textId="244FF865" w:rsidR="009F1D2C" w:rsidRDefault="004106BD" w:rsidP="00117A2F">
      <w:r>
        <w:t>L’</w:t>
      </w:r>
      <w:r w:rsidR="009F1D2C">
        <w:t>U</w:t>
      </w:r>
      <w:r>
        <w:t xml:space="preserve">nion </w:t>
      </w:r>
      <w:r w:rsidR="009F1D2C">
        <w:t>E</w:t>
      </w:r>
      <w:r>
        <w:t>uropéenne avait un</w:t>
      </w:r>
      <w:r w:rsidR="009F1D2C">
        <w:t xml:space="preserve"> projet</w:t>
      </w:r>
      <w:r>
        <w:t xml:space="preserve"> d’appui à la société civile</w:t>
      </w:r>
      <w:r w:rsidR="00E73308">
        <w:t>.</w:t>
      </w:r>
      <w:r>
        <w:t xml:space="preserve"> </w:t>
      </w:r>
    </w:p>
    <w:p w14:paraId="6F6CA735" w14:textId="0EC26F29" w:rsidR="008A3B1F" w:rsidRDefault="009E0669" w:rsidP="00117A2F">
      <w:r>
        <w:t xml:space="preserve">La </w:t>
      </w:r>
      <w:r w:rsidR="008A3B1F">
        <w:t>B</w:t>
      </w:r>
      <w:r>
        <w:t xml:space="preserve">anque </w:t>
      </w:r>
      <w:r w:rsidR="008A3B1F">
        <w:t>A</w:t>
      </w:r>
      <w:r>
        <w:t xml:space="preserve">fricaine de </w:t>
      </w:r>
      <w:r w:rsidR="008A3B1F">
        <w:t>D</w:t>
      </w:r>
      <w:r>
        <w:t>éveloppement</w:t>
      </w:r>
      <w:r w:rsidR="008A3B1F">
        <w:t xml:space="preserve"> </w:t>
      </w:r>
      <w:r>
        <w:t>et la</w:t>
      </w:r>
      <w:r w:rsidR="008A3B1F">
        <w:t xml:space="preserve"> Banque Mondiale</w:t>
      </w:r>
      <w:r>
        <w:t xml:space="preserve"> fournissent un appui</w:t>
      </w:r>
      <w:r w:rsidR="008A3B1F">
        <w:t xml:space="preserve"> au portail des Marchés Publics</w:t>
      </w:r>
      <w:r w:rsidR="00735830">
        <w:t xml:space="preserve"> et à la Cour des Comptes</w:t>
      </w:r>
      <w:r>
        <w:t>.</w:t>
      </w:r>
    </w:p>
    <w:p w14:paraId="5E763332" w14:textId="77777777" w:rsidR="007000BC" w:rsidRDefault="007000BC" w:rsidP="007000BC">
      <w:r>
        <w:t>La France dispense des formations aux cadres de l’OBR.</w:t>
      </w:r>
    </w:p>
    <w:p w14:paraId="7796F6E7" w14:textId="77777777" w:rsidR="007000BC" w:rsidRDefault="007000BC" w:rsidP="007000BC">
      <w:r>
        <w:t>Pays Bas fournissait auparavant un appui à la Cour des Comptes.</w:t>
      </w:r>
    </w:p>
    <w:p w14:paraId="758AF1C7" w14:textId="77777777" w:rsidR="007000BC" w:rsidRDefault="007000BC" w:rsidP="007000BC">
      <w:r>
        <w:t>La GIZ finance le poste d’un assistant technique à ABUCO.</w:t>
      </w:r>
    </w:p>
    <w:p w14:paraId="6E6A54DA" w14:textId="77777777" w:rsidR="007000BC" w:rsidRPr="00D7503C" w:rsidRDefault="007000BC" w:rsidP="007000BC">
      <w:r w:rsidRPr="00D7503C">
        <w:t>Le Peace Building Fund</w:t>
      </w:r>
      <w:r>
        <w:rPr>
          <w:rStyle w:val="Appelnotedebasdep"/>
          <w:lang w:val="en-GB"/>
        </w:rPr>
        <w:footnoteReference w:id="2"/>
      </w:r>
      <w:r w:rsidRPr="00D7503C">
        <w:t xml:space="preserve"> aussi finance des OSC. </w:t>
      </w:r>
    </w:p>
    <w:p w14:paraId="5F59D7EB" w14:textId="1F8F6E10" w:rsidR="008A3B1F" w:rsidRDefault="00DD0DA9" w:rsidP="00117A2F">
      <w:r>
        <w:t>La CTB</w:t>
      </w:r>
      <w:r w:rsidR="009E0669">
        <w:t xml:space="preserve"> a appuyé la stratégie nationale de bonne gouvernance</w:t>
      </w:r>
      <w:r>
        <w:t xml:space="preserve"> sur financement UE</w:t>
      </w:r>
      <w:r w:rsidR="009E0669">
        <w:t>, qui a d’ailleurs été évalué</w:t>
      </w:r>
      <w:r w:rsidR="007000BC">
        <w:t xml:space="preserve"> en 2015</w:t>
      </w:r>
      <w:r w:rsidR="007000BC">
        <w:rPr>
          <w:rStyle w:val="Appelnotedebasdep"/>
        </w:rPr>
        <w:footnoteReference w:id="3"/>
      </w:r>
      <w:r w:rsidR="007000BC">
        <w:t>.</w:t>
      </w:r>
      <w:r w:rsidR="009E0669">
        <w:t xml:space="preserve"> </w:t>
      </w:r>
      <w:r>
        <w:t xml:space="preserve"> </w:t>
      </w:r>
    </w:p>
    <w:p w14:paraId="329B949A" w14:textId="77777777" w:rsidR="000D08A7" w:rsidRPr="00D7503C" w:rsidRDefault="000D08A7" w:rsidP="00117A2F"/>
    <w:p w14:paraId="45398346" w14:textId="66E11252" w:rsidR="00B9462A" w:rsidRPr="00B9462A" w:rsidRDefault="00B9462A" w:rsidP="00117A2F">
      <w:r w:rsidRPr="00B9462A">
        <w:t xml:space="preserve">L’interruption des projets principaux d’appui </w:t>
      </w:r>
      <w:r>
        <w:t xml:space="preserve">aux </w:t>
      </w:r>
      <w:r w:rsidR="009D7C89">
        <w:t xml:space="preserve">bailleurs a fortement contraint les relations entre bailleurs et acteurs étatiques avec une méfiance élevée des deux côtés. </w:t>
      </w:r>
    </w:p>
    <w:p w14:paraId="6736DF15" w14:textId="77777777" w:rsidR="000D08A7" w:rsidRPr="000D08A7" w:rsidRDefault="000D08A7" w:rsidP="000D08A7">
      <w:r w:rsidRPr="000D08A7">
        <w:t>Au niveau africain, on p</w:t>
      </w:r>
      <w:r>
        <w:t xml:space="preserve">eut aussi noter que l’Union Africaine a fait de la lutte contre la corruption son thème majeur pour 2018 : Gagner le Combat contre la Corruption : un Chemin Durable vers la Transformation de l’Afrique. </w:t>
      </w:r>
    </w:p>
    <w:p w14:paraId="20F1D6F5" w14:textId="77777777" w:rsidR="00190661" w:rsidRPr="00B9462A" w:rsidRDefault="00190661" w:rsidP="00117A2F"/>
    <w:p w14:paraId="2AD852FC" w14:textId="679DA6F1" w:rsidR="00541106" w:rsidRDefault="00541106" w:rsidP="00117A2F">
      <w:pPr>
        <w:pStyle w:val="Titre1"/>
      </w:pPr>
      <w:bookmarkStart w:id="9" w:name="_Toc525626831"/>
      <w:r>
        <w:t>Objet de l’évaluation</w:t>
      </w:r>
      <w:bookmarkEnd w:id="9"/>
      <w:r>
        <w:t xml:space="preserve"> </w:t>
      </w:r>
    </w:p>
    <w:p w14:paraId="54554DFC" w14:textId="373386A0" w:rsidR="00541106" w:rsidRDefault="00541106" w:rsidP="00117A2F"/>
    <w:p w14:paraId="21C33ADA" w14:textId="1BCDE5E7" w:rsidR="00910984" w:rsidRPr="00B14761" w:rsidRDefault="00763D02" w:rsidP="00117A2F">
      <w:r w:rsidRPr="00B14761">
        <w:t>Le projet évalué</w:t>
      </w:r>
      <w:r w:rsidR="00B14761" w:rsidRPr="00B14761">
        <w:t xml:space="preserve"> a été défini dans le Document de Projet d’Appui à la mise en œuvre de la Stratégie Nationale de Bonne Gouvernance et de Lutte contre la Corruption début janvier 2013, signé entre le PNUD et </w:t>
      </w:r>
      <w:r w:rsidR="00910984" w:rsidRPr="00B14761">
        <w:t>le Ministère à la Présidence Chargé de la Bonne Gouvernance et de la Privatisation.</w:t>
      </w:r>
    </w:p>
    <w:p w14:paraId="31DACB27" w14:textId="31B05F53" w:rsidR="002D5C4B" w:rsidRPr="00B14761" w:rsidRDefault="002D5C4B" w:rsidP="00117A2F"/>
    <w:p w14:paraId="0DDABE80" w14:textId="6DA657D1" w:rsidR="00B14761" w:rsidRPr="00B14761" w:rsidRDefault="002D5C4B" w:rsidP="00117A2F">
      <w:r w:rsidRPr="00B14761">
        <w:t xml:space="preserve">Le budget prévu dans le document de projet était de 3,38 million USD. </w:t>
      </w:r>
      <w:r w:rsidR="00B14761" w:rsidRPr="00B14761">
        <w:t>Le projet a bénéficié du financement du PNUD, contributeur principal, avec un montant total de 1 933 227 USD (de 2013-2016) et une contribution de l’Union Européenne pour un montant de 500</w:t>
      </w:r>
      <w:r w:rsidR="0036343D">
        <w:t xml:space="preserve"> </w:t>
      </w:r>
      <w:r w:rsidR="00B14761" w:rsidRPr="00B14761">
        <w:t>000 EUR (pour la période 2014-2015).</w:t>
      </w:r>
    </w:p>
    <w:p w14:paraId="5645C9EB" w14:textId="67BBDFEF" w:rsidR="002D5C4B" w:rsidRPr="00B14761" w:rsidRDefault="002D5C4B" w:rsidP="00117A2F"/>
    <w:p w14:paraId="2D8AB9A7" w14:textId="44F99547" w:rsidR="006A49BD" w:rsidRPr="00B14761" w:rsidRDefault="006A49BD" w:rsidP="00117A2F">
      <w:r w:rsidRPr="00B14761">
        <w:t>Le document de projet mettait en exergue le besoin de renforcer la société civile et le secteur privé pour contribuer à la mise en œuvre des stratégies nationales de renforcement de la transparence et de lutte contre la corruption.</w:t>
      </w:r>
    </w:p>
    <w:p w14:paraId="35E08DC6" w14:textId="02ABBBA0" w:rsidR="00B14761" w:rsidRPr="00B14761" w:rsidRDefault="00B14761" w:rsidP="00117A2F"/>
    <w:p w14:paraId="1149A2AC" w14:textId="1D094623" w:rsidR="00B14761" w:rsidRPr="00B14761" w:rsidRDefault="00B14761" w:rsidP="00117A2F">
      <w:r w:rsidRPr="00B14761">
        <w:t>Le projet couvre quatre résultats principaux :</w:t>
      </w:r>
    </w:p>
    <w:p w14:paraId="0157C1DA" w14:textId="77777777" w:rsidR="006A49BD" w:rsidRPr="00B14761" w:rsidRDefault="006A49BD" w:rsidP="00117A2F"/>
    <w:p w14:paraId="25559EFB" w14:textId="77777777" w:rsidR="00910984" w:rsidRPr="00B14761" w:rsidRDefault="00910984" w:rsidP="00353A8C">
      <w:pPr>
        <w:pStyle w:val="Paragraphedeliste"/>
        <w:numPr>
          <w:ilvl w:val="0"/>
          <w:numId w:val="4"/>
        </w:numPr>
        <w:rPr>
          <w:snapToGrid w:val="0"/>
          <w:spacing w:val="-1"/>
        </w:rPr>
      </w:pPr>
      <w:r w:rsidRPr="00B14761">
        <w:rPr>
          <w:snapToGrid w:val="0"/>
        </w:rPr>
        <w:t xml:space="preserve">Renforcement des capacités techniques et organisationnelles des Institutions Supérieures de Contrôle et de Lutte Anti-Corruption </w:t>
      </w:r>
    </w:p>
    <w:p w14:paraId="60C0DB73" w14:textId="670916A1" w:rsidR="00910984" w:rsidRPr="00B14761" w:rsidRDefault="00B14761" w:rsidP="00117A2F">
      <w:pPr>
        <w:rPr>
          <w:snapToGrid w:val="0"/>
        </w:rPr>
      </w:pPr>
      <w:r w:rsidRPr="00B14761">
        <w:rPr>
          <w:snapToGrid w:val="0"/>
        </w:rPr>
        <w:t xml:space="preserve">Renforcement des capacités </w:t>
      </w:r>
      <w:r w:rsidR="00910984" w:rsidRPr="00B14761">
        <w:rPr>
          <w:snapToGrid w:val="0"/>
        </w:rPr>
        <w:t>(humain</w:t>
      </w:r>
      <w:r w:rsidRPr="00B14761">
        <w:rPr>
          <w:snapToGrid w:val="0"/>
        </w:rPr>
        <w:t>e</w:t>
      </w:r>
      <w:r w:rsidR="00910984" w:rsidRPr="00B14761">
        <w:rPr>
          <w:snapToGrid w:val="0"/>
        </w:rPr>
        <w:t>s et matériel</w:t>
      </w:r>
      <w:r w:rsidRPr="00B14761">
        <w:rPr>
          <w:snapToGrid w:val="0"/>
        </w:rPr>
        <w:t>le</w:t>
      </w:r>
      <w:r w:rsidR="00910984" w:rsidRPr="00B14761">
        <w:rPr>
          <w:snapToGrid w:val="0"/>
        </w:rPr>
        <w:t xml:space="preserve">s) des institutions de contrôle des finances publiques et de lutte anti-corruption </w:t>
      </w:r>
      <w:r w:rsidRPr="00B14761">
        <w:rPr>
          <w:snapToGrid w:val="0"/>
        </w:rPr>
        <w:t xml:space="preserve">sur </w:t>
      </w:r>
      <w:r w:rsidR="00910984" w:rsidRPr="00B14761">
        <w:rPr>
          <w:snapToGrid w:val="0"/>
        </w:rPr>
        <w:t>la gestion des ressources publiques, la transparence financière et la bonne gouvernance.</w:t>
      </w:r>
    </w:p>
    <w:p w14:paraId="61AFA391" w14:textId="77777777" w:rsidR="00910984" w:rsidRPr="00B14761" w:rsidRDefault="00910984" w:rsidP="00117A2F">
      <w:pPr>
        <w:rPr>
          <w:snapToGrid w:val="0"/>
        </w:rPr>
      </w:pPr>
    </w:p>
    <w:p w14:paraId="2A22D4E2" w14:textId="77777777" w:rsidR="00910984" w:rsidRPr="00B14761" w:rsidRDefault="00910984" w:rsidP="00353A8C">
      <w:pPr>
        <w:pStyle w:val="Paragraphedeliste"/>
        <w:numPr>
          <w:ilvl w:val="0"/>
          <w:numId w:val="4"/>
        </w:numPr>
        <w:rPr>
          <w:snapToGrid w:val="0"/>
        </w:rPr>
      </w:pPr>
      <w:r w:rsidRPr="00B14761">
        <w:rPr>
          <w:snapToGrid w:val="0"/>
        </w:rPr>
        <w:t>Modernisation et mise en conformité des outils de gestion et d’intervention des ISCLAC avec les standards internationaux.</w:t>
      </w:r>
    </w:p>
    <w:p w14:paraId="7340A6BA" w14:textId="77777777" w:rsidR="00B14761" w:rsidRPr="00B14761" w:rsidRDefault="00B14761" w:rsidP="00353A8C">
      <w:pPr>
        <w:pStyle w:val="Paragraphedeliste"/>
        <w:numPr>
          <w:ilvl w:val="0"/>
          <w:numId w:val="7"/>
        </w:numPr>
        <w:rPr>
          <w:snapToGrid w:val="0"/>
        </w:rPr>
      </w:pPr>
      <w:r w:rsidRPr="00B14761">
        <w:rPr>
          <w:snapToGrid w:val="0"/>
        </w:rPr>
        <w:t>M</w:t>
      </w:r>
      <w:r w:rsidR="00910984" w:rsidRPr="00B14761">
        <w:rPr>
          <w:snapToGrid w:val="0"/>
        </w:rPr>
        <w:t>oderni</w:t>
      </w:r>
      <w:r w:rsidRPr="00B14761">
        <w:rPr>
          <w:snapToGrid w:val="0"/>
        </w:rPr>
        <w:t>sation</w:t>
      </w:r>
      <w:r w:rsidR="00910984" w:rsidRPr="00B14761">
        <w:rPr>
          <w:snapToGrid w:val="0"/>
        </w:rPr>
        <w:t xml:space="preserve"> </w:t>
      </w:r>
      <w:r w:rsidRPr="00B14761">
        <w:rPr>
          <w:snapToGrid w:val="0"/>
        </w:rPr>
        <w:t>de</w:t>
      </w:r>
      <w:r w:rsidR="00910984" w:rsidRPr="00B14761">
        <w:rPr>
          <w:snapToGrid w:val="0"/>
        </w:rPr>
        <w:t xml:space="preserve">s procédures administratives et financières et leurs outils de gestion et d’intervention conformément aux normes internationales en matière de contrôle. </w:t>
      </w:r>
    </w:p>
    <w:p w14:paraId="31DE1BC1" w14:textId="77777777" w:rsidR="00B14761" w:rsidRPr="00B14761" w:rsidRDefault="00B14761" w:rsidP="00353A8C">
      <w:pPr>
        <w:pStyle w:val="Paragraphedeliste"/>
        <w:numPr>
          <w:ilvl w:val="0"/>
          <w:numId w:val="7"/>
        </w:numPr>
        <w:rPr>
          <w:snapToGrid w:val="0"/>
        </w:rPr>
      </w:pPr>
      <w:r w:rsidRPr="00B14761">
        <w:rPr>
          <w:snapToGrid w:val="0"/>
        </w:rPr>
        <w:t>I</w:t>
      </w:r>
      <w:r w:rsidR="00910984" w:rsidRPr="00B14761">
        <w:rPr>
          <w:snapToGrid w:val="0"/>
        </w:rPr>
        <w:t xml:space="preserve">ntroduction des Technologies de l’Information et de la Communication (TIC) dans le contrôle des finances publiques et la lutte anticorruption </w:t>
      </w:r>
      <w:r w:rsidRPr="00B14761">
        <w:rPr>
          <w:snapToGrid w:val="0"/>
        </w:rPr>
        <w:t xml:space="preserve">avec </w:t>
      </w:r>
      <w:r w:rsidR="00910984" w:rsidRPr="00B14761">
        <w:rPr>
          <w:snapToGrid w:val="0"/>
        </w:rPr>
        <w:t xml:space="preserve">dans un réseau collaboratif inter-institutions de contrôle des finances publiques. </w:t>
      </w:r>
    </w:p>
    <w:p w14:paraId="154DA876" w14:textId="3804F956" w:rsidR="00910984" w:rsidRPr="00B14761" w:rsidRDefault="00B14761" w:rsidP="00353A8C">
      <w:pPr>
        <w:pStyle w:val="Paragraphedeliste"/>
        <w:numPr>
          <w:ilvl w:val="0"/>
          <w:numId w:val="7"/>
        </w:numPr>
        <w:rPr>
          <w:snapToGrid w:val="0"/>
        </w:rPr>
      </w:pPr>
      <w:r w:rsidRPr="00B14761">
        <w:rPr>
          <w:snapToGrid w:val="0"/>
        </w:rPr>
        <w:t>O</w:t>
      </w:r>
      <w:r w:rsidR="00910984" w:rsidRPr="00B14761">
        <w:rPr>
          <w:snapToGrid w:val="0"/>
        </w:rPr>
        <w:t>pérationnalisation du portail des marchés publics et la mise en place du journal officiel</w:t>
      </w:r>
      <w:r w:rsidRPr="00B14761">
        <w:rPr>
          <w:snapToGrid w:val="0"/>
        </w:rPr>
        <w:t>.</w:t>
      </w:r>
    </w:p>
    <w:p w14:paraId="5F447FD9" w14:textId="77777777" w:rsidR="00910984" w:rsidRPr="00B14761" w:rsidRDefault="00910984" w:rsidP="00117A2F">
      <w:pPr>
        <w:rPr>
          <w:snapToGrid w:val="0"/>
        </w:rPr>
      </w:pPr>
    </w:p>
    <w:p w14:paraId="61E97E86" w14:textId="77777777" w:rsidR="00910984" w:rsidRPr="00B14761" w:rsidRDefault="00910984" w:rsidP="00353A8C">
      <w:pPr>
        <w:pStyle w:val="Paragraphedeliste"/>
        <w:numPr>
          <w:ilvl w:val="0"/>
          <w:numId w:val="4"/>
        </w:numPr>
        <w:rPr>
          <w:snapToGrid w:val="0"/>
        </w:rPr>
      </w:pPr>
      <w:r w:rsidRPr="00B14761">
        <w:rPr>
          <w:snapToGrid w:val="0"/>
        </w:rPr>
        <w:t xml:space="preserve"> Mise en place d’une synergie d’intervention des institutions de contrôle des finances publiques et de lutte contre la corruption et insertion dans leur environnement national et international </w:t>
      </w:r>
    </w:p>
    <w:p w14:paraId="55A7BA96" w14:textId="7A1532BC" w:rsidR="00910984" w:rsidRPr="00B14761" w:rsidRDefault="00B14761" w:rsidP="00117A2F">
      <w:pPr>
        <w:rPr>
          <w:snapToGrid w:val="0"/>
        </w:rPr>
      </w:pPr>
      <w:r w:rsidRPr="00B14761">
        <w:rPr>
          <w:snapToGrid w:val="0"/>
        </w:rPr>
        <w:t>D</w:t>
      </w:r>
      <w:r w:rsidR="00910984" w:rsidRPr="00B14761">
        <w:rPr>
          <w:snapToGrid w:val="0"/>
        </w:rPr>
        <w:t xml:space="preserve">éveloppement du partenariat et de la collaboration entre les institutions de contrôle des finances publiques et de lutte contre la corruption </w:t>
      </w:r>
      <w:r w:rsidRPr="00B14761">
        <w:rPr>
          <w:snapToGrid w:val="0"/>
        </w:rPr>
        <w:t xml:space="preserve">avec </w:t>
      </w:r>
      <w:r w:rsidR="00910984" w:rsidRPr="00B14761">
        <w:rPr>
          <w:snapToGrid w:val="0"/>
        </w:rPr>
        <w:t>la définition et la mise en place de mécanismes de collaboration et une communication efficace</w:t>
      </w:r>
      <w:r w:rsidRPr="00B14761">
        <w:rPr>
          <w:snapToGrid w:val="0"/>
        </w:rPr>
        <w:t>.</w:t>
      </w:r>
    </w:p>
    <w:p w14:paraId="1EADF984" w14:textId="77777777" w:rsidR="00910984" w:rsidRPr="00B14761" w:rsidRDefault="00910984" w:rsidP="00117A2F">
      <w:pPr>
        <w:rPr>
          <w:snapToGrid w:val="0"/>
        </w:rPr>
      </w:pPr>
    </w:p>
    <w:p w14:paraId="1349FB72" w14:textId="77777777" w:rsidR="00910984" w:rsidRPr="00B14761" w:rsidRDefault="00910984" w:rsidP="00353A8C">
      <w:pPr>
        <w:pStyle w:val="Paragraphedeliste"/>
        <w:numPr>
          <w:ilvl w:val="0"/>
          <w:numId w:val="4"/>
        </w:numPr>
        <w:rPr>
          <w:snapToGrid w:val="0"/>
        </w:rPr>
      </w:pPr>
      <w:r w:rsidRPr="00B14761">
        <w:rPr>
          <w:snapToGrid w:val="0"/>
        </w:rPr>
        <w:t>Renforcement des capacités de la société civile, du secteur privé et des médias pour la sensibilisation/prévention en matière de lutte contre la corruption.</w:t>
      </w:r>
    </w:p>
    <w:p w14:paraId="18400AA0" w14:textId="7FFDBA2C" w:rsidR="00910984" w:rsidRPr="00B14761" w:rsidRDefault="00910984" w:rsidP="00117A2F">
      <w:pPr>
        <w:rPr>
          <w:snapToGrid w:val="0"/>
        </w:rPr>
      </w:pPr>
      <w:r w:rsidRPr="00B14761">
        <w:rPr>
          <w:snapToGrid w:val="0"/>
        </w:rPr>
        <w:t>Il s’agit ici de la mise en place d’un cadre de concertation entre les ISCLAC et les autres acteurs nationaux dont la Société Civile, le secteur privé et les média, pour une meilleure articulation opérationnelle en matière de sensibilisation et de prévention et de lutte contre la corruption.</w:t>
      </w:r>
    </w:p>
    <w:p w14:paraId="028985D3" w14:textId="77777777" w:rsidR="00910984" w:rsidRPr="00B14761" w:rsidRDefault="00910984" w:rsidP="00117A2F"/>
    <w:p w14:paraId="70DF9DF5" w14:textId="26EF1513" w:rsidR="00910984" w:rsidRPr="00B14761" w:rsidRDefault="00910984" w:rsidP="00117A2F">
      <w:r w:rsidRPr="00B14761">
        <w:t>Les PTA 2013, 2014, 2015 et 2016 et 2017 ont été signés conjointement par le PNUD et le Ministère en charge de la Bonne gouvernance qui a exécuté ces derniers à travers l’unité de Gestion du projet et sous la supervision directe du Directeur National dudit projet.</w:t>
      </w:r>
    </w:p>
    <w:p w14:paraId="4DBBA396" w14:textId="77777777" w:rsidR="00910984" w:rsidRPr="00C94670" w:rsidRDefault="00910984" w:rsidP="00117A2F"/>
    <w:p w14:paraId="4703AE97" w14:textId="77777777" w:rsidR="00910984" w:rsidRPr="00783C9E" w:rsidRDefault="00910984" w:rsidP="00117A2F"/>
    <w:p w14:paraId="23B50568" w14:textId="02F7A5AA" w:rsidR="007606B5" w:rsidRPr="00783C9E" w:rsidRDefault="00E2635B" w:rsidP="00117A2F">
      <w:pPr>
        <w:pStyle w:val="Titre1"/>
      </w:pPr>
      <w:bookmarkStart w:id="10" w:name="_Toc525626832"/>
      <w:r>
        <w:t>Méthodologie</w:t>
      </w:r>
      <w:bookmarkEnd w:id="10"/>
    </w:p>
    <w:p w14:paraId="729D1C47" w14:textId="77777777" w:rsidR="007606B5" w:rsidRPr="00783C9E" w:rsidRDefault="007606B5" w:rsidP="00117A2F"/>
    <w:p w14:paraId="1915A6B3" w14:textId="794AB469" w:rsidR="001D2920" w:rsidRDefault="00541106" w:rsidP="00117A2F">
      <w:pPr>
        <w:pStyle w:val="Titre2"/>
      </w:pPr>
      <w:bookmarkStart w:id="11" w:name="_Toc525626833"/>
      <w:r>
        <w:t>Objectif de l’évaluation</w:t>
      </w:r>
      <w:bookmarkEnd w:id="11"/>
    </w:p>
    <w:p w14:paraId="015F26D0" w14:textId="77777777" w:rsidR="00541106" w:rsidRDefault="00541106" w:rsidP="00117A2F"/>
    <w:p w14:paraId="7A9850E5" w14:textId="76DBD8B3" w:rsidR="00910984" w:rsidRDefault="00541106" w:rsidP="00117A2F">
      <w:r>
        <w:t>Cette évaluation a un double but de redevabilité sur la performance des financements investis dans le projet, et de leçons apprises pour informer la suite des interventions du PNUD dans le pays, et des autres acteurs</w:t>
      </w:r>
      <w:r w:rsidR="00187B21" w:rsidRPr="00187B21">
        <w:t xml:space="preserve"> </w:t>
      </w:r>
      <w:r w:rsidR="00187B21">
        <w:t>concernés par la problématique</w:t>
      </w:r>
      <w:r>
        <w:t>, en premier chef le gouvernement</w:t>
      </w:r>
      <w:r w:rsidR="00187B21">
        <w:t>, ainsi que les autres bailleurs</w:t>
      </w:r>
      <w:r>
        <w:t>.</w:t>
      </w:r>
      <w:r w:rsidR="00187B21">
        <w:t xml:space="preserve"> Il s’agira de formuler des recommandations pour réorienter les actions et les interventions futures du gouvernement. </w:t>
      </w:r>
    </w:p>
    <w:p w14:paraId="01434C26" w14:textId="77777777" w:rsidR="00541106" w:rsidRDefault="00541106" w:rsidP="00117A2F"/>
    <w:p w14:paraId="22B9DDDF" w14:textId="0EB11A3B" w:rsidR="00910984" w:rsidRPr="00187B21" w:rsidRDefault="00187B21" w:rsidP="00117A2F">
      <w:r>
        <w:t xml:space="preserve">Les TdRs </w:t>
      </w:r>
      <w:r w:rsidR="00AE06EF">
        <w:t>mentionnent les</w:t>
      </w:r>
      <w:r>
        <w:t xml:space="preserve"> objectifs suivants : </w:t>
      </w:r>
    </w:p>
    <w:p w14:paraId="4F816E15" w14:textId="77777777" w:rsidR="00910984" w:rsidRPr="00C94670" w:rsidRDefault="00910984" w:rsidP="00117A2F"/>
    <w:p w14:paraId="448CAE38" w14:textId="028BADA0" w:rsidR="00187B21" w:rsidRPr="00187B21" w:rsidRDefault="00910984" w:rsidP="00353A8C">
      <w:pPr>
        <w:pStyle w:val="Paragraphedeliste"/>
        <w:numPr>
          <w:ilvl w:val="0"/>
          <w:numId w:val="6"/>
        </w:numPr>
        <w:ind w:left="426"/>
      </w:pPr>
      <w:r w:rsidRPr="00187B21">
        <w:t xml:space="preserve">Evaluer dans quelle mesure le projet a contribué à répondre aux besoins et à résoudre les problèmes de corruption et, déterminer si les besoins à l’origine du projet ont été satisfaits ou s’ils existent toujours </w:t>
      </w:r>
    </w:p>
    <w:p w14:paraId="3368ECB4" w14:textId="4C5F91D2" w:rsidR="00910984" w:rsidRPr="00187B21" w:rsidRDefault="00910984" w:rsidP="00353A8C">
      <w:pPr>
        <w:pStyle w:val="Paragraphedeliste"/>
        <w:numPr>
          <w:ilvl w:val="0"/>
          <w:numId w:val="6"/>
        </w:numPr>
        <w:ind w:left="426"/>
      </w:pPr>
      <w:r w:rsidRPr="00187B21">
        <w:t>L'évaluation cherchera aussi à savoir si le projet est la meilleure solution pour relever les défis dans le contexte actuel ;  </w:t>
      </w:r>
    </w:p>
    <w:p w14:paraId="5B4D7D65" w14:textId="77777777" w:rsidR="00910984" w:rsidRPr="00117A2F" w:rsidRDefault="00910984" w:rsidP="00353A8C">
      <w:pPr>
        <w:pStyle w:val="Paragraphedeliste"/>
        <w:numPr>
          <w:ilvl w:val="0"/>
          <w:numId w:val="6"/>
        </w:numPr>
        <w:ind w:left="426"/>
        <w:rPr>
          <w:bCs/>
        </w:rPr>
      </w:pPr>
      <w:r w:rsidRPr="00187B21">
        <w:t xml:space="preserve">Mesurer le degré de mise en œuvre du projet, son efficacité, son efficience et la qualité des produits et des réalisations par rapport à ce qui a été prévu </w:t>
      </w:r>
      <w:r w:rsidRPr="00117A2F">
        <w:rPr>
          <w:color w:val="000000"/>
        </w:rPr>
        <w:t>initialement tout en mettant en exergue sa c</w:t>
      </w:r>
      <w:r w:rsidRPr="00117A2F">
        <w:rPr>
          <w:bCs/>
        </w:rPr>
        <w:t>ohérence et articulation avec les priorités ;</w:t>
      </w:r>
    </w:p>
    <w:p w14:paraId="46D07AE3" w14:textId="77777777" w:rsidR="00910984" w:rsidRPr="00187B21" w:rsidRDefault="00910984" w:rsidP="00353A8C">
      <w:pPr>
        <w:pStyle w:val="Paragraphedeliste"/>
        <w:numPr>
          <w:ilvl w:val="0"/>
          <w:numId w:val="6"/>
        </w:numPr>
        <w:ind w:left="426"/>
      </w:pPr>
      <w:r w:rsidRPr="00187B21">
        <w:t xml:space="preserve">Evaluer et analyser les progrès réalisés de la mise en œuvre de la stratégie par rapport aux résultats attendus au cours de ces quatre années 2013-2016. </w:t>
      </w:r>
    </w:p>
    <w:p w14:paraId="47071F38" w14:textId="77777777" w:rsidR="00910984" w:rsidRPr="00117A2F" w:rsidRDefault="00910984" w:rsidP="00353A8C">
      <w:pPr>
        <w:pStyle w:val="Paragraphedeliste"/>
        <w:numPr>
          <w:ilvl w:val="0"/>
          <w:numId w:val="6"/>
        </w:numPr>
        <w:ind w:left="426"/>
        <w:rPr>
          <w:lang w:val="fr-BE" w:eastAsia="fr-BE"/>
        </w:rPr>
      </w:pPr>
      <w:r w:rsidRPr="00117A2F">
        <w:rPr>
          <w:lang w:val="fr-BE" w:eastAsia="fr-BE"/>
        </w:rPr>
        <w:t>Identifier les forces, les faiblesses, les contraintes dans la mise en œuvre du projet</w:t>
      </w:r>
      <w:r w:rsidRPr="00117A2F">
        <w:rPr>
          <w:color w:val="ED7D31" w:themeColor="accent2"/>
          <w:lang w:val="fr-BE" w:eastAsia="fr-BE"/>
        </w:rPr>
        <w:t>.</w:t>
      </w:r>
      <w:r w:rsidRPr="00117A2F">
        <w:rPr>
          <w:lang w:val="fr-BE" w:eastAsia="fr-BE"/>
        </w:rPr>
        <w:t xml:space="preserve"> </w:t>
      </w:r>
    </w:p>
    <w:p w14:paraId="77458F7E" w14:textId="77777777" w:rsidR="00910984" w:rsidRPr="00187B21" w:rsidRDefault="00910984" w:rsidP="00353A8C">
      <w:pPr>
        <w:pStyle w:val="Paragraphedeliste"/>
        <w:numPr>
          <w:ilvl w:val="0"/>
          <w:numId w:val="6"/>
        </w:numPr>
        <w:ind w:left="426"/>
      </w:pPr>
      <w:r w:rsidRPr="00187B21">
        <w:lastRenderedPageBreak/>
        <w:t>Mesurer dans quelles conditions le projet a obtenu les résultats de développement pour la population ciblée, les bénéficiaires et les autres participants, qu'il s'agisse d'individus, des communautés, d'institutions ou autre ;</w:t>
      </w:r>
    </w:p>
    <w:p w14:paraId="429EC10C" w14:textId="1E84DFF2" w:rsidR="00910984" w:rsidRPr="00187B21" w:rsidRDefault="00910984" w:rsidP="00353A8C">
      <w:pPr>
        <w:pStyle w:val="Paragraphedeliste"/>
        <w:numPr>
          <w:ilvl w:val="0"/>
          <w:numId w:val="6"/>
        </w:numPr>
        <w:ind w:left="426"/>
      </w:pPr>
      <w:r w:rsidRPr="00187B21">
        <w:t>Mesurer la contribution du projet à la réalisation des objectifs fixés pour ses différents volets d'intervention ainsi qu'à celle des objectifs globaux (CSLP II, UNDAF, CPD) </w:t>
      </w:r>
    </w:p>
    <w:p w14:paraId="5F60AEF7" w14:textId="77777777" w:rsidR="00910984" w:rsidRPr="00187B21" w:rsidRDefault="00910984" w:rsidP="00353A8C">
      <w:pPr>
        <w:pStyle w:val="Paragraphedeliste"/>
        <w:numPr>
          <w:ilvl w:val="0"/>
          <w:numId w:val="6"/>
        </w:numPr>
        <w:ind w:left="426"/>
      </w:pPr>
      <w:r w:rsidRPr="00187B21">
        <w:t xml:space="preserve">Identifier et documenter les grands enseignements tirés et les bonnes pratiques sur les sujets spécifiques. </w:t>
      </w:r>
    </w:p>
    <w:p w14:paraId="1B25301F" w14:textId="77777777" w:rsidR="00910984" w:rsidRPr="00187B21" w:rsidRDefault="00910984" w:rsidP="00353A8C">
      <w:pPr>
        <w:pStyle w:val="Paragraphedeliste"/>
        <w:numPr>
          <w:ilvl w:val="0"/>
          <w:numId w:val="6"/>
        </w:numPr>
        <w:ind w:left="426"/>
        <w:rPr>
          <w:bCs/>
        </w:rPr>
      </w:pPr>
      <w:r w:rsidRPr="00187B21">
        <w:rPr>
          <w:lang w:val="fr-BE" w:eastAsia="fr-BE"/>
        </w:rPr>
        <w:t>Tirer les leçons de la mise en œuvre du projet pour réorienter les actions et interventions futures du Gouvernement.</w:t>
      </w:r>
    </w:p>
    <w:p w14:paraId="7CB3C86F" w14:textId="77777777" w:rsidR="00910984" w:rsidRPr="00117A2F" w:rsidRDefault="00910984" w:rsidP="00353A8C">
      <w:pPr>
        <w:pStyle w:val="Paragraphedeliste"/>
        <w:numPr>
          <w:ilvl w:val="0"/>
          <w:numId w:val="6"/>
        </w:numPr>
        <w:ind w:left="426"/>
        <w:rPr>
          <w:b/>
        </w:rPr>
      </w:pPr>
      <w:r w:rsidRPr="00187B21">
        <w:t xml:space="preserve">Apprécier dans quelle mesure la stratégie d’intervention et le contenu des interventions ont été en adéquation avec les problèmes posés ; </w:t>
      </w:r>
    </w:p>
    <w:p w14:paraId="181D4CDA" w14:textId="77777777" w:rsidR="00910984" w:rsidRPr="00187B21" w:rsidRDefault="00910984" w:rsidP="00353A8C">
      <w:pPr>
        <w:pStyle w:val="Paragraphedeliste"/>
        <w:numPr>
          <w:ilvl w:val="0"/>
          <w:numId w:val="6"/>
        </w:numPr>
        <w:ind w:left="426"/>
      </w:pPr>
      <w:r w:rsidRPr="00187B21">
        <w:t>Juger de la perception qu’ont les parties prenantes (bailleurs, personnel du projet, bénéficiaires, les membres de la communauté, les partenaires de mise en œuvre, les autorités locales,) sur les activités et les résultats du projet ;</w:t>
      </w:r>
    </w:p>
    <w:p w14:paraId="371A0ADB" w14:textId="77777777" w:rsidR="00910984" w:rsidRPr="00187B21" w:rsidRDefault="00910984" w:rsidP="00353A8C">
      <w:pPr>
        <w:pStyle w:val="Paragraphedeliste"/>
        <w:numPr>
          <w:ilvl w:val="0"/>
          <w:numId w:val="6"/>
        </w:numPr>
        <w:ind w:left="426"/>
      </w:pPr>
      <w:r w:rsidRPr="00117A2F">
        <w:rPr>
          <w:color w:val="000000"/>
        </w:rPr>
        <w:t xml:space="preserve">Apprécier les chances de durabilité des </w:t>
      </w:r>
      <w:r w:rsidRPr="00187B21">
        <w:t xml:space="preserve">actions et le niveau d’appropriation nationale. </w:t>
      </w:r>
    </w:p>
    <w:p w14:paraId="62F9792D" w14:textId="17AAA1CB" w:rsidR="00187B21" w:rsidRDefault="00187B21" w:rsidP="00117A2F"/>
    <w:p w14:paraId="6F884035" w14:textId="3CF7A27C" w:rsidR="009D7373" w:rsidRDefault="00187B21" w:rsidP="00117A2F">
      <w:r>
        <w:t xml:space="preserve">Les objectifs </w:t>
      </w:r>
      <w:r w:rsidR="001A0936">
        <w:t>ciblent différents niveaux d’analyse : stratégi</w:t>
      </w:r>
      <w:r w:rsidR="003C6743">
        <w:t>qu</w:t>
      </w:r>
      <w:r w:rsidR="001A0936">
        <w:t>e, organisationnel et opérationnel, en prenant en compte les caractéristiques du pays en matière de corruption et gouvernance démocratique</w:t>
      </w:r>
      <w:r w:rsidR="00603DA3">
        <w:t xml:space="preserve"> incluant leur évolution</w:t>
      </w:r>
      <w:r w:rsidR="001A0936">
        <w:t>.</w:t>
      </w:r>
      <w:r w:rsidR="00603DA3">
        <w:t xml:space="preserve"> </w:t>
      </w:r>
    </w:p>
    <w:p w14:paraId="3F72EE37" w14:textId="77777777" w:rsidR="00B14761" w:rsidRDefault="00B14761" w:rsidP="00117A2F"/>
    <w:p w14:paraId="72451CC9" w14:textId="182BF309" w:rsidR="00E558EC" w:rsidRDefault="00B14761" w:rsidP="00117A2F">
      <w:pPr>
        <w:pStyle w:val="Titre2"/>
      </w:pPr>
      <w:bookmarkStart w:id="12" w:name="_Toc525626834"/>
      <w:r>
        <w:t>Champ de l’évaluation</w:t>
      </w:r>
      <w:bookmarkEnd w:id="12"/>
    </w:p>
    <w:p w14:paraId="1FB5F1F8" w14:textId="5019DE9D" w:rsidR="00B14761" w:rsidRDefault="00B14761" w:rsidP="00117A2F"/>
    <w:p w14:paraId="0B7DFE90" w14:textId="7049864B" w:rsidR="001227AF" w:rsidRDefault="001227AF" w:rsidP="00117A2F">
      <w:r>
        <w:t>L’évaluation couvre l’ensemble du projet de sa signature en 2013 à sa finalisation, les différents acteurs impliqués, et ses résultats sur l’ensemble du territoire du Burundi.</w:t>
      </w:r>
    </w:p>
    <w:p w14:paraId="05489CEA" w14:textId="5BCD2C63" w:rsidR="00B14761" w:rsidRDefault="001227AF" w:rsidP="00117A2F">
      <w:r>
        <w:t xml:space="preserve">Le rapport d’évaluation sera à destination du PNUD et des partenaires ayant participé au projet, en premier les autorités étatiques dans le cadre du suivi de la Stratégie de Lutte contre la Corruption, ainsi que les bailleurs de fond présents dans le pays ou potentiellement intéressés par un financement dans le secteur. A un second niveau, il pourra être disséminé </w:t>
      </w:r>
      <w:r w:rsidR="009D6D69">
        <w:t xml:space="preserve">aux chercheurs, </w:t>
      </w:r>
      <w:r w:rsidR="0072231C">
        <w:t>universitaires, acteurs de l’aide au développement intéressés par la problématique et le pays ou la sous-région.</w:t>
      </w:r>
    </w:p>
    <w:p w14:paraId="6A35BE89" w14:textId="77777777" w:rsidR="00B14761" w:rsidRPr="00783C9E" w:rsidRDefault="00B14761" w:rsidP="00117A2F"/>
    <w:p w14:paraId="5F0B8763" w14:textId="6C2BFBB1" w:rsidR="007606B5" w:rsidRPr="00B14761" w:rsidRDefault="00E2635B" w:rsidP="00E2635B">
      <w:pPr>
        <w:pStyle w:val="Titre2"/>
      </w:pPr>
      <w:bookmarkStart w:id="13" w:name="_Toc525626835"/>
      <w:r>
        <w:t>Approche</w:t>
      </w:r>
      <w:bookmarkEnd w:id="13"/>
    </w:p>
    <w:p w14:paraId="5B2DF6A3" w14:textId="0151A12E" w:rsidR="00475B26" w:rsidRDefault="00475B26" w:rsidP="00117A2F"/>
    <w:p w14:paraId="33A113B0" w14:textId="692C809A" w:rsidR="00D63DD3" w:rsidRPr="00783C9E" w:rsidRDefault="00D63DD3" w:rsidP="00117A2F">
      <w:r>
        <w:t>L’évaluation se fonde sur une matrice d’évaluation élaborée pendant la phase préparatoire</w:t>
      </w:r>
      <w:r w:rsidR="00C4077B">
        <w:t>, en adoptant une approche ouverte pour analyser les opportunités d’intervention par rapport</w:t>
      </w:r>
      <w:r w:rsidR="00D12766">
        <w:t xml:space="preserve"> à la thématique et la comparer avec les actions entreprises</w:t>
      </w:r>
      <w:r w:rsidR="00C4077B">
        <w:t xml:space="preserve">, et </w:t>
      </w:r>
      <w:r w:rsidR="00D12766">
        <w:t>prendre en compte les changements les plus marquants survenus au sein des institutions depuis le lancement du projet</w:t>
      </w:r>
      <w:r>
        <w:t>.</w:t>
      </w:r>
    </w:p>
    <w:p w14:paraId="351D0596" w14:textId="5ADDEB85" w:rsidR="009E7E5F" w:rsidRDefault="00475B26" w:rsidP="00117A2F">
      <w:r>
        <w:t>Ensuite, l</w:t>
      </w:r>
      <w:r w:rsidR="00301339" w:rsidRPr="00783C9E">
        <w:t>’étude analyse</w:t>
      </w:r>
      <w:r>
        <w:t xml:space="preserve"> </w:t>
      </w:r>
      <w:r w:rsidR="00F77BE3" w:rsidRPr="00783C9E">
        <w:t>la logique d’intervention en vérifiant la pertinence et cohérence de la chaîne de résultats, des intrants, activités, produits, résultats e</w:t>
      </w:r>
      <w:r w:rsidR="0028449C">
        <w:t>t</w:t>
      </w:r>
      <w:r w:rsidR="00F77BE3" w:rsidRPr="00783C9E">
        <w:t xml:space="preserve"> impact, à la fois en termes de contenu et indicateurs de performance utilisés et possibles. Cette analyse </w:t>
      </w:r>
      <w:r w:rsidR="00D63DD3">
        <w:t>est</w:t>
      </w:r>
      <w:r w:rsidR="00F77BE3" w:rsidRPr="00783C9E">
        <w:t xml:space="preserve"> réalisée</w:t>
      </w:r>
      <w:r w:rsidR="00DA614B" w:rsidRPr="00783C9E">
        <w:t xml:space="preserve">, sur base des questions </w:t>
      </w:r>
      <w:r w:rsidR="00EF6684" w:rsidRPr="00783C9E">
        <w:t>indiqués dans les TdRs et des indicateurs développés dans la grille d’analyse afférente. Elle couvr</w:t>
      </w:r>
      <w:r w:rsidR="00D63DD3">
        <w:t>e</w:t>
      </w:r>
      <w:r w:rsidR="00EF6684" w:rsidRPr="00783C9E">
        <w:t> :</w:t>
      </w:r>
      <w:r>
        <w:t xml:space="preserve"> </w:t>
      </w:r>
      <w:r w:rsidR="00EF6684" w:rsidRPr="00783C9E">
        <w:t>la logique d’intervention dans la théorie du changement, qui sera revue sur base de l’analyse de la mise en œuvre des projets</w:t>
      </w:r>
      <w:r w:rsidR="0072231C">
        <w:t>. Ceci inclu</w:t>
      </w:r>
      <w:r w:rsidR="00D63DD3">
        <w:t>t</w:t>
      </w:r>
      <w:r w:rsidR="0072231C">
        <w:t xml:space="preserve"> aussi une analyse des facteurs externes de succès ou échecs, et des hypothèses liées au programme.</w:t>
      </w:r>
    </w:p>
    <w:p w14:paraId="612F4DEB" w14:textId="6ECD2602" w:rsidR="00D24043" w:rsidRDefault="00D24043" w:rsidP="00117A2F"/>
    <w:p w14:paraId="4F37FB4F" w14:textId="31B0E4C9" w:rsidR="00D24043" w:rsidRDefault="00D24043" w:rsidP="00117A2F"/>
    <w:p w14:paraId="6A45B9C0" w14:textId="40C31414" w:rsidR="00D24043" w:rsidRPr="00D24043" w:rsidRDefault="00D24043" w:rsidP="00117A2F">
      <w:pPr>
        <w:rPr>
          <w:b/>
        </w:rPr>
      </w:pPr>
      <w:r w:rsidRPr="00D24043">
        <w:rPr>
          <w:b/>
        </w:rPr>
        <w:t xml:space="preserve">Limites </w:t>
      </w:r>
    </w:p>
    <w:p w14:paraId="72C6B6CF" w14:textId="16E622A7" w:rsidR="007606B5" w:rsidRDefault="007606B5" w:rsidP="00117A2F"/>
    <w:p w14:paraId="15CC2861" w14:textId="61684A43" w:rsidR="00D24043" w:rsidRDefault="00D24043" w:rsidP="00117A2F">
      <w:r>
        <w:t>La collecte de données sur le terrain a souffert de nombreuses limites liées aux restrictions en matière d’accès à l’information, y compris pour ce type de projet financé par le PNUD et mis en œuvre par le Ministère de la Bonne Gouvernance.</w:t>
      </w:r>
    </w:p>
    <w:p w14:paraId="3E2341E0" w14:textId="77777777" w:rsidR="00DA0132" w:rsidRDefault="00D24043" w:rsidP="00117A2F">
      <w:r>
        <w:t xml:space="preserve">Ainsi, les entretiens avec les différentes institutions ont été </w:t>
      </w:r>
      <w:r w:rsidR="007C757A">
        <w:t>parfois difficiles à obtenir et il n’a pas été possible de réaliser des entretiens avec plusieurs acteurs au sein de chaque institution</w:t>
      </w:r>
      <w:r w:rsidR="00F66C7C">
        <w:t xml:space="preserve">, même la Ministre n’a pu rencontrer la consultante pour donner ses perspectives sur l’évolution stratégique en matière de gouvernance et de lutte contre la </w:t>
      </w:r>
      <w:proofErr w:type="gramStart"/>
      <w:r w:rsidR="00F66C7C">
        <w:t>corruption ,</w:t>
      </w:r>
      <w:proofErr w:type="gramEnd"/>
      <w:r w:rsidR="00F66C7C">
        <w:t xml:space="preserve"> alors </w:t>
      </w:r>
      <w:r w:rsidR="00F66C7C">
        <w:lastRenderedPageBreak/>
        <w:t>que le PNUD représente 80% des financements du Ministère</w:t>
      </w:r>
      <w:r>
        <w:t xml:space="preserve">. De nombreuses données additionnelles devaient être reçues avant la finalisation, </w:t>
      </w:r>
      <w:proofErr w:type="gramStart"/>
      <w:r>
        <w:t>suite aux</w:t>
      </w:r>
      <w:proofErr w:type="gramEnd"/>
      <w:r>
        <w:t xml:space="preserve"> plaintes du Ministère de la Bonne Gouvernance de la non prise en compte de leur point de vue et des rapports établis. En outre</w:t>
      </w:r>
      <w:r w:rsidR="00F66C7C">
        <w:t>, les rapports annuels du projet devaient être communiqués, ainsi que les données statistiques sur l’évolution des capacités des différents services</w:t>
      </w:r>
      <w:r>
        <w:t>. Aucun de ces documents n’a été transmis à ce jour à la consultante</w:t>
      </w:r>
      <w:r w:rsidR="00CB71E9">
        <w:t>.</w:t>
      </w:r>
    </w:p>
    <w:p w14:paraId="43D6A529" w14:textId="77777777" w:rsidR="00CB71E9" w:rsidRDefault="00CB71E9" w:rsidP="00117A2F"/>
    <w:p w14:paraId="5B8F57F6" w14:textId="0E12C664" w:rsidR="00CB71E9" w:rsidRPr="00783C9E" w:rsidRDefault="00CB71E9" w:rsidP="00CB71E9">
      <w:pPr>
        <w:pStyle w:val="Titre2"/>
      </w:pPr>
      <w:bookmarkStart w:id="14" w:name="_Toc525626836"/>
      <w:r w:rsidRPr="00783C9E">
        <w:t>Outils de collecte de données</w:t>
      </w:r>
      <w:bookmarkEnd w:id="14"/>
    </w:p>
    <w:p w14:paraId="252E6ED5" w14:textId="44B7203E" w:rsidR="00CB71E9" w:rsidRPr="00D63DD3" w:rsidRDefault="00CB71E9" w:rsidP="00CB71E9">
      <w:pPr>
        <w:pStyle w:val="text"/>
        <w:rPr>
          <w:sz w:val="21"/>
          <w:szCs w:val="21"/>
        </w:rPr>
      </w:pPr>
      <w:r w:rsidRPr="00D63DD3">
        <w:rPr>
          <w:sz w:val="21"/>
          <w:szCs w:val="21"/>
        </w:rPr>
        <w:t>En termes d</w:t>
      </w:r>
      <w:r w:rsidRPr="00D63DD3">
        <w:rPr>
          <w:sz w:val="21"/>
          <w:szCs w:val="21"/>
        </w:rPr>
        <w:t>’</w:t>
      </w:r>
      <w:r w:rsidRPr="00D63DD3">
        <w:rPr>
          <w:sz w:val="21"/>
          <w:szCs w:val="21"/>
        </w:rPr>
        <w:t>outils de collecte de donn</w:t>
      </w:r>
      <w:r w:rsidRPr="00D63DD3">
        <w:rPr>
          <w:sz w:val="21"/>
          <w:szCs w:val="21"/>
        </w:rPr>
        <w:t>é</w:t>
      </w:r>
      <w:r w:rsidRPr="00D63DD3">
        <w:rPr>
          <w:sz w:val="21"/>
          <w:szCs w:val="21"/>
        </w:rPr>
        <w:t xml:space="preserve">es, les consultants </w:t>
      </w:r>
      <w:r w:rsidR="005C30DF">
        <w:rPr>
          <w:sz w:val="21"/>
          <w:szCs w:val="21"/>
        </w:rPr>
        <w:t>ont uti</w:t>
      </w:r>
      <w:r w:rsidR="005C30DF" w:rsidRPr="005C30DF">
        <w:rPr>
          <w:rFonts w:ascii="Arial" w:hAnsi="Arial" w:cs="Arial"/>
          <w:sz w:val="21"/>
          <w:szCs w:val="21"/>
        </w:rPr>
        <w:t>lisé</w:t>
      </w:r>
      <w:r w:rsidRPr="00D63DD3">
        <w:rPr>
          <w:sz w:val="21"/>
          <w:szCs w:val="21"/>
        </w:rPr>
        <w:t xml:space="preserve"> les moyens suivants</w:t>
      </w:r>
      <w:r w:rsidRPr="00D63DD3">
        <w:rPr>
          <w:sz w:val="21"/>
          <w:szCs w:val="21"/>
        </w:rPr>
        <w:t> </w:t>
      </w:r>
      <w:r w:rsidRPr="00D63DD3">
        <w:rPr>
          <w:sz w:val="21"/>
          <w:szCs w:val="21"/>
        </w:rPr>
        <w:t xml:space="preserve">: </w:t>
      </w:r>
    </w:p>
    <w:p w14:paraId="015E9B87" w14:textId="58801002" w:rsidR="00CB71E9" w:rsidRPr="00783C9E" w:rsidRDefault="00CB71E9" w:rsidP="00353A8C">
      <w:pPr>
        <w:pStyle w:val="Paragraphedeliste"/>
        <w:numPr>
          <w:ilvl w:val="0"/>
          <w:numId w:val="2"/>
        </w:numPr>
      </w:pPr>
      <w:r w:rsidRPr="00783C9E">
        <w:rPr>
          <w:b/>
        </w:rPr>
        <w:t>Etude documentaire </w:t>
      </w:r>
      <w:r w:rsidRPr="00783C9E">
        <w:t>:</w:t>
      </w:r>
      <w:r w:rsidRPr="00783C9E">
        <w:rPr>
          <w:b/>
        </w:rPr>
        <w:t xml:space="preserve"> </w:t>
      </w:r>
      <w:r w:rsidRPr="00783C9E">
        <w:t>lors de la phase préparatoire, l</w:t>
      </w:r>
      <w:r w:rsidR="005C30DF">
        <w:t>a consultante a</w:t>
      </w:r>
      <w:r w:rsidRPr="00783C9E">
        <w:t xml:space="preserve"> analys</w:t>
      </w:r>
      <w:r w:rsidR="005C30DF">
        <w:t>é</w:t>
      </w:r>
      <w:r w:rsidRPr="00783C9E">
        <w:t xml:space="preserve"> les documents de projets, ainsi que les rapports et documents de références concernant la corruption (conventions internationales, rapports de mise en œuvre, rapports d’ONG et organisations internationales comme la Banque Mondiale, l’OCDE ou l’ONUDC) et les contextes particuliers des zones cibles. Les documents à consulter incluent la liste indicative mentionnée </w:t>
      </w:r>
      <w:r>
        <w:t xml:space="preserve">dans les TdRs </w:t>
      </w:r>
      <w:r w:rsidRPr="00783C9E">
        <w:t xml:space="preserve">et les catégories de documents suivantes : </w:t>
      </w:r>
    </w:p>
    <w:p w14:paraId="25813BB9" w14:textId="77777777" w:rsidR="00CB71E9" w:rsidRPr="00CB0BB2" w:rsidRDefault="00CB71E9" w:rsidP="00353A8C">
      <w:pPr>
        <w:pStyle w:val="Paragraphedeliste"/>
        <w:numPr>
          <w:ilvl w:val="0"/>
          <w:numId w:val="3"/>
        </w:numPr>
      </w:pPr>
      <w:r w:rsidRPr="00B07FD1">
        <w:t>Documents de projet : prodoc, rapports techniques et financiers, cadres logiques et de suivi évaluation</w:t>
      </w:r>
      <w:r>
        <w:t>,</w:t>
      </w:r>
      <w:r w:rsidRPr="00B07FD1">
        <w:t xml:space="preserve"> </w:t>
      </w:r>
      <w:r w:rsidRPr="00CB0BB2">
        <w:t xml:space="preserve">PPP, échanges liés aux </w:t>
      </w:r>
      <w:r>
        <w:t>dé</w:t>
      </w:r>
      <w:r w:rsidRPr="00CB0BB2">
        <w:t>cisions d’allocations initiales et la formulation du projet.</w:t>
      </w:r>
    </w:p>
    <w:p w14:paraId="69DCEC17" w14:textId="77777777" w:rsidR="00CB71E9" w:rsidRPr="00783C9E" w:rsidRDefault="00CB71E9" w:rsidP="00353A8C">
      <w:pPr>
        <w:pStyle w:val="Paragraphedeliste"/>
        <w:numPr>
          <w:ilvl w:val="0"/>
          <w:numId w:val="3"/>
        </w:numPr>
      </w:pPr>
      <w:r w:rsidRPr="00B07FD1">
        <w:t>Rapports des partenaires d’exécution et organisations</w:t>
      </w:r>
      <w:r w:rsidRPr="00811A94">
        <w:rPr>
          <w:sz w:val="24"/>
        </w:rPr>
        <w:t xml:space="preserve"> </w:t>
      </w:r>
      <w:r w:rsidRPr="00783C9E">
        <w:t xml:space="preserve">bénéficiaires </w:t>
      </w:r>
      <w:r>
        <w:t>et autres informations fournies par le gouvernement et Nations Unies.</w:t>
      </w:r>
    </w:p>
    <w:p w14:paraId="5B5A296D" w14:textId="77777777" w:rsidR="00CB71E9" w:rsidRPr="00783C9E" w:rsidRDefault="00CB71E9" w:rsidP="00353A8C">
      <w:pPr>
        <w:pStyle w:val="Paragraphedeliste"/>
        <w:numPr>
          <w:ilvl w:val="0"/>
          <w:numId w:val="3"/>
        </w:numPr>
      </w:pPr>
      <w:r w:rsidRPr="00783C9E">
        <w:t>Publications des organisations internationales et société civile sur l’évolution de la corruption et de l’engagement citoyen dans les pays et dans les sous-régions. En particulier, les rapports d’évaluation d’organisations ayant cofinancé certains projets, seront pris en compte.</w:t>
      </w:r>
    </w:p>
    <w:p w14:paraId="3C649B73" w14:textId="77777777" w:rsidR="00CB71E9" w:rsidRPr="00783C9E" w:rsidRDefault="00CB71E9" w:rsidP="00CB71E9"/>
    <w:p w14:paraId="67037017" w14:textId="0093DB4E" w:rsidR="00CB71E9" w:rsidRPr="00783C9E" w:rsidRDefault="00CB71E9" w:rsidP="00353A8C">
      <w:pPr>
        <w:pStyle w:val="Paragraphedeliste"/>
        <w:numPr>
          <w:ilvl w:val="0"/>
          <w:numId w:val="16"/>
        </w:numPr>
      </w:pPr>
      <w:r w:rsidRPr="005C30DF">
        <w:rPr>
          <w:b/>
        </w:rPr>
        <w:t>Entretiens semi-dirigés </w:t>
      </w:r>
      <w:r w:rsidRPr="00783C9E">
        <w:t>: à l’aid</w:t>
      </w:r>
      <w:r>
        <w:t>e</w:t>
      </w:r>
      <w:r w:rsidRPr="00CB71E9">
        <w:t xml:space="preserve"> </w:t>
      </w:r>
      <w:r w:rsidRPr="00783C9E">
        <w:t>d’un guide d’entretien reprenant les questions d’évaluation et indicateurs élaborés, l</w:t>
      </w:r>
      <w:r w:rsidR="005C30DF">
        <w:t>a consultante</w:t>
      </w:r>
      <w:r w:rsidRPr="00783C9E">
        <w:t xml:space="preserve"> s’e</w:t>
      </w:r>
      <w:r w:rsidR="005C30DF">
        <w:t>st entretenu</w:t>
      </w:r>
      <w:r w:rsidRPr="00783C9E">
        <w:t xml:space="preserve"> avec les différents acteurs et partenaires du projet, conformément à la liste mentionnée en annexe. </w:t>
      </w:r>
    </w:p>
    <w:p w14:paraId="09F003C4" w14:textId="77777777" w:rsidR="00CB71E9" w:rsidRPr="00783C9E" w:rsidRDefault="00CB71E9" w:rsidP="00CB71E9"/>
    <w:p w14:paraId="57CD2EC6" w14:textId="2FF33727" w:rsidR="00CB71E9" w:rsidRPr="00783C9E" w:rsidRDefault="00CB71E9" w:rsidP="00353A8C">
      <w:pPr>
        <w:pStyle w:val="Paragraphedeliste"/>
        <w:numPr>
          <w:ilvl w:val="0"/>
          <w:numId w:val="2"/>
        </w:numPr>
      </w:pPr>
      <w:r w:rsidRPr="00783C9E">
        <w:rPr>
          <w:b/>
        </w:rPr>
        <w:t>Focus group </w:t>
      </w:r>
      <w:r w:rsidRPr="00783C9E">
        <w:t xml:space="preserve">: l’équipe </w:t>
      </w:r>
      <w:r w:rsidR="005C30DF">
        <w:t xml:space="preserve">a </w:t>
      </w:r>
      <w:r w:rsidRPr="00783C9E">
        <w:t>recueill</w:t>
      </w:r>
      <w:r w:rsidR="005C30DF">
        <w:t>i</w:t>
      </w:r>
      <w:r w:rsidRPr="00783C9E">
        <w:t xml:space="preserve"> les commentaires des différents groupes de bénéficiaires sur base de quelques questions ciblées posées à un groupe de 3 à 8 personnes, en séparant les interlocuteurs par niveau hiérarchique et éventuellement genre afin de faciliter la liberté de parole. </w:t>
      </w:r>
    </w:p>
    <w:p w14:paraId="75884116" w14:textId="77777777" w:rsidR="00CB71E9" w:rsidRPr="00783C9E" w:rsidRDefault="00CB71E9" w:rsidP="00CB71E9">
      <w:pPr>
        <w:pStyle w:val="Paragraphedeliste"/>
      </w:pPr>
    </w:p>
    <w:p w14:paraId="4F04750A" w14:textId="68697D4D" w:rsidR="005C30DF" w:rsidRPr="00783C9E" w:rsidRDefault="00CB71E9" w:rsidP="00353A8C">
      <w:pPr>
        <w:pStyle w:val="Paragraphedeliste"/>
        <w:numPr>
          <w:ilvl w:val="0"/>
          <w:numId w:val="2"/>
        </w:numPr>
      </w:pPr>
      <w:r w:rsidRPr="005C30DF">
        <w:rPr>
          <w:b/>
        </w:rPr>
        <w:t xml:space="preserve">Visites de terrain : </w:t>
      </w:r>
      <w:r w:rsidRPr="0072231C">
        <w:t>des visites de sites</w:t>
      </w:r>
      <w:r w:rsidR="005C30DF">
        <w:t xml:space="preserve"> n’ont pu avoir lieu, compte tenu des autorisations requises pour ce types de déplacement. </w:t>
      </w:r>
      <w:r w:rsidRPr="0072231C">
        <w:t xml:space="preserve"> </w:t>
      </w:r>
    </w:p>
    <w:p w14:paraId="4A013351" w14:textId="31F8D282" w:rsidR="00B44CD8" w:rsidRDefault="00B44CD8" w:rsidP="00B44CD8">
      <w:pPr>
        <w:rPr>
          <w:b/>
        </w:rPr>
      </w:pPr>
    </w:p>
    <w:p w14:paraId="31B08F68" w14:textId="77777777" w:rsidR="005C30DF" w:rsidRDefault="005C30DF" w:rsidP="00B44CD8">
      <w:pPr>
        <w:rPr>
          <w:b/>
        </w:rPr>
      </w:pPr>
    </w:p>
    <w:p w14:paraId="2B1A8637" w14:textId="77777777" w:rsidR="00B44CD8" w:rsidRPr="00783C9E" w:rsidRDefault="00B44CD8" w:rsidP="00E2635B">
      <w:pPr>
        <w:pStyle w:val="Titre2"/>
      </w:pPr>
      <w:bookmarkStart w:id="15" w:name="_Toc525626837"/>
      <w:r w:rsidRPr="00783C9E">
        <w:t>Risques et stratégies de prévention des risques</w:t>
      </w:r>
      <w:bookmarkEnd w:id="15"/>
      <w:r w:rsidRPr="00783C9E">
        <w:t xml:space="preserve"> </w:t>
      </w:r>
    </w:p>
    <w:p w14:paraId="339BB303" w14:textId="77777777" w:rsidR="00B44CD8" w:rsidRPr="00783C9E" w:rsidRDefault="00B44CD8" w:rsidP="00B44CD8"/>
    <w:p w14:paraId="772F5B6B" w14:textId="77777777" w:rsidR="00B44CD8" w:rsidRPr="00783C9E" w:rsidRDefault="00B44CD8" w:rsidP="00B44CD8"/>
    <w:tbl>
      <w:tblPr>
        <w:tblW w:w="9380" w:type="dxa"/>
        <w:tblInd w:w="-289" w:type="dxa"/>
        <w:tblBorders>
          <w:top w:val="single" w:sz="4" w:space="0" w:color="0070C0"/>
          <w:left w:val="single" w:sz="4" w:space="0" w:color="0070C0"/>
          <w:bottom w:val="single" w:sz="4" w:space="0" w:color="0070C0"/>
          <w:right w:val="single" w:sz="4" w:space="0" w:color="0070C0"/>
          <w:insideH w:val="dotted" w:sz="4" w:space="0" w:color="0070C0"/>
          <w:insideV w:val="dotted" w:sz="4" w:space="0" w:color="0070C0"/>
        </w:tblBorders>
        <w:tblLook w:val="04A0" w:firstRow="1" w:lastRow="0" w:firstColumn="1" w:lastColumn="0" w:noHBand="0" w:noVBand="1"/>
      </w:tblPr>
      <w:tblGrid>
        <w:gridCol w:w="2718"/>
        <w:gridCol w:w="1641"/>
        <w:gridCol w:w="5021"/>
      </w:tblGrid>
      <w:tr w:rsidR="00B44CD8" w:rsidRPr="00783C9E" w14:paraId="30E06A8E" w14:textId="77777777" w:rsidTr="005C30DF">
        <w:tc>
          <w:tcPr>
            <w:tcW w:w="2718" w:type="dxa"/>
            <w:shd w:val="clear" w:color="auto" w:fill="0070C0"/>
          </w:tcPr>
          <w:p w14:paraId="6ED31633" w14:textId="77777777" w:rsidR="00B44CD8" w:rsidRPr="00783C9E" w:rsidRDefault="00B44CD8" w:rsidP="001D0EF2">
            <w:r w:rsidRPr="00783C9E">
              <w:t>Risques pour l’évaluation</w:t>
            </w:r>
          </w:p>
        </w:tc>
        <w:tc>
          <w:tcPr>
            <w:tcW w:w="1641" w:type="dxa"/>
            <w:shd w:val="clear" w:color="auto" w:fill="0070C0"/>
          </w:tcPr>
          <w:p w14:paraId="330785F5" w14:textId="77777777" w:rsidR="00B44CD8" w:rsidRPr="00783C9E" w:rsidRDefault="00B44CD8" w:rsidP="001D0EF2">
            <w:r w:rsidRPr="00783C9E">
              <w:t>Niveau de risque</w:t>
            </w:r>
          </w:p>
        </w:tc>
        <w:tc>
          <w:tcPr>
            <w:tcW w:w="5021" w:type="dxa"/>
            <w:shd w:val="clear" w:color="auto" w:fill="0070C0"/>
          </w:tcPr>
          <w:p w14:paraId="42AAE357" w14:textId="77777777" w:rsidR="00B44CD8" w:rsidRPr="00783C9E" w:rsidRDefault="00B44CD8" w:rsidP="001D0EF2">
            <w:r w:rsidRPr="00783C9E">
              <w:t>Mesure de mitigation</w:t>
            </w:r>
          </w:p>
        </w:tc>
      </w:tr>
      <w:tr w:rsidR="00B44CD8" w:rsidRPr="00783C9E" w14:paraId="18D9996E" w14:textId="77777777" w:rsidTr="005C30DF">
        <w:tc>
          <w:tcPr>
            <w:tcW w:w="2718" w:type="dxa"/>
            <w:shd w:val="clear" w:color="auto" w:fill="auto"/>
          </w:tcPr>
          <w:p w14:paraId="2C649D48" w14:textId="77777777" w:rsidR="00B44CD8" w:rsidRPr="00783C9E" w:rsidRDefault="00B44CD8" w:rsidP="001D0EF2">
            <w:pPr>
              <w:rPr>
                <w:rFonts w:eastAsia="Arial"/>
              </w:rPr>
            </w:pPr>
            <w:r w:rsidRPr="00783C9E">
              <w:t xml:space="preserve">Disponibilité </w:t>
            </w:r>
            <w:r>
              <w:t xml:space="preserve">insuffisante </w:t>
            </w:r>
            <w:r w:rsidRPr="00783C9E">
              <w:t>des données</w:t>
            </w:r>
          </w:p>
        </w:tc>
        <w:tc>
          <w:tcPr>
            <w:tcW w:w="1641" w:type="dxa"/>
            <w:shd w:val="clear" w:color="auto" w:fill="auto"/>
          </w:tcPr>
          <w:p w14:paraId="2AF2A8E0" w14:textId="147BD3A5" w:rsidR="00B44CD8" w:rsidRPr="00783C9E" w:rsidRDefault="005C30DF" w:rsidP="001D0EF2">
            <w:r>
              <w:t>Moyen</w:t>
            </w:r>
          </w:p>
        </w:tc>
        <w:tc>
          <w:tcPr>
            <w:tcW w:w="5021" w:type="dxa"/>
            <w:shd w:val="clear" w:color="auto" w:fill="auto"/>
          </w:tcPr>
          <w:p w14:paraId="3A456B6C" w14:textId="77777777" w:rsidR="00B44CD8" w:rsidRPr="00783C9E" w:rsidRDefault="00B44CD8" w:rsidP="001D0EF2">
            <w:r w:rsidRPr="00783C9E">
              <w:t>Demande de données dès la phase de démarrage.</w:t>
            </w:r>
          </w:p>
          <w:p w14:paraId="1436E41B" w14:textId="528F522D" w:rsidR="00B44CD8" w:rsidRPr="00783C9E" w:rsidRDefault="00B44CD8" w:rsidP="001D0EF2">
            <w:r w:rsidRPr="00783C9E">
              <w:t xml:space="preserve">Utilisation de l’approche du « changement le plus significatif ». </w:t>
            </w:r>
            <w:r w:rsidR="005C30DF">
              <w:t>Collecte de données en sources ouvertes accrue.</w:t>
            </w:r>
          </w:p>
        </w:tc>
      </w:tr>
      <w:tr w:rsidR="00B44CD8" w:rsidRPr="00783C9E" w14:paraId="795FC86C" w14:textId="77777777" w:rsidTr="005C30DF">
        <w:tc>
          <w:tcPr>
            <w:tcW w:w="2718" w:type="dxa"/>
            <w:shd w:val="clear" w:color="auto" w:fill="auto"/>
          </w:tcPr>
          <w:p w14:paraId="6EDFDE96" w14:textId="77777777" w:rsidR="00B44CD8" w:rsidRPr="00783C9E" w:rsidRDefault="00B44CD8" w:rsidP="001D0EF2">
            <w:r w:rsidRPr="00783C9E">
              <w:t xml:space="preserve">Bonne communication, compréhension réciproque </w:t>
            </w:r>
          </w:p>
        </w:tc>
        <w:tc>
          <w:tcPr>
            <w:tcW w:w="1641" w:type="dxa"/>
            <w:shd w:val="clear" w:color="auto" w:fill="auto"/>
          </w:tcPr>
          <w:p w14:paraId="1D6B013A" w14:textId="162B8B11" w:rsidR="00B44CD8" w:rsidRPr="00783C9E" w:rsidRDefault="005C30DF" w:rsidP="001D0EF2">
            <w:r>
              <w:t>Haut</w:t>
            </w:r>
          </w:p>
        </w:tc>
        <w:tc>
          <w:tcPr>
            <w:tcW w:w="5021" w:type="dxa"/>
            <w:shd w:val="clear" w:color="auto" w:fill="auto"/>
          </w:tcPr>
          <w:p w14:paraId="2D1AD4BB" w14:textId="6A52F7BC" w:rsidR="00B44CD8" w:rsidRPr="00783C9E" w:rsidRDefault="00B44CD8" w:rsidP="001D0EF2">
            <w:r w:rsidRPr="00783C9E">
              <w:rPr>
                <w:spacing w:val="1"/>
              </w:rPr>
              <w:t>C</w:t>
            </w:r>
            <w:r w:rsidRPr="00783C9E">
              <w:t>o</w:t>
            </w:r>
            <w:r w:rsidRPr="00783C9E">
              <w:rPr>
                <w:spacing w:val="2"/>
              </w:rPr>
              <w:t>m</w:t>
            </w:r>
            <w:r w:rsidRPr="00783C9E">
              <w:rPr>
                <w:spacing w:val="4"/>
              </w:rPr>
              <w:t>m</w:t>
            </w:r>
            <w:r w:rsidRPr="00783C9E">
              <w:t>u</w:t>
            </w:r>
            <w:r w:rsidRPr="00783C9E">
              <w:rPr>
                <w:spacing w:val="-1"/>
              </w:rPr>
              <w:t>ni</w:t>
            </w:r>
            <w:r w:rsidRPr="00783C9E">
              <w:rPr>
                <w:spacing w:val="1"/>
              </w:rPr>
              <w:t>c</w:t>
            </w:r>
            <w:r w:rsidRPr="00783C9E">
              <w:t>at</w:t>
            </w:r>
            <w:r w:rsidRPr="00783C9E">
              <w:rPr>
                <w:spacing w:val="-2"/>
              </w:rPr>
              <w:t>i</w:t>
            </w:r>
            <w:r w:rsidRPr="00783C9E">
              <w:t>on fréquente pour comprendre et gérer les attentes respectives</w:t>
            </w:r>
            <w:r w:rsidR="005C30DF">
              <w:t>, réunion de debriefing</w:t>
            </w:r>
          </w:p>
        </w:tc>
      </w:tr>
      <w:tr w:rsidR="00B44CD8" w:rsidRPr="00783C9E" w14:paraId="32F5458E" w14:textId="77777777" w:rsidTr="005C30DF">
        <w:tc>
          <w:tcPr>
            <w:tcW w:w="2718" w:type="dxa"/>
            <w:shd w:val="clear" w:color="auto" w:fill="auto"/>
          </w:tcPr>
          <w:p w14:paraId="6A98C3CE" w14:textId="77777777" w:rsidR="00B44CD8" w:rsidRPr="00783C9E" w:rsidRDefault="00B44CD8" w:rsidP="001D0EF2">
            <w:r w:rsidRPr="00783C9E">
              <w:t xml:space="preserve">Manque de disponibilité des parties prenantes </w:t>
            </w:r>
          </w:p>
        </w:tc>
        <w:tc>
          <w:tcPr>
            <w:tcW w:w="1641" w:type="dxa"/>
            <w:shd w:val="clear" w:color="auto" w:fill="auto"/>
          </w:tcPr>
          <w:p w14:paraId="019C9752" w14:textId="77777777" w:rsidR="00B44CD8" w:rsidRPr="00783C9E" w:rsidRDefault="00B44CD8" w:rsidP="001D0EF2">
            <w:pPr>
              <w:rPr>
                <w:w w:val="99"/>
              </w:rPr>
            </w:pPr>
            <w:r w:rsidRPr="00783C9E">
              <w:t>Moyen</w:t>
            </w:r>
          </w:p>
        </w:tc>
        <w:tc>
          <w:tcPr>
            <w:tcW w:w="5021" w:type="dxa"/>
            <w:shd w:val="clear" w:color="auto" w:fill="auto"/>
          </w:tcPr>
          <w:p w14:paraId="6F65E453" w14:textId="77777777" w:rsidR="00B44CD8" w:rsidRPr="00783C9E" w:rsidRDefault="00B44CD8" w:rsidP="001D0EF2">
            <w:r w:rsidRPr="00783C9E">
              <w:rPr>
                <w:spacing w:val="1"/>
              </w:rPr>
              <w:t>C</w:t>
            </w:r>
            <w:r w:rsidRPr="00783C9E">
              <w:t>o</w:t>
            </w:r>
            <w:r w:rsidRPr="00783C9E">
              <w:rPr>
                <w:spacing w:val="2"/>
              </w:rPr>
              <w:t>m</w:t>
            </w:r>
            <w:r w:rsidRPr="00783C9E">
              <w:rPr>
                <w:spacing w:val="4"/>
              </w:rPr>
              <w:t>m</w:t>
            </w:r>
            <w:r w:rsidRPr="00783C9E">
              <w:t>u</w:t>
            </w:r>
            <w:r w:rsidRPr="00783C9E">
              <w:rPr>
                <w:spacing w:val="-1"/>
              </w:rPr>
              <w:t>ni</w:t>
            </w:r>
            <w:r w:rsidRPr="00783C9E">
              <w:rPr>
                <w:spacing w:val="1"/>
              </w:rPr>
              <w:t>c</w:t>
            </w:r>
            <w:r w:rsidRPr="00783C9E">
              <w:t>at</w:t>
            </w:r>
            <w:r w:rsidRPr="00783C9E">
              <w:rPr>
                <w:spacing w:val="-2"/>
              </w:rPr>
              <w:t>i</w:t>
            </w:r>
            <w:r w:rsidRPr="00783C9E">
              <w:t>on en amont de la mission terrain pur identifier et prendre RV avec les parties prenantes ; présentation des évaluateu</w:t>
            </w:r>
            <w:r>
              <w:t>rs</w:t>
            </w:r>
            <w:r w:rsidRPr="00783C9E">
              <w:t xml:space="preserve"> (par ailleurs équipés d’une lettre de mission) aux parties prenantes</w:t>
            </w:r>
          </w:p>
        </w:tc>
      </w:tr>
      <w:tr w:rsidR="00B44CD8" w:rsidRPr="00783C9E" w14:paraId="1333BF54" w14:textId="77777777" w:rsidTr="005C30DF">
        <w:tc>
          <w:tcPr>
            <w:tcW w:w="2718" w:type="dxa"/>
            <w:shd w:val="clear" w:color="auto" w:fill="auto"/>
          </w:tcPr>
          <w:p w14:paraId="067A3247" w14:textId="77777777" w:rsidR="00B44CD8" w:rsidRPr="00783C9E" w:rsidRDefault="00B44CD8" w:rsidP="001D0EF2">
            <w:r>
              <w:lastRenderedPageBreak/>
              <w:t>Détérioration de la s</w:t>
            </w:r>
            <w:r w:rsidRPr="00783C9E">
              <w:t>ituation sécuritaire</w:t>
            </w:r>
            <w:r>
              <w:t xml:space="preserve"> empêchant la mission de terrain</w:t>
            </w:r>
            <w:r w:rsidRPr="00783C9E">
              <w:t xml:space="preserve"> </w:t>
            </w:r>
          </w:p>
        </w:tc>
        <w:tc>
          <w:tcPr>
            <w:tcW w:w="1641" w:type="dxa"/>
            <w:shd w:val="clear" w:color="auto" w:fill="auto"/>
          </w:tcPr>
          <w:p w14:paraId="18E79188" w14:textId="77777777" w:rsidR="00B44CD8" w:rsidRPr="00783C9E" w:rsidRDefault="00B44CD8" w:rsidP="001D0EF2">
            <w:pPr>
              <w:rPr>
                <w:w w:val="99"/>
              </w:rPr>
            </w:pPr>
            <w:r w:rsidRPr="00783C9E">
              <w:t>Moyen</w:t>
            </w:r>
          </w:p>
        </w:tc>
        <w:tc>
          <w:tcPr>
            <w:tcW w:w="5021" w:type="dxa"/>
            <w:shd w:val="clear" w:color="auto" w:fill="auto"/>
          </w:tcPr>
          <w:p w14:paraId="06C6C9AE" w14:textId="77777777" w:rsidR="00B44CD8" w:rsidRPr="00783C9E" w:rsidRDefault="00B44CD8" w:rsidP="001D0EF2">
            <w:pPr>
              <w:rPr>
                <w:spacing w:val="-1"/>
                <w:szCs w:val="20"/>
              </w:rPr>
            </w:pPr>
            <w:r w:rsidRPr="00783C9E">
              <w:rPr>
                <w:spacing w:val="1"/>
              </w:rPr>
              <w:t>C</w:t>
            </w:r>
            <w:r w:rsidRPr="00783C9E">
              <w:t>o</w:t>
            </w:r>
            <w:r w:rsidRPr="00783C9E">
              <w:rPr>
                <w:spacing w:val="2"/>
              </w:rPr>
              <w:t>m</w:t>
            </w:r>
            <w:r w:rsidRPr="00783C9E">
              <w:rPr>
                <w:spacing w:val="4"/>
              </w:rPr>
              <w:t>m</w:t>
            </w:r>
            <w:r w:rsidRPr="00783C9E">
              <w:t>u</w:t>
            </w:r>
            <w:r w:rsidRPr="00783C9E">
              <w:rPr>
                <w:spacing w:val="-1"/>
              </w:rPr>
              <w:t>ni</w:t>
            </w:r>
            <w:r w:rsidRPr="00783C9E">
              <w:rPr>
                <w:spacing w:val="1"/>
              </w:rPr>
              <w:t>c</w:t>
            </w:r>
            <w:r w:rsidRPr="00783C9E">
              <w:t>at</w:t>
            </w:r>
            <w:r w:rsidRPr="00783C9E">
              <w:rPr>
                <w:spacing w:val="-2"/>
              </w:rPr>
              <w:t>i</w:t>
            </w:r>
            <w:r w:rsidRPr="00783C9E">
              <w:t xml:space="preserve">on fréquente avec </w:t>
            </w:r>
            <w:r>
              <w:t xml:space="preserve">le bureau pays </w:t>
            </w:r>
            <w:r w:rsidRPr="00783C9E">
              <w:t xml:space="preserve">et suivi du protocole </w:t>
            </w:r>
            <w:proofErr w:type="gramStart"/>
            <w:r w:rsidRPr="00783C9E">
              <w:t>UNDSS</w:t>
            </w:r>
            <w:r w:rsidRPr="00783C9E">
              <w:rPr>
                <w:spacing w:val="-1"/>
                <w:szCs w:val="20"/>
              </w:rPr>
              <w:t>;</w:t>
            </w:r>
            <w:proofErr w:type="gramEnd"/>
            <w:r w:rsidRPr="00783C9E">
              <w:rPr>
                <w:spacing w:val="-1"/>
                <w:szCs w:val="20"/>
              </w:rPr>
              <w:t xml:space="preserve"> suivi de la situation par des sources tierces</w:t>
            </w:r>
          </w:p>
        </w:tc>
      </w:tr>
      <w:tr w:rsidR="00B44CD8" w:rsidRPr="00783C9E" w14:paraId="259E8741" w14:textId="77777777" w:rsidTr="005C30DF">
        <w:tc>
          <w:tcPr>
            <w:tcW w:w="2718" w:type="dxa"/>
            <w:shd w:val="clear" w:color="auto" w:fill="auto"/>
          </w:tcPr>
          <w:p w14:paraId="433FA5F3" w14:textId="77777777" w:rsidR="00B44CD8" w:rsidRPr="00783C9E" w:rsidRDefault="00B44CD8" w:rsidP="001D0EF2">
            <w:r w:rsidRPr="00783C9E">
              <w:t>Impacts difficiles à mesurer ou à percevoir</w:t>
            </w:r>
          </w:p>
        </w:tc>
        <w:tc>
          <w:tcPr>
            <w:tcW w:w="1641" w:type="dxa"/>
            <w:shd w:val="clear" w:color="auto" w:fill="auto"/>
          </w:tcPr>
          <w:p w14:paraId="7BCE2A19" w14:textId="77777777" w:rsidR="00B44CD8" w:rsidRPr="00783C9E" w:rsidRDefault="00B44CD8" w:rsidP="001D0EF2">
            <w:pPr>
              <w:rPr>
                <w:w w:val="99"/>
              </w:rPr>
            </w:pPr>
            <w:r w:rsidRPr="00783C9E">
              <w:t>Moyen</w:t>
            </w:r>
          </w:p>
        </w:tc>
        <w:tc>
          <w:tcPr>
            <w:tcW w:w="5021" w:type="dxa"/>
            <w:shd w:val="clear" w:color="auto" w:fill="auto"/>
          </w:tcPr>
          <w:p w14:paraId="2F320495" w14:textId="77777777" w:rsidR="00B44CD8" w:rsidRPr="00783C9E" w:rsidRDefault="00B44CD8" w:rsidP="001D0EF2">
            <w:r w:rsidRPr="00783C9E">
              <w:t>Recherche de contributions tant directes que plausibles, étayées par des preuves même anecdotiques (avec triangulation des données)</w:t>
            </w:r>
          </w:p>
          <w:p w14:paraId="2CE69994" w14:textId="77777777" w:rsidR="00B44CD8" w:rsidRPr="00783C9E" w:rsidRDefault="00B44CD8" w:rsidP="001D0EF2">
            <w:pPr>
              <w:rPr>
                <w:spacing w:val="-1"/>
              </w:rPr>
            </w:pPr>
            <w:r w:rsidRPr="00783C9E">
              <w:t>Utilisation de l’approche du « changement le plus significatif »</w:t>
            </w:r>
          </w:p>
        </w:tc>
      </w:tr>
      <w:tr w:rsidR="00B44CD8" w:rsidRPr="00783C9E" w14:paraId="2FA4C214" w14:textId="77777777" w:rsidTr="005C30DF">
        <w:tc>
          <w:tcPr>
            <w:tcW w:w="2718" w:type="dxa"/>
            <w:shd w:val="clear" w:color="auto" w:fill="auto"/>
          </w:tcPr>
          <w:p w14:paraId="4DB77CD6" w14:textId="77777777" w:rsidR="00B44CD8" w:rsidRPr="00783C9E" w:rsidRDefault="00B44CD8" w:rsidP="001D0EF2">
            <w:r w:rsidRPr="00783C9E">
              <w:t>Logistique</w:t>
            </w:r>
          </w:p>
        </w:tc>
        <w:tc>
          <w:tcPr>
            <w:tcW w:w="1641" w:type="dxa"/>
            <w:shd w:val="clear" w:color="auto" w:fill="auto"/>
          </w:tcPr>
          <w:p w14:paraId="133D0EBD" w14:textId="77777777" w:rsidR="00B44CD8" w:rsidRPr="00783C9E" w:rsidRDefault="00B44CD8" w:rsidP="001D0EF2">
            <w:pPr>
              <w:rPr>
                <w:w w:val="99"/>
              </w:rPr>
            </w:pPr>
            <w:r>
              <w:rPr>
                <w:w w:val="99"/>
              </w:rPr>
              <w:t>Moyen</w:t>
            </w:r>
          </w:p>
        </w:tc>
        <w:tc>
          <w:tcPr>
            <w:tcW w:w="5021" w:type="dxa"/>
            <w:shd w:val="clear" w:color="auto" w:fill="auto"/>
          </w:tcPr>
          <w:p w14:paraId="286B18D7" w14:textId="77777777" w:rsidR="00B44CD8" w:rsidRPr="00783C9E" w:rsidRDefault="00B44CD8" w:rsidP="001D0EF2">
            <w:pPr>
              <w:rPr>
                <w:spacing w:val="-1"/>
                <w:szCs w:val="20"/>
              </w:rPr>
            </w:pPr>
            <w:r w:rsidRPr="00783C9E">
              <w:rPr>
                <w:spacing w:val="1"/>
              </w:rPr>
              <w:t>C</w:t>
            </w:r>
            <w:r w:rsidRPr="00783C9E">
              <w:t>o</w:t>
            </w:r>
            <w:r w:rsidRPr="00783C9E">
              <w:rPr>
                <w:spacing w:val="2"/>
              </w:rPr>
              <w:t>m</w:t>
            </w:r>
            <w:r w:rsidRPr="00783C9E">
              <w:rPr>
                <w:spacing w:val="4"/>
              </w:rPr>
              <w:t>m</w:t>
            </w:r>
            <w:r w:rsidRPr="00783C9E">
              <w:t>u</w:t>
            </w:r>
            <w:r w:rsidRPr="00783C9E">
              <w:rPr>
                <w:spacing w:val="-1"/>
              </w:rPr>
              <w:t>ni</w:t>
            </w:r>
            <w:r w:rsidRPr="00783C9E">
              <w:rPr>
                <w:spacing w:val="1"/>
              </w:rPr>
              <w:t>c</w:t>
            </w:r>
            <w:r w:rsidRPr="00783C9E">
              <w:t>at</w:t>
            </w:r>
            <w:r w:rsidRPr="00783C9E">
              <w:rPr>
                <w:spacing w:val="-2"/>
              </w:rPr>
              <w:t>i</w:t>
            </w:r>
            <w:r w:rsidRPr="00783C9E">
              <w:t>on fréquente pour identifier les lieux à visite</w:t>
            </w:r>
            <w:r>
              <w:t>r</w:t>
            </w:r>
            <w:r w:rsidRPr="00783C9E">
              <w:t>.</w:t>
            </w:r>
          </w:p>
        </w:tc>
      </w:tr>
    </w:tbl>
    <w:p w14:paraId="5EB6482A" w14:textId="77777777" w:rsidR="00B44CD8" w:rsidRPr="00783C9E" w:rsidRDefault="00B44CD8" w:rsidP="00B44CD8"/>
    <w:p w14:paraId="11FB575D" w14:textId="77777777" w:rsidR="00B44CD8" w:rsidRPr="00783C9E" w:rsidRDefault="00B44CD8" w:rsidP="00B44CD8"/>
    <w:p w14:paraId="72535809" w14:textId="77777777" w:rsidR="00B44CD8" w:rsidRPr="00783C9E" w:rsidRDefault="00B44CD8" w:rsidP="00E2635B">
      <w:pPr>
        <w:pStyle w:val="Titre2"/>
      </w:pPr>
      <w:bookmarkStart w:id="16" w:name="_Toc525626838"/>
      <w:r w:rsidRPr="00783C9E">
        <w:t>Analyse des acteurs</w:t>
      </w:r>
      <w:bookmarkEnd w:id="16"/>
      <w:r w:rsidRPr="00783C9E">
        <w:t xml:space="preserve"> </w:t>
      </w:r>
    </w:p>
    <w:p w14:paraId="02653587" w14:textId="77777777" w:rsidR="00B44CD8" w:rsidRDefault="00B44CD8" w:rsidP="00E2635B"/>
    <w:p w14:paraId="708A289D" w14:textId="0AA41D34" w:rsidR="00B44CD8" w:rsidRPr="00B44CD8" w:rsidRDefault="00B44CD8" w:rsidP="00B44CD8">
      <w:pPr>
        <w:rPr>
          <w:snapToGrid w:val="0"/>
          <w:lang w:val="fr-BE"/>
        </w:rPr>
        <w:sectPr w:rsidR="00B44CD8" w:rsidRPr="00B44CD8" w:rsidSect="00F475EE">
          <w:footerReference w:type="even" r:id="rId11"/>
          <w:footerReference w:type="default" r:id="rId12"/>
          <w:pgSz w:w="11900" w:h="16840"/>
          <w:pgMar w:top="1418" w:right="1418" w:bottom="1418" w:left="1843" w:header="709" w:footer="709" w:gutter="0"/>
          <w:pgNumType w:start="1"/>
          <w:cols w:space="708"/>
          <w:docGrid w:linePitch="360"/>
        </w:sectPr>
      </w:pPr>
      <w:r w:rsidRPr="0072231C">
        <w:rPr>
          <w:snapToGrid w:val="0"/>
          <w:lang w:val="fr-BE"/>
        </w:rPr>
        <w:t>Les parties prenantes à ce projet sont essentiellement les deux institutions supérieures de contrôle interne et externe, respectivement l’Inspection Générale de l’Etat et la Cour des Comptes, les institutions clés en matière de lutte contre la corruption, c’est-à- dire la Brigade Spéciale Anti-Corruption (BSAC), la Cour Anti-Corruption (CAC) et la Cour Suprême et son Parquet Général, l’Autorité de Régulation des Marchés Publics (ARMP), ainsi que l’Union Européenne et le PNUD.</w:t>
      </w:r>
    </w:p>
    <w:p w14:paraId="7C25DAFC" w14:textId="77777777" w:rsidR="00CB71E9" w:rsidRDefault="00CB71E9" w:rsidP="00117A2F"/>
    <w:p w14:paraId="2CF2B49E" w14:textId="2BA4F8BD" w:rsidR="008D4E1D" w:rsidRDefault="00F11225" w:rsidP="00117A2F">
      <w:pPr>
        <w:pStyle w:val="Titre1"/>
      </w:pPr>
      <w:bookmarkStart w:id="17" w:name="_Toc525626839"/>
      <w:r w:rsidRPr="00F11225">
        <w:t>Constats principaux</w:t>
      </w:r>
      <w:bookmarkEnd w:id="17"/>
      <w:r w:rsidRPr="00F11225">
        <w:t xml:space="preserve"> </w:t>
      </w:r>
    </w:p>
    <w:p w14:paraId="2454C8D3" w14:textId="295150E7" w:rsidR="008D4E1D" w:rsidRDefault="008D4E1D" w:rsidP="00117A2F"/>
    <w:p w14:paraId="2F99648B" w14:textId="2AB2F76F" w:rsidR="008D4E1D" w:rsidRDefault="008D4E1D" w:rsidP="00117A2F"/>
    <w:p w14:paraId="658D8A47" w14:textId="7F8FAC69" w:rsidR="008D4E1D" w:rsidRDefault="00F11225" w:rsidP="00117A2F">
      <w:pPr>
        <w:pStyle w:val="Titre2"/>
      </w:pPr>
      <w:bookmarkStart w:id="18" w:name="_Toc525626840"/>
      <w:r w:rsidRPr="00F11225">
        <w:t>Pertinence</w:t>
      </w:r>
      <w:bookmarkEnd w:id="18"/>
    </w:p>
    <w:p w14:paraId="45D63679" w14:textId="5C17D9A5" w:rsidR="00F11225" w:rsidRDefault="00F11225" w:rsidP="00117A2F"/>
    <w:p w14:paraId="04812F40" w14:textId="77777777" w:rsidR="00131C1A" w:rsidRPr="00446E6E" w:rsidRDefault="00131C1A" w:rsidP="00353A8C">
      <w:pPr>
        <w:numPr>
          <w:ilvl w:val="0"/>
          <w:numId w:val="5"/>
        </w:numPr>
        <w:autoSpaceDE w:val="0"/>
        <w:autoSpaceDN w:val="0"/>
        <w:adjustRightInd w:val="0"/>
        <w:spacing w:after="120"/>
        <w:ind w:left="284"/>
        <w:rPr>
          <w:rFonts w:ascii="Times New Roman" w:eastAsia="Calibri" w:hAnsi="Times New Roman"/>
          <w:i/>
        </w:rPr>
      </w:pPr>
      <w:r w:rsidRPr="00131C1A">
        <w:rPr>
          <w:rFonts w:ascii="Times New Roman" w:eastAsia="Calibri" w:hAnsi="Times New Roman"/>
          <w:i/>
        </w:rPr>
        <w:t>Jusqu’à quel point le projet est-</w:t>
      </w:r>
      <w:r w:rsidRPr="00446E6E">
        <w:rPr>
          <w:rFonts w:ascii="Times New Roman" w:eastAsia="Calibri" w:hAnsi="Times New Roman"/>
          <w:i/>
        </w:rPr>
        <w:t>il aligné avec le mandat du PNUD, les priorités nationales et les exigences des femmes et hommes ciblés ?</w:t>
      </w:r>
    </w:p>
    <w:p w14:paraId="6AFE4F56" w14:textId="77777777" w:rsidR="00131C1A" w:rsidRPr="00446E6E" w:rsidRDefault="00131C1A" w:rsidP="00353A8C">
      <w:pPr>
        <w:numPr>
          <w:ilvl w:val="0"/>
          <w:numId w:val="5"/>
        </w:numPr>
        <w:autoSpaceDE w:val="0"/>
        <w:autoSpaceDN w:val="0"/>
        <w:adjustRightInd w:val="0"/>
        <w:spacing w:after="120"/>
        <w:ind w:left="284"/>
        <w:rPr>
          <w:rFonts w:ascii="Times New Roman" w:eastAsia="Calibri" w:hAnsi="Times New Roman"/>
          <w:i/>
        </w:rPr>
      </w:pPr>
      <w:r w:rsidRPr="00446E6E">
        <w:rPr>
          <w:rFonts w:ascii="Times New Roman" w:eastAsia="Calibri" w:hAnsi="Times New Roman"/>
          <w:i/>
        </w:rPr>
        <w:t xml:space="preserve">De quelle manière le projet a-t-il promut les principes du PNUD en matière d’égalité du genre, droits de l’Homme et développement </w:t>
      </w:r>
      <w:proofErr w:type="gramStart"/>
      <w:r w:rsidRPr="00446E6E">
        <w:rPr>
          <w:rFonts w:ascii="Times New Roman" w:eastAsia="Calibri" w:hAnsi="Times New Roman"/>
          <w:i/>
        </w:rPr>
        <w:t>humain?</w:t>
      </w:r>
      <w:proofErr w:type="gramEnd"/>
      <w:r w:rsidRPr="00446E6E">
        <w:rPr>
          <w:rFonts w:ascii="Times New Roman" w:eastAsia="Calibri" w:hAnsi="Times New Roman"/>
          <w:i/>
        </w:rPr>
        <w:t xml:space="preserve"> </w:t>
      </w:r>
    </w:p>
    <w:p w14:paraId="39369313" w14:textId="77777777" w:rsidR="00131C1A" w:rsidRPr="00446E6E" w:rsidRDefault="00131C1A" w:rsidP="00353A8C">
      <w:pPr>
        <w:numPr>
          <w:ilvl w:val="0"/>
          <w:numId w:val="5"/>
        </w:numPr>
        <w:autoSpaceDE w:val="0"/>
        <w:autoSpaceDN w:val="0"/>
        <w:adjustRightInd w:val="0"/>
        <w:spacing w:after="120"/>
        <w:ind w:left="284"/>
        <w:rPr>
          <w:rFonts w:ascii="Times New Roman" w:eastAsia="Calibri" w:hAnsi="Times New Roman"/>
          <w:i/>
        </w:rPr>
      </w:pPr>
      <w:r w:rsidRPr="00446E6E">
        <w:rPr>
          <w:rFonts w:ascii="Times New Roman" w:eastAsia="Calibri" w:hAnsi="Times New Roman"/>
          <w:i/>
        </w:rPr>
        <w:t xml:space="preserve">Jusqu’à quel point l’engagement du PNUD est-il le reflet de considérations stratégiques, y inclus le rôle du PNUD dans un contexte particulier de développement et ses avantages comparatifs. </w:t>
      </w:r>
    </w:p>
    <w:p w14:paraId="7DB50B0D" w14:textId="77777777" w:rsidR="00131C1A" w:rsidRPr="00446E6E" w:rsidRDefault="00131C1A" w:rsidP="00353A8C">
      <w:pPr>
        <w:numPr>
          <w:ilvl w:val="0"/>
          <w:numId w:val="5"/>
        </w:numPr>
        <w:autoSpaceDE w:val="0"/>
        <w:autoSpaceDN w:val="0"/>
        <w:adjustRightInd w:val="0"/>
        <w:spacing w:after="120"/>
        <w:ind w:left="284"/>
        <w:rPr>
          <w:rFonts w:ascii="Times New Roman" w:eastAsia="Calibri" w:hAnsi="Times New Roman"/>
          <w:i/>
        </w:rPr>
      </w:pPr>
      <w:r w:rsidRPr="00446E6E">
        <w:rPr>
          <w:rFonts w:ascii="Times New Roman" w:eastAsia="Calibri" w:hAnsi="Times New Roman"/>
          <w:i/>
        </w:rPr>
        <w:t>Jusqu’à quel point la méthode de mise en œuvre choisie par le PNUD, était-elle pertinente dans le contexte de développement ?</w:t>
      </w:r>
    </w:p>
    <w:p w14:paraId="2575F90C" w14:textId="77777777" w:rsidR="00131C1A" w:rsidRPr="00446E6E" w:rsidRDefault="00131C1A" w:rsidP="00353A8C">
      <w:pPr>
        <w:numPr>
          <w:ilvl w:val="0"/>
          <w:numId w:val="5"/>
        </w:numPr>
        <w:autoSpaceDE w:val="0"/>
        <w:autoSpaceDN w:val="0"/>
        <w:adjustRightInd w:val="0"/>
        <w:spacing w:after="120"/>
        <w:ind w:left="284"/>
        <w:rPr>
          <w:rFonts w:ascii="Times New Roman" w:eastAsia="Calibri" w:hAnsi="Times New Roman"/>
          <w:i/>
        </w:rPr>
      </w:pPr>
      <w:r w:rsidRPr="00446E6E">
        <w:rPr>
          <w:rFonts w:ascii="Times New Roman" w:eastAsia="Calibri" w:hAnsi="Times New Roman"/>
          <w:i/>
        </w:rPr>
        <w:t>Jusqu’à quel point la théorie du changement présentée au niveau des effets, était-elle une vision pertinente sur laquelle bâtir l’initiative ?</w:t>
      </w:r>
    </w:p>
    <w:p w14:paraId="39DFF6A2" w14:textId="77777777" w:rsidR="00131C1A" w:rsidRPr="00131C1A" w:rsidRDefault="00131C1A" w:rsidP="00353A8C">
      <w:pPr>
        <w:numPr>
          <w:ilvl w:val="0"/>
          <w:numId w:val="5"/>
        </w:numPr>
        <w:autoSpaceDE w:val="0"/>
        <w:autoSpaceDN w:val="0"/>
        <w:adjustRightInd w:val="0"/>
        <w:spacing w:after="120"/>
        <w:ind w:left="284"/>
        <w:rPr>
          <w:rFonts w:ascii="Times New Roman" w:eastAsia="Calibri" w:hAnsi="Times New Roman"/>
          <w:i/>
        </w:rPr>
      </w:pPr>
      <w:r w:rsidRPr="00446E6E">
        <w:rPr>
          <w:rFonts w:ascii="Times New Roman" w:eastAsia="Calibri" w:hAnsi="Times New Roman"/>
          <w:i/>
        </w:rPr>
        <w:t>Le projet était-il pertinent dans le contexte</w:t>
      </w:r>
      <w:r w:rsidRPr="00131C1A">
        <w:rPr>
          <w:rFonts w:ascii="Times New Roman" w:eastAsia="Calibri" w:hAnsi="Times New Roman"/>
          <w:i/>
        </w:rPr>
        <w:t xml:space="preserve"> de la République du Burundi ? </w:t>
      </w:r>
    </w:p>
    <w:p w14:paraId="6005844F" w14:textId="77777777" w:rsidR="00131C1A" w:rsidRPr="00131C1A" w:rsidRDefault="00131C1A" w:rsidP="00353A8C">
      <w:pPr>
        <w:numPr>
          <w:ilvl w:val="0"/>
          <w:numId w:val="5"/>
        </w:numPr>
        <w:shd w:val="clear" w:color="auto" w:fill="FFFFFF"/>
        <w:spacing w:after="120"/>
        <w:ind w:left="284"/>
        <w:rPr>
          <w:rFonts w:ascii="Times New Roman" w:eastAsia="Calibri" w:hAnsi="Times New Roman"/>
          <w:i/>
        </w:rPr>
      </w:pPr>
      <w:r w:rsidRPr="00131C1A">
        <w:rPr>
          <w:rFonts w:ascii="Times New Roman" w:eastAsia="Calibri" w:hAnsi="Times New Roman"/>
          <w:i/>
        </w:rPr>
        <w:t>Les moyens mis en œuvre ont-ils été à la hauteur des besoins identifiés ?</w:t>
      </w:r>
    </w:p>
    <w:p w14:paraId="4EB1B446" w14:textId="77777777" w:rsidR="00131C1A" w:rsidRPr="00131C1A" w:rsidRDefault="00131C1A" w:rsidP="00353A8C">
      <w:pPr>
        <w:numPr>
          <w:ilvl w:val="0"/>
          <w:numId w:val="5"/>
        </w:numPr>
        <w:autoSpaceDE w:val="0"/>
        <w:autoSpaceDN w:val="0"/>
        <w:adjustRightInd w:val="0"/>
        <w:spacing w:after="120"/>
        <w:ind w:left="284"/>
        <w:rPr>
          <w:rFonts w:ascii="Times New Roman" w:eastAsia="Calibri" w:hAnsi="Times New Roman"/>
          <w:i/>
        </w:rPr>
      </w:pPr>
      <w:r w:rsidRPr="00131C1A">
        <w:rPr>
          <w:rFonts w:ascii="Times New Roman" w:eastAsia="Calibri" w:hAnsi="Times New Roman"/>
          <w:i/>
        </w:rPr>
        <w:t>Le choix des partenaires institutionnels a-t- il été rationnel et pertinent ?</w:t>
      </w:r>
    </w:p>
    <w:p w14:paraId="125DB8A6" w14:textId="77777777" w:rsidR="00131C1A" w:rsidRPr="00131C1A" w:rsidRDefault="00131C1A" w:rsidP="00353A8C">
      <w:pPr>
        <w:numPr>
          <w:ilvl w:val="0"/>
          <w:numId w:val="5"/>
        </w:numPr>
        <w:autoSpaceDE w:val="0"/>
        <w:autoSpaceDN w:val="0"/>
        <w:adjustRightInd w:val="0"/>
        <w:spacing w:after="120"/>
        <w:ind w:left="284"/>
        <w:rPr>
          <w:rFonts w:ascii="Times New Roman" w:eastAsia="Calibri" w:hAnsi="Times New Roman"/>
          <w:i/>
        </w:rPr>
      </w:pPr>
      <w:r w:rsidRPr="00131C1A">
        <w:rPr>
          <w:rFonts w:ascii="Times New Roman" w:eastAsia="Calibri" w:hAnsi="Times New Roman"/>
          <w:i/>
        </w:rPr>
        <w:t>L’approche choisie et les moyens utilisés pour atteindre ces objectifs ont-ils été pertinents ? Quelle est la pertinence de la composition de l’équipe du projet ?</w:t>
      </w:r>
    </w:p>
    <w:p w14:paraId="30817C44" w14:textId="77777777" w:rsidR="00131C1A" w:rsidRPr="00131C1A" w:rsidRDefault="00131C1A" w:rsidP="00353A8C">
      <w:pPr>
        <w:numPr>
          <w:ilvl w:val="0"/>
          <w:numId w:val="5"/>
        </w:numPr>
        <w:autoSpaceDE w:val="0"/>
        <w:autoSpaceDN w:val="0"/>
        <w:adjustRightInd w:val="0"/>
        <w:spacing w:after="120"/>
        <w:ind w:left="284"/>
        <w:rPr>
          <w:rFonts w:ascii="Times New Roman" w:eastAsia="Calibri" w:hAnsi="Times New Roman"/>
          <w:i/>
        </w:rPr>
      </w:pPr>
      <w:r w:rsidRPr="00131C1A">
        <w:rPr>
          <w:rFonts w:ascii="Times New Roman" w:eastAsia="Calibri" w:hAnsi="Times New Roman"/>
          <w:i/>
        </w:rPr>
        <w:t xml:space="preserve">L’équilibre entre les volets du projet a-t-il été pertinent face aux enjeux ? L’opérationnalité du cadre logique, compte tenu du temps et des ressources disponibles, a-t-elle été pertinente ? </w:t>
      </w:r>
    </w:p>
    <w:p w14:paraId="72890CE0" w14:textId="77777777" w:rsidR="00131C1A" w:rsidRPr="00131C1A" w:rsidRDefault="00131C1A" w:rsidP="00353A8C">
      <w:pPr>
        <w:numPr>
          <w:ilvl w:val="0"/>
          <w:numId w:val="5"/>
        </w:numPr>
        <w:autoSpaceDE w:val="0"/>
        <w:autoSpaceDN w:val="0"/>
        <w:adjustRightInd w:val="0"/>
        <w:spacing w:after="120"/>
        <w:ind w:left="284"/>
        <w:rPr>
          <w:rFonts w:ascii="Times New Roman" w:eastAsia="Calibri" w:hAnsi="Times New Roman"/>
          <w:i/>
        </w:rPr>
      </w:pPr>
      <w:r w:rsidRPr="00131C1A">
        <w:rPr>
          <w:rFonts w:ascii="Times New Roman" w:eastAsia="Calibri" w:hAnsi="Times New Roman"/>
          <w:i/>
        </w:rPr>
        <w:t>L’aspect genre dans l’identification des bénéficiaires est-il respecté ?</w:t>
      </w:r>
    </w:p>
    <w:p w14:paraId="758B852E" w14:textId="3C4C69C8" w:rsidR="00131C1A" w:rsidRDefault="00131C1A" w:rsidP="00117A2F"/>
    <w:p w14:paraId="552CE83A" w14:textId="5B306033" w:rsidR="00F11225" w:rsidRDefault="00912CD4" w:rsidP="00912CD4">
      <w:pPr>
        <w:pStyle w:val="Titre3"/>
      </w:pPr>
      <w:bookmarkStart w:id="19" w:name="_Toc525626841"/>
      <w:r>
        <w:t>Adéquation au contexte</w:t>
      </w:r>
      <w:bookmarkEnd w:id="19"/>
    </w:p>
    <w:p w14:paraId="250424A3" w14:textId="77777777" w:rsidR="00912CD4" w:rsidRPr="00117A2F" w:rsidRDefault="00912CD4" w:rsidP="00117A2F"/>
    <w:p w14:paraId="16B87AF6" w14:textId="743089AA" w:rsidR="00131C1A" w:rsidRDefault="005A427C" w:rsidP="00117A2F">
      <w:r>
        <w:t>Au niveau général, l</w:t>
      </w:r>
      <w:r w:rsidR="00117A2F" w:rsidRPr="00117A2F">
        <w:t xml:space="preserve">a pertinence de la lutte contre la corruption, la pertinence est difficilement contestable, compte tenu de l’ampleur du problème au Burundi, puisque le pays, nouvellement membre de l’ECAS, est le pays le plus touché de l’Afrique de l’Est (à noter qu’il n’est pas fait référence aux dynamiques au niveau de l’Afrique Centrale). </w:t>
      </w:r>
    </w:p>
    <w:p w14:paraId="48F8E92C" w14:textId="10162969" w:rsidR="00E269BD" w:rsidRDefault="00E269BD" w:rsidP="00117A2F"/>
    <w:p w14:paraId="729F8B3B" w14:textId="4DDDA485" w:rsidR="00E269BD" w:rsidRDefault="00E269BD" w:rsidP="00E269BD">
      <w:r>
        <w:t xml:space="preserve">Le projet visait à soutenir les efforts du gouvernement du Burundi en matière de bonne gouvernance et lutte contre la corruption, </w:t>
      </w:r>
      <w:r w:rsidR="00743E06">
        <w:t>pour donner suite au</w:t>
      </w:r>
      <w:r>
        <w:t xml:space="preserve"> renforcement du cadre institutionnel et légal en la matière, dynamique qui avait débuté avec les Accords d’Arusha d’août 2000. </w:t>
      </w:r>
    </w:p>
    <w:p w14:paraId="6DAD5309" w14:textId="77777777" w:rsidR="00E269BD" w:rsidRDefault="00E269BD" w:rsidP="00E269BD"/>
    <w:p w14:paraId="2D57832C" w14:textId="77777777" w:rsidR="00E269BD" w:rsidRDefault="00E269BD" w:rsidP="00E269BD">
      <w:r>
        <w:t xml:space="preserve">Plusieurs institutions ont en effet été créés : </w:t>
      </w:r>
    </w:p>
    <w:p w14:paraId="114FEF0D" w14:textId="77777777" w:rsidR="00E269BD" w:rsidRDefault="00E269BD" w:rsidP="00353A8C">
      <w:pPr>
        <w:pStyle w:val="Paragraphedeliste"/>
        <w:numPr>
          <w:ilvl w:val="0"/>
          <w:numId w:val="7"/>
        </w:numPr>
      </w:pPr>
      <w:r>
        <w:t>Le Ministère à la Présidence en charge de la Bonne Gouvernance et de la Privatisation</w:t>
      </w:r>
    </w:p>
    <w:p w14:paraId="429284D0" w14:textId="77777777" w:rsidR="00E269BD" w:rsidRDefault="00E269BD" w:rsidP="00353A8C">
      <w:pPr>
        <w:pStyle w:val="Paragraphedeliste"/>
        <w:numPr>
          <w:ilvl w:val="0"/>
          <w:numId w:val="7"/>
        </w:numPr>
      </w:pPr>
      <w:r>
        <w:t>La Cour des Comptes</w:t>
      </w:r>
    </w:p>
    <w:p w14:paraId="09FDF728" w14:textId="77777777" w:rsidR="00E269BD" w:rsidRDefault="00E269BD" w:rsidP="00353A8C">
      <w:pPr>
        <w:pStyle w:val="Paragraphedeliste"/>
        <w:numPr>
          <w:ilvl w:val="0"/>
          <w:numId w:val="7"/>
        </w:numPr>
      </w:pPr>
      <w:r>
        <w:t>L’Inspection générale de l’Etat</w:t>
      </w:r>
    </w:p>
    <w:p w14:paraId="6EFF79F8" w14:textId="77777777" w:rsidR="00E269BD" w:rsidRDefault="00E269BD" w:rsidP="00353A8C">
      <w:pPr>
        <w:pStyle w:val="Paragraphedeliste"/>
        <w:numPr>
          <w:ilvl w:val="0"/>
          <w:numId w:val="7"/>
        </w:numPr>
      </w:pPr>
      <w:r>
        <w:t>La brigade anti-corruption de la Cour Anti-Corruption</w:t>
      </w:r>
    </w:p>
    <w:p w14:paraId="59F70106" w14:textId="361DFED9" w:rsidR="00E269BD" w:rsidRDefault="00E269BD" w:rsidP="00353A8C">
      <w:pPr>
        <w:pStyle w:val="Paragraphedeliste"/>
        <w:numPr>
          <w:ilvl w:val="0"/>
          <w:numId w:val="7"/>
        </w:numPr>
      </w:pPr>
      <w:r>
        <w:t>L’Autorité de Régulation des Marchés Publics</w:t>
      </w:r>
    </w:p>
    <w:p w14:paraId="37C69B28" w14:textId="5AEA5018" w:rsidR="00F56829" w:rsidRDefault="00F56829" w:rsidP="00F56829">
      <w:r>
        <w:t xml:space="preserve">Ces institutions sont relativement récentes puisque crées en 2007 en majorité, et à ce titre le niveau de besoin reste particulièrement significatif, y compris pour les connaissances de base. On pourrait considérer que le montant du projet restait à ce titre relativement limité, mais les difficultés de décaissement (voir partie efficacité) montrent aussi les capacités d’absorption restreintes avec la structure projet actuelle. </w:t>
      </w:r>
    </w:p>
    <w:p w14:paraId="73EF2C9A" w14:textId="77777777" w:rsidR="00E269BD" w:rsidRDefault="00E269BD" w:rsidP="00E269BD"/>
    <w:p w14:paraId="398EFF97" w14:textId="77777777" w:rsidR="00E269BD" w:rsidRPr="00A13E95" w:rsidRDefault="00E269BD" w:rsidP="00E269BD">
      <w:r w:rsidRPr="00A13E95">
        <w:lastRenderedPageBreak/>
        <w:t>En novembre 2011, le gouvernement a également adopté la Stratégie Nationale de Bonne Gouvernance et de Lutte contre la Corruption 2011-2015 et il semblait donc pertinent d’appuyer à sa mise en œuvre, dans un contexte où le cadre stratégique en matière de gouvernance était également renforcé avec la Politique sectorielle du Ministère de la Justice, le Plan de Réforme de l’Administration Publique et le Plan Stratégique de la Police Nationale du Burundi. Par ailleurs, le cadre légal avait été consolidé avec la révision du Code des Marchés Publics.</w:t>
      </w:r>
    </w:p>
    <w:p w14:paraId="3DF01035" w14:textId="77777777" w:rsidR="00E269BD" w:rsidRPr="00A13E95" w:rsidRDefault="00E269BD" w:rsidP="00E269BD"/>
    <w:p w14:paraId="3D3F4E40" w14:textId="3DAA9E9D" w:rsidR="00E269BD" w:rsidRDefault="00E269BD" w:rsidP="00E269BD">
      <w:r>
        <w:t>Comme indiqué dans les Termes de Référence, l</w:t>
      </w:r>
      <w:r w:rsidRPr="00A13E95">
        <w:t>a bonne gouvernance et le renforcement des capacités des Institutions constituent le premier pilier de la vision 2025, tandis que le Programme du Gouvernement 2011-2015 prône la tolérance zéro à tous les actes de corruption et de malversation économique.</w:t>
      </w:r>
    </w:p>
    <w:p w14:paraId="53586E84" w14:textId="77777777" w:rsidR="00912CD4" w:rsidRDefault="00912CD4" w:rsidP="00117A2F"/>
    <w:p w14:paraId="49B5610D" w14:textId="75640DD8" w:rsidR="00E269BD" w:rsidRDefault="00AF2003" w:rsidP="00117A2F">
      <w:r>
        <w:t>On peut souligner cependant l’absence de données actualisées, et de système de collecte de données sur le phénomène et ses différentes formes</w:t>
      </w:r>
      <w:r w:rsidR="00E470E1">
        <w:t xml:space="preserve"> en fonction des secteurs et des groupes cibles, qui permettraient d’identifier les leviers de changement, problématiques spécifiques et étendu du phénomène de façon globale et désagrégée</w:t>
      </w:r>
      <w:r>
        <w:t xml:space="preserve">. </w:t>
      </w:r>
    </w:p>
    <w:p w14:paraId="79650F5F" w14:textId="1034D556" w:rsidR="00DE7072" w:rsidRDefault="00DE7072" w:rsidP="00117A2F">
      <w:r>
        <w:t xml:space="preserve">Au niveau de l’environnement des affaires, les évolutions économiques amènent en effet au développement et à la structuration de certains secteurs, par exemple le secteur minier, qui soulève des problématiques particulières, et des modes de contrôle aussi spécifiques pour les différentes structures de l’Etat. </w:t>
      </w:r>
      <w:r w:rsidR="00C53B7E">
        <w:t xml:space="preserve">Une nouvelle </w:t>
      </w:r>
      <w:r w:rsidR="00C53B7E" w:rsidRPr="00222C3E">
        <w:rPr>
          <w:highlight w:val="yellow"/>
        </w:rPr>
        <w:t>loi bancaire</w:t>
      </w:r>
      <w:r w:rsidR="00C53B7E">
        <w:t xml:space="preserve"> a été promulguée et le secteur bancaire se développe mais les capacités d’investigation en la matière restent limitées.</w:t>
      </w:r>
    </w:p>
    <w:p w14:paraId="55E90B6C" w14:textId="77777777" w:rsidR="00BC200F" w:rsidRDefault="00BC200F" w:rsidP="00117A2F"/>
    <w:p w14:paraId="0BCC8EA0" w14:textId="68681D80" w:rsidR="00F145B2" w:rsidRDefault="00DE7072" w:rsidP="00117A2F">
      <w:r>
        <w:t xml:space="preserve">Les modes et formes de corruption varient </w:t>
      </w:r>
      <w:r w:rsidR="00F145B2">
        <w:t>aussi au niveau local en fonction des secteurs, éducation ou santé par exemple. Ceci concerne en premier chef les jeunes filles et les femmes – victimes parfois des notes sexuellement transmissibles - et personnes vulnérables et gagnerait donc à être davantage traité.</w:t>
      </w:r>
      <w:r w:rsidR="0054716C">
        <w:t xml:space="preserve"> </w:t>
      </w:r>
      <w:r w:rsidR="00E11DD1">
        <w:t>Dans le secteur de l’éducation, les OCS ont débuté des initiatives prometteuses</w:t>
      </w:r>
      <w:r w:rsidR="00E30B5F">
        <w:t xml:space="preserve"> avec des structures communautaires</w:t>
      </w:r>
      <w:r w:rsidR="00E11DD1">
        <w:t>, dont la couverture est toutefois encore limitée (15 écoles sur les 1000 du pays), et qui visent à une meilleure information / système de plainte ou rapport des abus, puisque l’ignorance des parents d’élèves et des élèves est une source d’abus (certains enseignants font payer l’obtention des bulletins, alors que le système est gratuit, ou faire payer les cas de redoublement – mentionnés comme frais de bancs</w:t>
      </w:r>
      <w:r w:rsidR="002E2EF5">
        <w:t xml:space="preserve"> pupitres</w:t>
      </w:r>
      <w:r w:rsidR="00E11DD1">
        <w:t xml:space="preserve"> qui n’ont pas lieu d’être). </w:t>
      </w:r>
      <w:r w:rsidR="00B828F0">
        <w:t>En matière de santé, on mentionne les cas de ruptures de stocks systématiques et trafics de médicament.</w:t>
      </w:r>
      <w:r w:rsidR="00F145B2">
        <w:t xml:space="preserve"> </w:t>
      </w:r>
    </w:p>
    <w:p w14:paraId="7D40AD95" w14:textId="77777777" w:rsidR="00BC200F" w:rsidRDefault="00BC200F" w:rsidP="00117A2F"/>
    <w:p w14:paraId="3F66540E" w14:textId="740F8820" w:rsidR="00D22F5C" w:rsidRDefault="00F145B2" w:rsidP="00117A2F">
      <w:r>
        <w:t>Les travaux réalisés à ce sujet dans les pays voisins ou au contexte similaire au niveau de la société civile ou de l’allocation et utilisation du budget de l’Etat – avec un rôle des parlementaires - gagneraient ainsi à être pris en compte (RDC par exemple, où des enseignants ont pu prouver les ressources et contribuer à mieux les identifier / les structurer</w:t>
      </w:r>
      <w:r w:rsidR="00C53B7E">
        <w:t xml:space="preserve"> dans le secteur de l’éducation avec à la clé une hausse du budget de l’Etat alloué au secteur)</w:t>
      </w:r>
      <w:r>
        <w:t xml:space="preserve">. </w:t>
      </w:r>
      <w:r w:rsidR="00B61E72">
        <w:t xml:space="preserve">Par ailleurs, l’application de normes internationales spécifiques, par exemple </w:t>
      </w:r>
      <w:r w:rsidR="00BD62C4">
        <w:t xml:space="preserve">le </w:t>
      </w:r>
      <w:r w:rsidR="00B61E72">
        <w:t>code de l’OMC</w:t>
      </w:r>
      <w:r w:rsidR="00D22F5C">
        <w:t>, ou l</w:t>
      </w:r>
      <w:r w:rsidR="00446E6E">
        <w:t>es standards du secteur minier,</w:t>
      </w:r>
      <w:r w:rsidR="00B61E72">
        <w:t xml:space="preserve"> sont aussi des références qui pourraient </w:t>
      </w:r>
      <w:r w:rsidR="00973BE2">
        <w:t>être renforcé pour certains types de corruption.</w:t>
      </w:r>
      <w:r w:rsidR="003B4C1F">
        <w:t xml:space="preserve"> </w:t>
      </w:r>
      <w:r w:rsidR="00D22F5C">
        <w:t xml:space="preserve">Les initiatives spécifiques qui contribuent à la structuration des secteurs, comme </w:t>
      </w:r>
      <w:r w:rsidR="00C92C17">
        <w:t>l’Initiative de Transparence de l’Industrie Extractive (</w:t>
      </w:r>
      <w:r w:rsidR="00D22F5C">
        <w:t>ITIE</w:t>
      </w:r>
      <w:r w:rsidR="00C92C17">
        <w:t>)</w:t>
      </w:r>
      <w:r w:rsidR="00D22F5C">
        <w:t xml:space="preserve"> pourraient aussi être prises en compte. </w:t>
      </w:r>
    </w:p>
    <w:p w14:paraId="124721EC" w14:textId="77777777" w:rsidR="00C53B7E" w:rsidRDefault="00C53B7E" w:rsidP="00117A2F"/>
    <w:p w14:paraId="7EC07E3F" w14:textId="70AB6AC8" w:rsidR="00CB27B5" w:rsidRDefault="00CB27B5" w:rsidP="00117A2F"/>
    <w:p w14:paraId="7B2C6979" w14:textId="6CC0DBD8" w:rsidR="00912CD4" w:rsidRDefault="00912CD4" w:rsidP="00912CD4">
      <w:pPr>
        <w:pStyle w:val="Titre3"/>
      </w:pPr>
      <w:bookmarkStart w:id="20" w:name="_Toc525626842"/>
      <w:r>
        <w:t>Logique d’intervention</w:t>
      </w:r>
      <w:bookmarkEnd w:id="20"/>
    </w:p>
    <w:p w14:paraId="68CC58EB" w14:textId="77777777" w:rsidR="00912CD4" w:rsidRDefault="00912CD4" w:rsidP="00117A2F"/>
    <w:p w14:paraId="50EF9457" w14:textId="776E3356" w:rsidR="00BA46E7" w:rsidRDefault="00131C1A" w:rsidP="000B0296">
      <w:pPr>
        <w:tabs>
          <w:tab w:val="left" w:pos="2031"/>
        </w:tabs>
      </w:pPr>
      <w:r>
        <w:t xml:space="preserve">La logique d’intervention du projet était aussi pertinente dans le contexte d’élaboration du projet en 2013, </w:t>
      </w:r>
      <w:proofErr w:type="gramStart"/>
      <w:r>
        <w:t>suite à</w:t>
      </w:r>
      <w:proofErr w:type="gramEnd"/>
      <w:r>
        <w:t xml:space="preserve"> la prise d’engagement du gouvernement au niveau international et le renforcement du cadre institutionnel sur la question. </w:t>
      </w:r>
      <w:r w:rsidR="00BA46E7">
        <w:t xml:space="preserve">Notamment, </w:t>
      </w:r>
      <w:r w:rsidR="000B0296">
        <w:t xml:space="preserve">le projet visait des résultats à plusieurs niveaux, essentiellement organisationnels et opérationnels, </w:t>
      </w:r>
      <w:proofErr w:type="gramStart"/>
      <w:r w:rsidR="000B0296">
        <w:t>suite aux</w:t>
      </w:r>
      <w:proofErr w:type="gramEnd"/>
      <w:r w:rsidR="000B0296">
        <w:t xml:space="preserve"> progrès sur le plan institutionnel et une approche</w:t>
      </w:r>
      <w:r w:rsidR="00BA46E7" w:rsidRPr="00237304">
        <w:t xml:space="preserve"> intégrée, </w:t>
      </w:r>
      <w:r w:rsidR="000B0296">
        <w:t xml:space="preserve">avec un </w:t>
      </w:r>
      <w:r w:rsidR="00BA46E7" w:rsidRPr="00237304">
        <w:t>soutien aux différentes institutions de contrôle</w:t>
      </w:r>
      <w:r w:rsidR="000B0296">
        <w:t xml:space="preserve"> de façon à créer une dynamique d’ensemble qui ne favorise pas spécifiquement une institution par rapport à une autre, ce qui serait susceptible de créer des blocages à un niveau de la chaîne pénale.</w:t>
      </w:r>
    </w:p>
    <w:p w14:paraId="0227978C" w14:textId="77777777" w:rsidR="00912CD4" w:rsidRDefault="00912CD4" w:rsidP="00117A2F"/>
    <w:p w14:paraId="7FC1BC04" w14:textId="2CD01135" w:rsidR="00131C1A" w:rsidRDefault="006B7749" w:rsidP="00117A2F">
      <w:r>
        <w:t>Le projet concerne l’a</w:t>
      </w:r>
      <w:r w:rsidRPr="00237304">
        <w:t>ppui à des dynamiques datant de 2011</w:t>
      </w:r>
      <w:r>
        <w:t xml:space="preserve">, avec des actions qui visaient à poursuivre une stratégie qui s’échelonnait de 2011 à 2015. Il existe donc un certain décalage </w:t>
      </w:r>
      <w:r>
        <w:lastRenderedPageBreak/>
        <w:t>temporel entre la stratégie et le projet</w:t>
      </w:r>
      <w:r w:rsidRPr="00237304">
        <w:t xml:space="preserve">. </w:t>
      </w:r>
      <w:r>
        <w:t>La s</w:t>
      </w:r>
      <w:r w:rsidRPr="00237304">
        <w:t>tratégie</w:t>
      </w:r>
      <w:r>
        <w:t xml:space="preserve"> est</w:t>
      </w:r>
      <w:r w:rsidRPr="00237304">
        <w:t xml:space="preserve"> </w:t>
      </w:r>
      <w:r>
        <w:t xml:space="preserve">par ailleurs </w:t>
      </w:r>
      <w:r w:rsidRPr="00237304">
        <w:t xml:space="preserve">très vaste mais ciblage essentiellement des institutions de contrôle. </w:t>
      </w:r>
    </w:p>
    <w:p w14:paraId="3861FD02" w14:textId="7A7A597D" w:rsidR="00131C1A" w:rsidRDefault="00131C1A" w:rsidP="00117A2F">
      <w:r>
        <w:t xml:space="preserve">Le ciblage d’institutions de contrôle avec une existence relativement limitée permettait aussi de soutenir les dynamiques enclenchées. </w:t>
      </w:r>
      <w:r w:rsidR="009712E0">
        <w:t>L’appui a été dispensé de façon général</w:t>
      </w:r>
      <w:r w:rsidR="006B7749">
        <w:t>e. Il n’y a pas eu d’approches au niveau régional ou international, qui permettrait de créer des synergies et potentiellement effets d’entraînement, notamment au regard des cadres normatifs qui existent au niveau supra-national et permettraient d’approcher la question de la grande corruption.</w:t>
      </w:r>
    </w:p>
    <w:p w14:paraId="12110C03" w14:textId="77777777" w:rsidR="006B7749" w:rsidRDefault="006B7749" w:rsidP="00117A2F"/>
    <w:p w14:paraId="58EF2322" w14:textId="72AC3102" w:rsidR="00131C1A" w:rsidRDefault="009712E0" w:rsidP="00117A2F">
      <w:r>
        <w:t xml:space="preserve">L’identification des </w:t>
      </w:r>
      <w:r w:rsidR="008A237B">
        <w:t>acteurs potentiellement leviers de changement au sein des différentes institutions, y compris celles qui n’ont pas été ciblées, n’est pas apparu</w:t>
      </w:r>
      <w:r w:rsidR="00BC29B3">
        <w:t>e</w:t>
      </w:r>
      <w:r w:rsidR="008A237B">
        <w:t xml:space="preserve"> lors de l’évaluation. </w:t>
      </w:r>
      <w:r w:rsidR="00280DCA">
        <w:t xml:space="preserve">Cela permettrait </w:t>
      </w:r>
      <w:r w:rsidR="008A237B">
        <w:t xml:space="preserve">de renforcer aussi une gestion sur les résultats et l’appui aux structures et bénéficiaires prouvant </w:t>
      </w:r>
      <w:r w:rsidR="00FC6F09">
        <w:t>la bonne utilisation des capacités.</w:t>
      </w:r>
    </w:p>
    <w:p w14:paraId="7E6361F4" w14:textId="330692C0" w:rsidR="008A237B" w:rsidRDefault="008A237B" w:rsidP="00117A2F">
      <w:r>
        <w:t xml:space="preserve">Les modes de redevabilité des structures étatiques au PNUD semblent ainsi avoir été relativement peu pris en compte et intégrés dans la programmation, avec très peu d’analyse et de suivi des résultats des appuis dispensés, alors que ceux-ci existent en partie. </w:t>
      </w:r>
    </w:p>
    <w:p w14:paraId="414C01A2" w14:textId="291C0A2A" w:rsidR="006B7749" w:rsidRDefault="006B7749" w:rsidP="00117A2F">
      <w:r>
        <w:t>Il reste également de nombreux besoins en terme</w:t>
      </w:r>
      <w:r w:rsidR="00152477">
        <w:t>s</w:t>
      </w:r>
      <w:r>
        <w:t xml:space="preserve"> d’information de base et des cadres de redevabilité au niveau international ou national.</w:t>
      </w:r>
    </w:p>
    <w:p w14:paraId="1B2996E4" w14:textId="258E75EE" w:rsidR="00131C1A" w:rsidRDefault="00131C1A" w:rsidP="00117A2F"/>
    <w:p w14:paraId="753759E7" w14:textId="3137227A" w:rsidR="00D64EF0" w:rsidRDefault="00C53B7E" w:rsidP="00D64EF0">
      <w:r w:rsidRPr="00F92265">
        <w:rPr>
          <w:noProof/>
        </w:rPr>
        <w:drawing>
          <wp:anchor distT="0" distB="0" distL="114300" distR="114300" simplePos="0" relativeHeight="251669504" behindDoc="1" locked="0" layoutInCell="1" allowOverlap="1" wp14:anchorId="79DDED52" wp14:editId="655C9BC0">
            <wp:simplePos x="0" y="0"/>
            <wp:positionH relativeFrom="column">
              <wp:posOffset>2808605</wp:posOffset>
            </wp:positionH>
            <wp:positionV relativeFrom="paragraph">
              <wp:posOffset>523603</wp:posOffset>
            </wp:positionV>
            <wp:extent cx="3031670" cy="1706517"/>
            <wp:effectExtent l="0" t="0" r="0" b="8255"/>
            <wp:wrapTight wrapText="bothSides">
              <wp:wrapPolygon edited="0">
                <wp:start x="0" y="0"/>
                <wp:lineTo x="0" y="21463"/>
                <wp:lineTo x="21446" y="21463"/>
                <wp:lineTo x="2144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1670" cy="1706517"/>
                    </a:xfrm>
                    <a:prstGeom prst="rect">
                      <a:avLst/>
                    </a:prstGeom>
                    <a:noFill/>
                    <a:ln>
                      <a:noFill/>
                    </a:ln>
                  </pic:spPr>
                </pic:pic>
              </a:graphicData>
            </a:graphic>
          </wp:anchor>
        </w:drawing>
      </w:r>
      <w:r w:rsidR="00131C1A">
        <w:t xml:space="preserve">Au niveau politique, </w:t>
      </w:r>
      <w:r w:rsidR="00B35C96">
        <w:t>l’engagement du gouvernement s’était matérialisé par la déclaration</w:t>
      </w:r>
      <w:r w:rsidR="00E61180">
        <w:t xml:space="preserve"> du Président Nkurunziza</w:t>
      </w:r>
      <w:r w:rsidR="00B35C96">
        <w:t xml:space="preserve"> de</w:t>
      </w:r>
      <w:proofErr w:type="gramStart"/>
      <w:r w:rsidR="00B35C96">
        <w:t xml:space="preserve"> </w:t>
      </w:r>
      <w:r w:rsidR="00B35C96" w:rsidRPr="00E61180">
        <w:t>«</w:t>
      </w:r>
      <w:r w:rsidR="00E61180" w:rsidRPr="00E61180">
        <w:t>tolérance</w:t>
      </w:r>
      <w:proofErr w:type="gramEnd"/>
      <w:r w:rsidR="00E61180" w:rsidRPr="00E61180">
        <w:t xml:space="preserve"> zéro» en matière de corruption</w:t>
      </w:r>
      <w:r w:rsidR="00E61180">
        <w:t>,</w:t>
      </w:r>
      <w:r w:rsidR="00E61180" w:rsidRPr="00E61180">
        <w:t xml:space="preserve"> le 26 août 2010</w:t>
      </w:r>
      <w:r w:rsidR="00B35C96" w:rsidRPr="00E61180">
        <w:t>.</w:t>
      </w:r>
      <w:r w:rsidR="00B35C96">
        <w:t xml:space="preserve"> Toutefois, les signes à ce niveau restent depuis limités</w:t>
      </w:r>
      <w:r w:rsidR="0045413B">
        <w:t>, alors que cet aspect de volonté politique reste essentiel au succès de telles initiatives</w:t>
      </w:r>
      <w:r w:rsidR="00B35C96">
        <w:t>.</w:t>
      </w:r>
      <w:r w:rsidR="0020545A">
        <w:t xml:space="preserve"> La participation des Hautes Autorités et du gouvernement à la journée du 9 décembre</w:t>
      </w:r>
      <w:r w:rsidR="00152477">
        <w:t>, journée internationale dédiées à la lutte anti-corruption,</w:t>
      </w:r>
      <w:r w:rsidR="0020545A">
        <w:t xml:space="preserve"> est par exemple limitée.</w:t>
      </w:r>
      <w:r w:rsidR="0045413B">
        <w:t xml:space="preserve"> Transparency International identifie ainsi le leadership politique comme un facteur clé de succès, qui permet même à des pays d’Afrique sub-saharienne de dépasser des pays européens dans le classement de l’index de perception de la corruption</w:t>
      </w:r>
      <w:r w:rsidR="0045413B">
        <w:rPr>
          <w:rStyle w:val="Appelnotedebasdep"/>
        </w:rPr>
        <w:footnoteReference w:id="4"/>
      </w:r>
      <w:r w:rsidR="0045413B">
        <w:t xml:space="preserve">. </w:t>
      </w:r>
      <w:r w:rsidR="00B90F25">
        <w:t>La Constitution souligne le rôle de dans le respect des engagements internationaux.</w:t>
      </w:r>
    </w:p>
    <w:p w14:paraId="6BA92411" w14:textId="77777777" w:rsidR="00B90F25" w:rsidRDefault="00B90F25" w:rsidP="00D64EF0"/>
    <w:p w14:paraId="2DAE1FFA" w14:textId="00F4B27E" w:rsidR="00131C1A" w:rsidRDefault="00D64EF0" w:rsidP="00117A2F">
      <w:r>
        <w:t>Il existe un réel i</w:t>
      </w:r>
      <w:r w:rsidRPr="00237304">
        <w:t xml:space="preserve">ntérêt pour le recouvrement par le Trésor Public </w:t>
      </w:r>
      <w:r>
        <w:t>compte tenu de la</w:t>
      </w:r>
      <w:r w:rsidRPr="00237304">
        <w:t xml:space="preserve"> baisse des financements des autres bailleurs.</w:t>
      </w:r>
      <w:r>
        <w:t xml:space="preserve"> Les actions des structures de contrôle permettent en effet de collecter des sommes qui auraient dû revenir à l’Etat. Les enjeux restent toutefois dans la capacité des structures de contrôle à cibler les acteurs les plus significatifs à ce sujet, de façon neutre.</w:t>
      </w:r>
    </w:p>
    <w:p w14:paraId="7EA49A8C" w14:textId="0BC9EDD1" w:rsidR="00131C1A" w:rsidRDefault="00131C1A" w:rsidP="00117A2F"/>
    <w:p w14:paraId="2C4D354D" w14:textId="0F5C4D48" w:rsidR="00F11225" w:rsidRPr="00230D75" w:rsidRDefault="00131C1A" w:rsidP="00117A2F">
      <w:pPr>
        <w:rPr>
          <w:highlight w:val="yellow"/>
        </w:rPr>
      </w:pPr>
      <w:r>
        <w:t>Avec la crise politique d</w:t>
      </w:r>
      <w:r w:rsidR="00D24043">
        <w:t>e</w:t>
      </w:r>
      <w:r>
        <w:t xml:space="preserve"> 2015</w:t>
      </w:r>
      <w:r w:rsidR="00D24043">
        <w:t>, le projet n’a pas été réellement révisé et l’appui aux institutions étatiques a continué, dans la mesure où il s’agissait d’un appui technique visant à la professionnalisation des services.</w:t>
      </w:r>
      <w:r w:rsidR="00B35C96">
        <w:t xml:space="preserve"> Le projet a toutefois été amputé de sa composante société civile. Un certain nombre d’organisations impliquées sur la question ont aussi été dissoutes par le gouvernement</w:t>
      </w:r>
      <w:r w:rsidR="00BC29B3">
        <w:t>, ce qui limite</w:t>
      </w:r>
      <w:r w:rsidR="0045413B">
        <w:t xml:space="preserve"> leur possibilité d’intégration </w:t>
      </w:r>
      <w:r w:rsidR="0045413B" w:rsidRPr="00230D75">
        <w:t>dans le projet</w:t>
      </w:r>
      <w:r w:rsidR="003B4C1F">
        <w:t>.</w:t>
      </w:r>
      <w:r w:rsidR="00BC29B3" w:rsidRPr="00230D75">
        <w:t xml:space="preserve"> </w:t>
      </w:r>
    </w:p>
    <w:p w14:paraId="54C06201" w14:textId="24018FE6" w:rsidR="00043A26" w:rsidRDefault="006B7749" w:rsidP="00117A2F">
      <w:r w:rsidRPr="00230D75">
        <w:t>Les universités ou le secteur privé, ainsi que les organes</w:t>
      </w:r>
      <w:r>
        <w:t xml:space="preserve"> législatifs</w:t>
      </w:r>
      <w:r w:rsidR="009139F0">
        <w:t>, n’ont pas été impliqués non plus, de même que les partis politiques, qui ont parfois en fait un manque de connaissance de base sur la définition du phénomène de corruption comme une infraction</w:t>
      </w:r>
      <w:r>
        <w:t>.</w:t>
      </w:r>
      <w:r w:rsidR="009139F0">
        <w:t xml:space="preserve"> Le projet précédent</w:t>
      </w:r>
      <w:r>
        <w:t xml:space="preserve"> </w:t>
      </w:r>
      <w:r w:rsidR="001A45F5">
        <w:t xml:space="preserve">incluait un appui </w:t>
      </w:r>
      <w:r w:rsidR="00F824C0">
        <w:t xml:space="preserve">à la Commission Affaires Politiques et Gouvernance, mais a dû être interrompu en raison de ses implications politiques. </w:t>
      </w:r>
    </w:p>
    <w:p w14:paraId="19D5D564" w14:textId="3B68293B" w:rsidR="0031740F" w:rsidRDefault="0031740F" w:rsidP="00117A2F"/>
    <w:p w14:paraId="014EA1BB" w14:textId="350C83F1" w:rsidR="0031740F" w:rsidRDefault="0031740F" w:rsidP="00117A2F">
      <w:r>
        <w:t xml:space="preserve">Plusieurs </w:t>
      </w:r>
      <w:r w:rsidR="00280DCA">
        <w:t>limites avaient été identifié</w:t>
      </w:r>
      <w:r w:rsidR="003B4C1F">
        <w:t>e</w:t>
      </w:r>
      <w:r w:rsidR="00280DCA">
        <w:t>s lors d’ateliers de réflexions tout à fait pertinents sur les contraintes</w:t>
      </w:r>
      <w:r w:rsidR="0009288D">
        <w:t xml:space="preserve"> du</w:t>
      </w:r>
      <w:r w:rsidR="003B4C1F">
        <w:t xml:space="preserve"> cadre institutionnel et légal</w:t>
      </w:r>
      <w:r w:rsidR="00280DCA">
        <w:t xml:space="preserve"> </w:t>
      </w:r>
      <w:r w:rsidR="003B4C1F">
        <w:t>de</w:t>
      </w:r>
      <w:r w:rsidR="00280DCA">
        <w:t xml:space="preserve"> la lutte contre la corruption dans le pays</w:t>
      </w:r>
      <w:r w:rsidR="00FE1F8E">
        <w:t>, notamment lors d’un atelier gouvernemental en automne 2014</w:t>
      </w:r>
      <w:r w:rsidR="00280DCA">
        <w:t>. Toutefois, ces éléments n’ont pas fait l’objet de suivi et d’intégration dans la programmation</w:t>
      </w:r>
      <w:r w:rsidR="0045413B">
        <w:t xml:space="preserve"> et continuent de contraindre les interventions en</w:t>
      </w:r>
      <w:r w:rsidR="00FE1F8E">
        <w:t xml:space="preserve"> la</w:t>
      </w:r>
      <w:r w:rsidR="0045413B">
        <w:t xml:space="preserve"> matière.</w:t>
      </w:r>
      <w:r w:rsidR="003B4C1F">
        <w:t xml:space="preserve"> Le texte révisé de loi sur la corruption est sur la table du Parlement.</w:t>
      </w:r>
    </w:p>
    <w:p w14:paraId="53572173" w14:textId="520EAC51" w:rsidR="0031740F" w:rsidRDefault="0031740F" w:rsidP="00117A2F"/>
    <w:p w14:paraId="17F57572" w14:textId="6110C463" w:rsidR="006B7749" w:rsidRDefault="006B7749" w:rsidP="00117A2F">
      <w:r>
        <w:t xml:space="preserve">La logique d’intervention d’appuis aux institutions de contrôle se </w:t>
      </w:r>
      <w:r w:rsidR="006B0E38">
        <w:t xml:space="preserve">heurte à certains dilemmes spécifiques aux pays en développement, notamment le manque de séparation des pouvoirs exécutifs, législatifs et judiciaires. Ainsi les parlementaires sont chargés d’appuyer leurs partis politiques, puisqu’un </w:t>
      </w:r>
      <w:r w:rsidR="006B0E38" w:rsidRPr="006B0E38">
        <w:rPr>
          <w:highlight w:val="yellow"/>
        </w:rPr>
        <w:t>décret récent</w:t>
      </w:r>
      <w:r w:rsidR="00FE1F8E">
        <w:rPr>
          <w:highlight w:val="yellow"/>
        </w:rPr>
        <w:t xml:space="preserve"> </w:t>
      </w:r>
      <w:r w:rsidR="006B0E38" w:rsidRPr="006B0E38">
        <w:rPr>
          <w:highlight w:val="yellow"/>
        </w:rPr>
        <w:t>indique</w:t>
      </w:r>
      <w:r w:rsidR="006B0E38">
        <w:t xml:space="preserve"> que</w:t>
      </w:r>
      <w:r w:rsidR="00006A1D">
        <w:t xml:space="preserve"> si un parlementaire est exclu de son parti (potentiellement s’il ne s’aligne pas sur les positions du parti), il perd automatiquement son siège de parlementaire</w:t>
      </w:r>
      <w:r w:rsidR="006B0E38">
        <w:t>. De ce fait, les paramètres de base sont biaisés pour un exercice et utilisation pertinente des capacités dont les structures étatiques sont dotées. La logique est de dispenser des appuis pour contribuer aux progrès en la matière, mais ces déséquilibres structurels ne sont pas traités et peuvent s’aggraver aussi avec le renforcement de l’Etat.</w:t>
      </w:r>
    </w:p>
    <w:p w14:paraId="35CCDED7" w14:textId="76DF0F23" w:rsidR="006B7749" w:rsidRDefault="006B7749" w:rsidP="00117A2F"/>
    <w:p w14:paraId="6654B955" w14:textId="0CDE8F1F" w:rsidR="009139F0" w:rsidRDefault="009139F0" w:rsidP="009139F0">
      <w:pPr>
        <w:pStyle w:val="Titre3"/>
      </w:pPr>
      <w:bookmarkStart w:id="21" w:name="_Toc525626843"/>
      <w:r>
        <w:t>Mandat du PNUD</w:t>
      </w:r>
      <w:bookmarkEnd w:id="21"/>
    </w:p>
    <w:p w14:paraId="22779D22" w14:textId="61D3E54F" w:rsidR="00D328A9" w:rsidRDefault="00D328A9" w:rsidP="00117A2F"/>
    <w:p w14:paraId="1910FE3D" w14:textId="479F593F" w:rsidR="00D328A9" w:rsidRDefault="00D328A9" w:rsidP="00117A2F">
      <w:r>
        <w:t>Au niveau du positionnement du PNUD sur le sujet, le projet est aligné avec le mandat du PNUD d’appui aux institutions</w:t>
      </w:r>
      <w:r w:rsidR="00F92819">
        <w:t>, en particulier</w:t>
      </w:r>
      <w:r>
        <w:t xml:space="preserve"> en matière de gouvernance. Le PNUD est l’un des rares bailleurs – et le plus significatif </w:t>
      </w:r>
      <w:r w:rsidR="002D3B50">
        <w:t>par</w:t>
      </w:r>
      <w:r>
        <w:t xml:space="preserve"> l’étendu de l’appui - qui continue à appuyer les institutions et à ce titre l’organisation bénéficie </w:t>
      </w:r>
      <w:r w:rsidR="00F92819">
        <w:t xml:space="preserve">d’un rôle unique. L’appui se fonde aussi sur une relation de long terme, et la continuité du partenariat malgré la crise politique est particulièrement appréciée par les acteurs locaux et contribue à la légitimité de l’organisation dans le pays. </w:t>
      </w:r>
    </w:p>
    <w:p w14:paraId="6DE6F059" w14:textId="4F9F70F4" w:rsidR="00D328A9" w:rsidRDefault="00D328A9" w:rsidP="00117A2F"/>
    <w:p w14:paraId="3A161AFD" w14:textId="55845027" w:rsidR="00FC6F09" w:rsidRDefault="00FC6F09" w:rsidP="00117A2F"/>
    <w:p w14:paraId="5EC208E6" w14:textId="2D5BB992" w:rsidR="005F7A48" w:rsidRDefault="005F7A48" w:rsidP="00CE24D9">
      <w:pPr>
        <w:pStyle w:val="Titre3"/>
      </w:pPr>
      <w:bookmarkStart w:id="22" w:name="_Toc525626844"/>
      <w:r>
        <w:t>Pertinence de la méthode de mise en œuvre &amp; choix des partenaires institutionnels</w:t>
      </w:r>
      <w:bookmarkEnd w:id="22"/>
    </w:p>
    <w:p w14:paraId="12C66BD7" w14:textId="54B62AD4" w:rsidR="005F7A48" w:rsidRDefault="005F7A48" w:rsidP="005F7A48"/>
    <w:p w14:paraId="6B95F4DC" w14:textId="32705FB1" w:rsidR="005F7A48" w:rsidRDefault="005F7A48" w:rsidP="005F7A48">
      <w:r>
        <w:t xml:space="preserve">Un système de points focaux au sein de chaque institution garantissait la représentation de toutes les structures dans l’ensemble du projet, même si cela ne concernait pas les partenaires occasionnels comme le Ministère de la Justice </w:t>
      </w:r>
      <w:r w:rsidR="00DD0DA9" w:rsidRPr="00E11B21">
        <w:t>ou l</w:t>
      </w:r>
      <w:r w:rsidR="00F028D9" w:rsidRPr="00E11B21">
        <w:t>’OBR</w:t>
      </w:r>
      <w:r w:rsidRPr="00E11B21">
        <w:t>,</w:t>
      </w:r>
      <w:r>
        <w:t xml:space="preserve"> aux niveaux politiques notamment, ce qui aurait</w:t>
      </w:r>
      <w:r w:rsidR="00E11B21">
        <w:t xml:space="preserve"> pu</w:t>
      </w:r>
      <w:r>
        <w:t xml:space="preserve"> favoris</w:t>
      </w:r>
      <w:r w:rsidR="00E11B21">
        <w:t>er</w:t>
      </w:r>
      <w:r w:rsidR="00F028D9">
        <w:t xml:space="preserve"> des dynamiques pluri-acteurs </w:t>
      </w:r>
      <w:r w:rsidR="00E11B21">
        <w:t>y compris au plus haut niveau.</w:t>
      </w:r>
      <w:r>
        <w:t xml:space="preserve"> </w:t>
      </w:r>
    </w:p>
    <w:p w14:paraId="5B393718" w14:textId="77777777" w:rsidR="005F7A48" w:rsidRDefault="005F7A48" w:rsidP="005F7A48"/>
    <w:p w14:paraId="035938B6" w14:textId="1146A291" w:rsidR="005F7A48" w:rsidRPr="001E4DB6" w:rsidRDefault="005F7A48" w:rsidP="005F7A48">
      <w:r>
        <w:t xml:space="preserve">La planification </w:t>
      </w:r>
      <w:r w:rsidR="0018070B">
        <w:t>était effectuée sur base des plans de travail</w:t>
      </w:r>
      <w:r w:rsidR="00E87429">
        <w:t xml:space="preserve"> proposés par chaque institution</w:t>
      </w:r>
      <w:r w:rsidR="00CE221F">
        <w:t xml:space="preserve">, ce qui garantit </w:t>
      </w:r>
      <w:r w:rsidR="007A0FCA">
        <w:t>une certaine appropriation et adéquation aux besoins analysés par chaque institution. « Le PNUD donne sa bénédiction mais les activités viennent des institutions » indiquent un partenaire étatique majeur.</w:t>
      </w:r>
      <w:r w:rsidR="00E87429">
        <w:t xml:space="preserve"> </w:t>
      </w:r>
      <w:r w:rsidR="007A0FCA">
        <w:t>Toutefois,</w:t>
      </w:r>
      <w:r w:rsidR="00E87429">
        <w:t xml:space="preserve"> </w:t>
      </w:r>
      <w:r w:rsidR="007A0FCA">
        <w:t xml:space="preserve">les plans de travail </w:t>
      </w:r>
      <w:r w:rsidR="00E87429">
        <w:t>ne pouvaient être financés dans leu</w:t>
      </w:r>
      <w:r w:rsidR="002A0537">
        <w:t>r</w:t>
      </w:r>
      <w:r w:rsidR="00E87429">
        <w:t xml:space="preserve"> totalité</w:t>
      </w:r>
      <w:r w:rsidR="0018070B">
        <w:t>.</w:t>
      </w:r>
      <w:r w:rsidR="00E87429">
        <w:t xml:space="preserve"> Les </w:t>
      </w:r>
      <w:r w:rsidR="00E87429" w:rsidRPr="004E6461">
        <w:t>institutions indiquent cependant ne pas avoir été impliquées dans la priorisation et sélection</w:t>
      </w:r>
      <w:r w:rsidR="0018070B" w:rsidRPr="004E6461">
        <w:t xml:space="preserve"> </w:t>
      </w:r>
      <w:r w:rsidR="002A0537" w:rsidRPr="004E6461">
        <w:t>des activités, et avoir parfois peu d’informations sur les raisons pour lesquelles certaines activités n’étaient pas choisies.</w:t>
      </w:r>
    </w:p>
    <w:p w14:paraId="26FACDF6" w14:textId="17CC6EDE" w:rsidR="004E6461" w:rsidRPr="004A64DA" w:rsidRDefault="00DD0DA9" w:rsidP="004E6461">
      <w:pPr>
        <w:pStyle w:val="Commentaire"/>
        <w:rPr>
          <w:sz w:val="21"/>
          <w:szCs w:val="21"/>
        </w:rPr>
      </w:pPr>
      <w:r w:rsidRPr="004A64DA">
        <w:rPr>
          <w:sz w:val="21"/>
          <w:szCs w:val="21"/>
        </w:rPr>
        <w:t>L</w:t>
      </w:r>
      <w:r w:rsidR="00B878D7" w:rsidRPr="004A64DA">
        <w:rPr>
          <w:sz w:val="21"/>
          <w:szCs w:val="21"/>
        </w:rPr>
        <w:t>a répartition</w:t>
      </w:r>
      <w:r w:rsidRPr="004A64DA">
        <w:rPr>
          <w:sz w:val="21"/>
          <w:szCs w:val="21"/>
        </w:rPr>
        <w:t xml:space="preserve"> des ressources était fait</w:t>
      </w:r>
      <w:r w:rsidR="000C5C5E" w:rsidRPr="004A64DA">
        <w:rPr>
          <w:sz w:val="21"/>
          <w:szCs w:val="21"/>
        </w:rPr>
        <w:t>e</w:t>
      </w:r>
      <w:r w:rsidRPr="004A64DA">
        <w:rPr>
          <w:sz w:val="21"/>
          <w:szCs w:val="21"/>
        </w:rPr>
        <w:t xml:space="preserve"> entre les différentes institutions au niveau de la gestion du projet et du Ministère de tutelle, dans l’idée que chaque institution partenaire bénéficie du financement</w:t>
      </w:r>
      <w:r w:rsidR="003B4C1F" w:rsidRPr="004A64DA">
        <w:rPr>
          <w:sz w:val="21"/>
          <w:szCs w:val="21"/>
        </w:rPr>
        <w:t xml:space="preserve"> sur base de la contribution des activités proposées à l’atteinte des résultats.</w:t>
      </w:r>
      <w:r w:rsidRPr="004A64DA">
        <w:rPr>
          <w:sz w:val="21"/>
          <w:szCs w:val="21"/>
        </w:rPr>
        <w:t xml:space="preserve"> Les activités les plus couteuses étaient ainsi rarement choisies car elles auraient </w:t>
      </w:r>
      <w:r w:rsidR="008B0156" w:rsidRPr="004A64DA">
        <w:rPr>
          <w:sz w:val="21"/>
          <w:szCs w:val="21"/>
        </w:rPr>
        <w:t>pri</w:t>
      </w:r>
      <w:r w:rsidR="003B4C1F" w:rsidRPr="004A64DA">
        <w:rPr>
          <w:sz w:val="21"/>
          <w:szCs w:val="21"/>
        </w:rPr>
        <w:t>s</w:t>
      </w:r>
      <w:r w:rsidR="008B0156" w:rsidRPr="004A64DA">
        <w:rPr>
          <w:sz w:val="21"/>
          <w:szCs w:val="21"/>
        </w:rPr>
        <w:t xml:space="preserve"> </w:t>
      </w:r>
      <w:r w:rsidRPr="004A64DA">
        <w:rPr>
          <w:sz w:val="21"/>
          <w:szCs w:val="21"/>
        </w:rPr>
        <w:t>tout le budget.</w:t>
      </w:r>
      <w:r w:rsidR="004E6461" w:rsidRPr="004A64DA">
        <w:rPr>
          <w:sz w:val="21"/>
          <w:szCs w:val="21"/>
        </w:rPr>
        <w:t xml:space="preserve"> Les formations individuelles et à l’extérieur du pays n’étaient pas privilégiées. </w:t>
      </w:r>
    </w:p>
    <w:p w14:paraId="2C12E7C7" w14:textId="1B946531" w:rsidR="005F7A48" w:rsidRDefault="005F7A48" w:rsidP="005F7A48"/>
    <w:p w14:paraId="01144B03" w14:textId="028E633F" w:rsidR="005F7A48" w:rsidRDefault="005F7A48" w:rsidP="005F7A48"/>
    <w:p w14:paraId="404CEE4B" w14:textId="77777777" w:rsidR="005F7A48" w:rsidRPr="005F7A48" w:rsidRDefault="005F7A48" w:rsidP="005F7A48"/>
    <w:p w14:paraId="5003C0BC" w14:textId="7689F4A1" w:rsidR="00CE24D9" w:rsidRDefault="00CE24D9" w:rsidP="00CE24D9">
      <w:pPr>
        <w:pStyle w:val="Titre3"/>
      </w:pPr>
      <w:bookmarkStart w:id="23" w:name="_Toc525626845"/>
      <w:r>
        <w:t>Aspect genre</w:t>
      </w:r>
      <w:bookmarkEnd w:id="23"/>
      <w:r>
        <w:t xml:space="preserve"> </w:t>
      </w:r>
    </w:p>
    <w:p w14:paraId="00FB702A" w14:textId="490A9927" w:rsidR="00CE24D9" w:rsidRDefault="00CE24D9" w:rsidP="00117A2F"/>
    <w:p w14:paraId="36A25937" w14:textId="4EF273DA" w:rsidR="00CE24D9" w:rsidRDefault="001D6BBD" w:rsidP="00117A2F">
      <w:r>
        <w:t>La stratégie et le document de projet ne font pas spécifiquement référence à la question du genre, que ce soit en termes</w:t>
      </w:r>
      <w:r w:rsidR="00750B90">
        <w:t xml:space="preserve"> de types de corruption concernés ou de réponse à apporter. Les niveaux de vulnérabilité respectifs à ce sujet sont peu identifiés. Dans la mesure où les femmes constituent une population vulnérable, et soumis à certains abus, notamment VBG dans le secteur de </w:t>
      </w:r>
      <w:r w:rsidR="00750B90">
        <w:lastRenderedPageBreak/>
        <w:t>l’éducation, et avec des vulnérabilités spécifiques, en matière de santé / accès aux soins notamment, il pourrait s’agir d’un vecteur intéressant pour renforcer la sensibilisation, mobilisation et conscientisation des individus.</w:t>
      </w:r>
    </w:p>
    <w:p w14:paraId="46534F7B" w14:textId="77777777" w:rsidR="000B4CF5" w:rsidRDefault="000B4CF5" w:rsidP="00117A2F"/>
    <w:p w14:paraId="59EA7305" w14:textId="426B1EAC" w:rsidR="00CE24D9" w:rsidRDefault="00750B90" w:rsidP="00117A2F">
      <w:r>
        <w:t>Au sein des différentes institutions, on peut voir une bonne intégration des femmes aux différents niveaux de responsabilité (la Ministre en charge de la Bonne Gouvernance est une femme, ainsi que la responsable de l’IGE par exemple).</w:t>
      </w:r>
    </w:p>
    <w:p w14:paraId="56838AA8" w14:textId="77777777" w:rsidR="00FC6F09" w:rsidRPr="006D391B" w:rsidRDefault="00FC6F09" w:rsidP="00117A2F"/>
    <w:p w14:paraId="256CDD0F" w14:textId="5C695972" w:rsidR="00F11225" w:rsidRPr="006D391B" w:rsidRDefault="00F11225" w:rsidP="00117A2F"/>
    <w:p w14:paraId="509951D0" w14:textId="061676E9" w:rsidR="00F11225" w:rsidRDefault="00F11225" w:rsidP="00117A2F">
      <w:pPr>
        <w:pStyle w:val="Titre2"/>
      </w:pPr>
      <w:bookmarkStart w:id="24" w:name="_Toc525626846"/>
      <w:r>
        <w:t>Efficacité</w:t>
      </w:r>
      <w:bookmarkEnd w:id="24"/>
      <w:r>
        <w:t xml:space="preserve"> </w:t>
      </w:r>
    </w:p>
    <w:p w14:paraId="26DC7E4C" w14:textId="452B71A9" w:rsidR="00F11225" w:rsidRDefault="00F11225" w:rsidP="00117A2F"/>
    <w:p w14:paraId="351A3E76"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Jusqu’à quel point les effets ont-ils été atteints ou des progrès réalisés vers leur atteinte ?</w:t>
      </w:r>
    </w:p>
    <w:p w14:paraId="4ADAF1B5"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Comment est-ce que les produits correspondants du PNUD, ont-ils affectés les effets, et dans quelle mesure n’ont-ils pas été efficaces ?</w:t>
      </w:r>
    </w:p>
    <w:p w14:paraId="4C779979"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 xml:space="preserve">Quelle a été la contribution, des partenaires et d’autres organisations, aux effets et quelle a été l’efficacité des partenariats du PNUD dans l’atteinte des effets. </w:t>
      </w:r>
    </w:p>
    <w:p w14:paraId="2347A64D"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Quels ont été les changements positifs et négatifs, prévus ou accidentels apportés par le travail du PNUD ?</w:t>
      </w:r>
    </w:p>
    <w:p w14:paraId="0EC3AEAB"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Jusqu’à quel point les effets atteints ont-il bénéficiés aux femmes et aux hommes de manière égale ?</w:t>
      </w:r>
    </w:p>
    <w:p w14:paraId="04108FAC"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 xml:space="preserve">Quelle est la performance globale du projet dans la réalisation des produits et effets attendus ? </w:t>
      </w:r>
    </w:p>
    <w:p w14:paraId="0A6459C8"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Dans quelle mesure les principaux produits et activités du projet ont été réalisés ? quels facteurs ont favorisé ou atténué, voire empêché leur réalisation ?</w:t>
      </w:r>
    </w:p>
    <w:p w14:paraId="46D50C25" w14:textId="77777777" w:rsidR="00131C1A" w:rsidRPr="00131C1A" w:rsidRDefault="00131C1A" w:rsidP="00353A8C">
      <w:pPr>
        <w:numPr>
          <w:ilvl w:val="0"/>
          <w:numId w:val="5"/>
        </w:numPr>
        <w:shd w:val="clear" w:color="auto" w:fill="FFFFFF"/>
        <w:autoSpaceDE w:val="0"/>
        <w:autoSpaceDN w:val="0"/>
        <w:adjustRightInd w:val="0"/>
        <w:spacing w:after="120"/>
        <w:ind w:left="0" w:hanging="284"/>
        <w:rPr>
          <w:rFonts w:ascii="Times New Roman" w:eastAsia="Calibri" w:hAnsi="Times New Roman"/>
          <w:i/>
        </w:rPr>
      </w:pPr>
      <w:r w:rsidRPr="00131C1A">
        <w:rPr>
          <w:rFonts w:ascii="Times New Roman" w:eastAsia="Calibri" w:hAnsi="Times New Roman"/>
          <w:i/>
        </w:rPr>
        <w:t>Les stratégies et les outils (y compris le Monitoring et l’Evaluation) utilisés étaient-ils efficaces dans la mise en œuvre du projet ?</w:t>
      </w:r>
    </w:p>
    <w:p w14:paraId="763FD402" w14:textId="77777777" w:rsidR="00131C1A" w:rsidRPr="00131C1A" w:rsidRDefault="00131C1A" w:rsidP="00353A8C">
      <w:pPr>
        <w:numPr>
          <w:ilvl w:val="0"/>
          <w:numId w:val="5"/>
        </w:numPr>
        <w:shd w:val="clear" w:color="auto" w:fill="FFFFFF"/>
        <w:spacing w:after="120"/>
        <w:ind w:left="0" w:hanging="284"/>
        <w:rPr>
          <w:rFonts w:ascii="Times New Roman" w:eastAsia="Calibri" w:hAnsi="Times New Roman"/>
          <w:i/>
        </w:rPr>
      </w:pPr>
      <w:r w:rsidRPr="00131C1A">
        <w:rPr>
          <w:rFonts w:ascii="Times New Roman" w:eastAsia="Calibri" w:hAnsi="Times New Roman"/>
          <w:i/>
        </w:rPr>
        <w:t>Des partenariats techniques et des synergies ont-ils été établis et ont-ils favorisés la réalisation des produits et l’atteinte des effets ?</w:t>
      </w:r>
    </w:p>
    <w:p w14:paraId="09B55880" w14:textId="77777777" w:rsidR="00131C1A" w:rsidRPr="00131C1A" w:rsidRDefault="00131C1A" w:rsidP="00353A8C">
      <w:pPr>
        <w:numPr>
          <w:ilvl w:val="0"/>
          <w:numId w:val="5"/>
        </w:numPr>
        <w:autoSpaceDE w:val="0"/>
        <w:autoSpaceDN w:val="0"/>
        <w:adjustRightInd w:val="0"/>
        <w:spacing w:after="120"/>
        <w:ind w:left="0" w:hanging="284"/>
        <w:rPr>
          <w:rFonts w:ascii="Times New Roman" w:eastAsia="Calibri" w:hAnsi="Times New Roman"/>
          <w:i/>
        </w:rPr>
      </w:pPr>
      <w:r w:rsidRPr="00131C1A">
        <w:rPr>
          <w:rFonts w:ascii="Times New Roman" w:eastAsia="Calibri" w:hAnsi="Times New Roman"/>
          <w:i/>
        </w:rPr>
        <w:t>Quel est le degré de réalisation des objectifs du projet à travers un bilan de toutes les activités en liaison avec les résultats attendus ?</w:t>
      </w:r>
    </w:p>
    <w:p w14:paraId="0D10DF13" w14:textId="77777777" w:rsidR="00131C1A" w:rsidRPr="00131C1A" w:rsidRDefault="00131C1A" w:rsidP="00353A8C">
      <w:pPr>
        <w:numPr>
          <w:ilvl w:val="0"/>
          <w:numId w:val="5"/>
        </w:numPr>
        <w:autoSpaceDE w:val="0"/>
        <w:autoSpaceDN w:val="0"/>
        <w:adjustRightInd w:val="0"/>
        <w:spacing w:after="120"/>
        <w:ind w:left="0" w:hanging="284"/>
        <w:rPr>
          <w:rFonts w:ascii="Times New Roman" w:eastAsia="Calibri" w:hAnsi="Times New Roman"/>
          <w:i/>
        </w:rPr>
      </w:pPr>
      <w:r w:rsidRPr="00131C1A">
        <w:rPr>
          <w:rFonts w:ascii="Times New Roman" w:eastAsia="Calibri" w:hAnsi="Times New Roman"/>
          <w:i/>
        </w:rPr>
        <w:t>Les mécanismes de pilotage et de suivi des activités mis en place ont-ils fonctionné de manière à permettre une coordination efficace ? Dans quelle mesure l’entité de mise en œuvre du projet a pu établir des partenariats solides dans la mise en œuvre des activités ?</w:t>
      </w:r>
    </w:p>
    <w:p w14:paraId="5B4A94B2" w14:textId="77777777" w:rsidR="00131C1A" w:rsidRPr="00131C1A" w:rsidRDefault="00131C1A" w:rsidP="00353A8C">
      <w:pPr>
        <w:numPr>
          <w:ilvl w:val="0"/>
          <w:numId w:val="5"/>
        </w:numPr>
        <w:autoSpaceDE w:val="0"/>
        <w:autoSpaceDN w:val="0"/>
        <w:adjustRightInd w:val="0"/>
        <w:spacing w:after="120"/>
        <w:ind w:left="0" w:hanging="284"/>
        <w:rPr>
          <w:rFonts w:ascii="Times New Roman" w:eastAsia="Calibri" w:hAnsi="Times New Roman"/>
          <w:i/>
        </w:rPr>
      </w:pPr>
      <w:r w:rsidRPr="00131C1A">
        <w:rPr>
          <w:rFonts w:ascii="Times New Roman" w:eastAsia="Calibri" w:hAnsi="Times New Roman"/>
          <w:i/>
        </w:rPr>
        <w:t>Quels sont les problèmes et contraintes rencontrés dans l’exécution du projet et comment ont-ils influé sur le résultat final ?</w:t>
      </w:r>
    </w:p>
    <w:p w14:paraId="2EB44C84" w14:textId="6ACE41DA" w:rsidR="00131C1A" w:rsidRPr="00A03159" w:rsidRDefault="00131C1A" w:rsidP="00353A8C">
      <w:pPr>
        <w:numPr>
          <w:ilvl w:val="0"/>
          <w:numId w:val="5"/>
        </w:numPr>
        <w:autoSpaceDE w:val="0"/>
        <w:autoSpaceDN w:val="0"/>
        <w:adjustRightInd w:val="0"/>
        <w:spacing w:after="120"/>
        <w:ind w:left="0" w:hanging="284"/>
        <w:rPr>
          <w:rFonts w:ascii="Times New Roman" w:eastAsia="Calibri" w:hAnsi="Times New Roman"/>
          <w:i/>
        </w:rPr>
      </w:pPr>
      <w:r w:rsidRPr="00131C1A">
        <w:rPr>
          <w:rFonts w:ascii="Times New Roman" w:eastAsia="Calibri" w:hAnsi="Times New Roman"/>
          <w:i/>
        </w:rPr>
        <w:t>Quelle a été le niveau de collaboration entre l’équipe du projet et le Ministère et Institutions nationales concernés par le projet ?</w:t>
      </w:r>
    </w:p>
    <w:p w14:paraId="4A357F4E" w14:textId="0161B040" w:rsidR="00131C1A" w:rsidRDefault="00131C1A" w:rsidP="00117A2F"/>
    <w:p w14:paraId="1BB343B8" w14:textId="0A1E4E9D" w:rsidR="00131C1A" w:rsidRPr="0012206B" w:rsidRDefault="0012206B" w:rsidP="00117A2F">
      <w:pPr>
        <w:rPr>
          <w:b/>
        </w:rPr>
      </w:pPr>
      <w:r w:rsidRPr="0012206B">
        <w:rPr>
          <w:b/>
        </w:rPr>
        <w:t xml:space="preserve">Taux d’exécution financière </w:t>
      </w:r>
    </w:p>
    <w:p w14:paraId="54AFE30B" w14:textId="7AA5F63C" w:rsidR="00F11225" w:rsidRDefault="00F11225" w:rsidP="00117A2F"/>
    <w:p w14:paraId="4869AD4A" w14:textId="7C83B0D6" w:rsidR="00317DD6" w:rsidRDefault="00317DD6" w:rsidP="00117A2F">
      <w:r>
        <w:t xml:space="preserve">Le taux de décaissement, selon les CDRs, est de </w:t>
      </w:r>
      <w:r w:rsidR="001E4DB6">
        <w:t>95</w:t>
      </w:r>
      <w:r>
        <w:t>,</w:t>
      </w:r>
      <w:r w:rsidR="001E4DB6">
        <w:t>37</w:t>
      </w:r>
      <w:r>
        <w:t xml:space="preserve">%, avec des dépenses annuelles entre 289 000 en 2016, </w:t>
      </w:r>
      <w:proofErr w:type="gramStart"/>
      <w:r>
        <w:t>suite à</w:t>
      </w:r>
      <w:proofErr w:type="gramEnd"/>
      <w:r>
        <w:t xml:space="preserve"> la crise politique qui a interrompu la dynamique et la réalisation des activités.</w:t>
      </w:r>
    </w:p>
    <w:p w14:paraId="55A2C776" w14:textId="4EFC8087" w:rsidR="001E4DB6" w:rsidRDefault="001E4DB6" w:rsidP="00117A2F"/>
    <w:p w14:paraId="47DB9734" w14:textId="4E448FC4" w:rsidR="001E4DB6" w:rsidRDefault="001E4DB6" w:rsidP="00117A2F"/>
    <w:p w14:paraId="374C1EEE" w14:textId="7E4B6A4C" w:rsidR="001E4DB6" w:rsidRDefault="001E4DB6" w:rsidP="00117A2F"/>
    <w:p w14:paraId="2E39DDA5" w14:textId="7CF8DC7A" w:rsidR="001E4DB6" w:rsidRDefault="001E4DB6" w:rsidP="00117A2F"/>
    <w:p w14:paraId="722F36D8" w14:textId="1857E67F" w:rsidR="001E4DB6" w:rsidRDefault="001E4DB6" w:rsidP="00117A2F"/>
    <w:p w14:paraId="7F324A82" w14:textId="47615C28" w:rsidR="001E4DB6" w:rsidRDefault="001E4DB6" w:rsidP="00117A2F"/>
    <w:p w14:paraId="7D1938FA" w14:textId="4BABD5D7" w:rsidR="001E4DB6" w:rsidRDefault="001E4DB6" w:rsidP="00117A2F"/>
    <w:p w14:paraId="1A377F3C" w14:textId="5E18EA60" w:rsidR="001E4DB6" w:rsidRDefault="001E4DB6" w:rsidP="00117A2F"/>
    <w:p w14:paraId="7CE44CF2" w14:textId="41782CB5" w:rsidR="001E4DB6" w:rsidRDefault="001E4DB6" w:rsidP="004A64DA">
      <w:pPr>
        <w:ind w:left="1134"/>
      </w:pPr>
      <w:r>
        <w:rPr>
          <w:noProof/>
        </w:rPr>
        <w:lastRenderedPageBreak/>
        <w:drawing>
          <wp:inline distT="0" distB="0" distL="0" distR="0" wp14:anchorId="61071C93" wp14:editId="05A73785">
            <wp:extent cx="3508690" cy="22916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1839" cy="2300279"/>
                    </a:xfrm>
                    <a:prstGeom prst="rect">
                      <a:avLst/>
                    </a:prstGeom>
                    <a:noFill/>
                  </pic:spPr>
                </pic:pic>
              </a:graphicData>
            </a:graphic>
          </wp:inline>
        </w:drawing>
      </w:r>
    </w:p>
    <w:p w14:paraId="44477BE6" w14:textId="2D31912D" w:rsidR="00F11225" w:rsidRDefault="00F11225" w:rsidP="00117A2F"/>
    <w:p w14:paraId="3A167C7F" w14:textId="1FB01D51" w:rsidR="00237304" w:rsidRDefault="00317DD6" w:rsidP="00117A2F">
      <w:r>
        <w:t>Les institutions rencontrées s’étonnent de ce taux relativement faible, quand elles soumettaient de nombreuses propositions d’activités dans leurs plans de travail annuel qui n’étaient pas retenues.</w:t>
      </w:r>
    </w:p>
    <w:p w14:paraId="189776DF" w14:textId="2440418B" w:rsidR="00C92C21" w:rsidRDefault="00C92C21" w:rsidP="00043A26">
      <w:pPr>
        <w:tabs>
          <w:tab w:val="left" w:pos="2031"/>
        </w:tabs>
      </w:pPr>
    </w:p>
    <w:p w14:paraId="1168BC2D" w14:textId="70E62182" w:rsidR="00043A26" w:rsidRDefault="00317DD6" w:rsidP="00043A26">
      <w:pPr>
        <w:tabs>
          <w:tab w:val="left" w:pos="2031"/>
        </w:tabs>
      </w:pPr>
      <w:r>
        <w:t xml:space="preserve">Le projet </w:t>
      </w:r>
      <w:r w:rsidR="00EC3BA3">
        <w:t>était prévu pour une durée de 3 ans, avec un début en janvier 2013 et une fin au 31 décembre 2016. Il a été signé en mars 2013. Des dépenses étaient encore en cours en 2018, donc avec une durée plus importante que prévu, ce qui est concevable compte tenu des</w:t>
      </w:r>
      <w:r w:rsidR="003B4C1F">
        <w:t xml:space="preserve"> contraintes liées au contexte</w:t>
      </w:r>
      <w:r w:rsidR="00EC3BA3">
        <w:t xml:space="preserve">. </w:t>
      </w:r>
    </w:p>
    <w:p w14:paraId="45D3A922" w14:textId="640C69EC" w:rsidR="00317DD6" w:rsidRDefault="00317DD6" w:rsidP="00043A26">
      <w:pPr>
        <w:tabs>
          <w:tab w:val="left" w:pos="2031"/>
        </w:tabs>
      </w:pPr>
    </w:p>
    <w:p w14:paraId="19BBCEC7" w14:textId="54F874A5" w:rsidR="00043A26" w:rsidRDefault="00043A26" w:rsidP="00043A26">
      <w:pPr>
        <w:tabs>
          <w:tab w:val="left" w:pos="2031"/>
        </w:tabs>
      </w:pPr>
    </w:p>
    <w:p w14:paraId="7EF3925B" w14:textId="722EE713" w:rsidR="00C92C21" w:rsidRDefault="00C92C21" w:rsidP="00117A2F"/>
    <w:p w14:paraId="0C63A816" w14:textId="386A3065" w:rsidR="0012206B" w:rsidRPr="0012206B" w:rsidRDefault="0012206B" w:rsidP="00714B69">
      <w:pPr>
        <w:pStyle w:val="Titre3"/>
      </w:pPr>
      <w:bookmarkStart w:id="25" w:name="_Toc525626847"/>
      <w:r w:rsidRPr="0012206B">
        <w:t>Niveau d’atteintes des</w:t>
      </w:r>
      <w:r w:rsidR="002E26F8">
        <w:t xml:space="preserve"> </w:t>
      </w:r>
      <w:r w:rsidR="00941693">
        <w:t>résultats</w:t>
      </w:r>
      <w:bookmarkEnd w:id="25"/>
      <w:r w:rsidRPr="0012206B">
        <w:t xml:space="preserve"> </w:t>
      </w:r>
    </w:p>
    <w:p w14:paraId="4841C55B" w14:textId="1E3D0EF3" w:rsidR="0012206B" w:rsidRDefault="0012206B" w:rsidP="00117A2F"/>
    <w:p w14:paraId="6B91E9A0" w14:textId="77777777" w:rsidR="00EC3BA3" w:rsidRDefault="00EC3BA3" w:rsidP="00117A2F">
      <w:r>
        <w:t xml:space="preserve">Le cadre de résultats du document de projet faisait mention d’un certain nombre d’indicateurs de résultats : </w:t>
      </w:r>
    </w:p>
    <w:p w14:paraId="757941E4" w14:textId="77777777" w:rsidR="00EC3BA3" w:rsidRDefault="00EC3BA3" w:rsidP="00117A2F"/>
    <w:tbl>
      <w:tblPr>
        <w:tblStyle w:val="Grilledutableau"/>
        <w:tblW w:w="9776" w:type="dxa"/>
        <w:tblLook w:val="04A0" w:firstRow="1" w:lastRow="0" w:firstColumn="1" w:lastColumn="0" w:noHBand="0" w:noVBand="1"/>
      </w:tblPr>
      <w:tblGrid>
        <w:gridCol w:w="3018"/>
        <w:gridCol w:w="4490"/>
        <w:gridCol w:w="2268"/>
      </w:tblGrid>
      <w:tr w:rsidR="00EC3BA3" w14:paraId="42BD5898" w14:textId="77777777" w:rsidTr="004A64DA">
        <w:tc>
          <w:tcPr>
            <w:tcW w:w="3018" w:type="dxa"/>
          </w:tcPr>
          <w:p w14:paraId="690BCFD2" w14:textId="77777777" w:rsidR="00EC3BA3" w:rsidRDefault="00EC3BA3" w:rsidP="00117A2F"/>
        </w:tc>
        <w:tc>
          <w:tcPr>
            <w:tcW w:w="4490" w:type="dxa"/>
          </w:tcPr>
          <w:p w14:paraId="0530A6E3" w14:textId="77777777" w:rsidR="00EC3BA3" w:rsidRDefault="00EC3BA3" w:rsidP="00117A2F"/>
        </w:tc>
        <w:tc>
          <w:tcPr>
            <w:tcW w:w="2268" w:type="dxa"/>
          </w:tcPr>
          <w:p w14:paraId="367F0A5D" w14:textId="77777777" w:rsidR="00EC3BA3" w:rsidRDefault="00EC3BA3" w:rsidP="00117A2F"/>
        </w:tc>
      </w:tr>
      <w:tr w:rsidR="00EC3BA3" w14:paraId="03B3BC79" w14:textId="77777777" w:rsidTr="004A64DA">
        <w:tc>
          <w:tcPr>
            <w:tcW w:w="3018" w:type="dxa"/>
          </w:tcPr>
          <w:p w14:paraId="74FC8BA5" w14:textId="59B3ABD9" w:rsidR="00EC3BA3" w:rsidRDefault="00EC3BA3" w:rsidP="00117A2F">
            <w:r>
              <w:t>Produit 1</w:t>
            </w:r>
            <w:r w:rsidR="00830DAC">
              <w:t xml:space="preserve"> : </w:t>
            </w:r>
            <w:r w:rsidR="00023D4E">
              <w:t xml:space="preserve">Renforcement des capacités </w:t>
            </w:r>
            <w:r w:rsidR="00023D4E" w:rsidRPr="00023D4E">
              <w:t>techniques et organisationnelles des Institutions Supérieures de Contrôle et de lutte Anti­ Corruption (ISCLAC).</w:t>
            </w:r>
          </w:p>
        </w:tc>
        <w:tc>
          <w:tcPr>
            <w:tcW w:w="4490" w:type="dxa"/>
          </w:tcPr>
          <w:p w14:paraId="3BE99585" w14:textId="42459F36" w:rsidR="00023D4E" w:rsidRDefault="00023D4E" w:rsidP="00023D4E">
            <w:r>
              <w:t>Loi anti-</w:t>
            </w:r>
            <w:r w:rsidR="004E6809">
              <w:t>c</w:t>
            </w:r>
            <w:r>
              <w:t>orruption révisée et vulgarisée</w:t>
            </w:r>
          </w:p>
          <w:p w14:paraId="0B19D83A" w14:textId="096602E1" w:rsidR="00023D4E" w:rsidRDefault="00023D4E" w:rsidP="00023D4E">
            <w:r>
              <w:t>Proportion des cas de corruption enregistrés et transmis au parquet et à la cour anti­ corruption</w:t>
            </w:r>
          </w:p>
          <w:p w14:paraId="6E6F3BA1" w14:textId="65778441" w:rsidR="00023D4E" w:rsidRDefault="00023D4E" w:rsidP="00023D4E">
            <w:r>
              <w:t>Le Nombre d'institutions contrôlées par rapport aux programmes d'intervention</w:t>
            </w:r>
          </w:p>
          <w:p w14:paraId="661A27FA" w14:textId="42011B9E" w:rsidR="00023D4E" w:rsidRDefault="00023D4E" w:rsidP="00023D4E">
            <w:r>
              <w:t>Un document de plaidoyer pour la restauration de la compétence</w:t>
            </w:r>
            <w:r w:rsidR="00070FAB">
              <w:t xml:space="preserve"> </w:t>
            </w:r>
            <w:r>
              <w:t>juridictionnelle de la Cour des Comptes est produit</w:t>
            </w:r>
          </w:p>
          <w:p w14:paraId="17861D46" w14:textId="3E31491C" w:rsidR="00023D4E" w:rsidRDefault="00023D4E" w:rsidP="00117A2F">
            <w:r>
              <w:t>Le rap</w:t>
            </w:r>
            <w:r w:rsidR="004E6809">
              <w:t>p</w:t>
            </w:r>
            <w:r>
              <w:t>ort du système national d'intégrité est vali</w:t>
            </w:r>
            <w:r w:rsidR="004E6809">
              <w:t>d</w:t>
            </w:r>
            <w:r>
              <w:t>é et partagé avec tous les intervenants</w:t>
            </w:r>
          </w:p>
        </w:tc>
        <w:tc>
          <w:tcPr>
            <w:tcW w:w="2268" w:type="dxa"/>
          </w:tcPr>
          <w:p w14:paraId="0F1DC24D" w14:textId="154F0DC4" w:rsidR="00EC3BA3" w:rsidRDefault="006025F4" w:rsidP="00117A2F">
            <w:r>
              <w:t>Peu réalisé (pas de données sur les cas, seul progrès sur le nombre d’institutions contrôlées par rapport au programme)</w:t>
            </w:r>
            <w:r w:rsidR="00F96805">
              <w:t>, la loi anti-corruption a été aussi révisée et attend l’action du Parlement</w:t>
            </w:r>
          </w:p>
        </w:tc>
      </w:tr>
      <w:tr w:rsidR="00EC3BA3" w14:paraId="20D4B64F" w14:textId="77777777" w:rsidTr="004A64DA">
        <w:tc>
          <w:tcPr>
            <w:tcW w:w="3018" w:type="dxa"/>
          </w:tcPr>
          <w:p w14:paraId="21521FC9" w14:textId="46E14B9A" w:rsidR="00EC3BA3" w:rsidRDefault="00EC3BA3" w:rsidP="00117A2F">
            <w:bookmarkStart w:id="26" w:name="_Hlk525153003"/>
            <w:r w:rsidRPr="00EC3BA3">
              <w:t xml:space="preserve">Produit </w:t>
            </w:r>
            <w:r>
              <w:t>2</w:t>
            </w:r>
            <w:r w:rsidR="00023D4E">
              <w:t xml:space="preserve"> : </w:t>
            </w:r>
            <w:r w:rsidR="00023D4E" w:rsidRPr="00023D4E">
              <w:t>Modernisation et mise en conformité des outils de gestion et d'intervention des</w:t>
            </w:r>
            <w:r w:rsidR="00023D4E" w:rsidRPr="00023D4E">
              <w:tab/>
              <w:t>ISCLACs avec les standards internationaux</w:t>
            </w:r>
          </w:p>
        </w:tc>
        <w:tc>
          <w:tcPr>
            <w:tcW w:w="4490" w:type="dxa"/>
          </w:tcPr>
          <w:p w14:paraId="44028020" w14:textId="469DD96F" w:rsidR="00023D4E" w:rsidRDefault="00023D4E" w:rsidP="00353A8C">
            <w:pPr>
              <w:pStyle w:val="Paragraphedeliste"/>
              <w:numPr>
                <w:ilvl w:val="0"/>
                <w:numId w:val="14"/>
              </w:numPr>
              <w:tabs>
                <w:tab w:val="left" w:pos="132"/>
              </w:tabs>
              <w:ind w:left="0" w:hanging="10"/>
            </w:pPr>
            <w:r>
              <w:t>Un site web sur la SNBG est fonctionnel</w:t>
            </w:r>
          </w:p>
          <w:p w14:paraId="2EFA337A" w14:textId="19414EB2" w:rsidR="00023D4E" w:rsidRDefault="00023D4E" w:rsidP="00353A8C">
            <w:pPr>
              <w:pStyle w:val="Paragraphedeliste"/>
              <w:numPr>
                <w:ilvl w:val="0"/>
                <w:numId w:val="14"/>
              </w:numPr>
              <w:tabs>
                <w:tab w:val="left" w:pos="132"/>
              </w:tabs>
              <w:ind w:left="0" w:hanging="10"/>
            </w:pPr>
            <w:r>
              <w:t>Une bibliothèque sur la lutte contre la corruption est mise en place.</w:t>
            </w:r>
          </w:p>
          <w:p w14:paraId="3A1D2BDD" w14:textId="62387EB0" w:rsidR="00023D4E" w:rsidRDefault="00023D4E" w:rsidP="00353A8C">
            <w:pPr>
              <w:pStyle w:val="Paragraphedeliste"/>
              <w:numPr>
                <w:ilvl w:val="0"/>
                <w:numId w:val="14"/>
              </w:numPr>
              <w:tabs>
                <w:tab w:val="left" w:pos="132"/>
              </w:tabs>
              <w:ind w:left="0" w:hanging="10"/>
            </w:pPr>
            <w:r>
              <w:t>Au moins 2 ISCLACs disposent d'un système électronique de gestion des dossiers</w:t>
            </w:r>
          </w:p>
          <w:p w14:paraId="669A33D7" w14:textId="5700CB09" w:rsidR="00EC3BA3" w:rsidRDefault="00023D4E" w:rsidP="00353A8C">
            <w:pPr>
              <w:pStyle w:val="Paragraphedeliste"/>
              <w:numPr>
                <w:ilvl w:val="0"/>
                <w:numId w:val="14"/>
              </w:numPr>
              <w:tabs>
                <w:tab w:val="left" w:pos="132"/>
              </w:tabs>
              <w:ind w:left="0" w:hanging="10"/>
            </w:pPr>
            <w:r>
              <w:t>Une banque de données sur le travail anti-corruption existe</w:t>
            </w:r>
          </w:p>
        </w:tc>
        <w:tc>
          <w:tcPr>
            <w:tcW w:w="2268" w:type="dxa"/>
          </w:tcPr>
          <w:p w14:paraId="041A0B53" w14:textId="226FEAC9" w:rsidR="00EC3BA3" w:rsidRDefault="00023D4E" w:rsidP="00117A2F">
            <w:r>
              <w:t>Non réalisé</w:t>
            </w:r>
            <w:r w:rsidR="003B4C1F">
              <w:t xml:space="preserve">. </w:t>
            </w:r>
            <w:r w:rsidR="00F96805">
              <w:t>Le site web a été développé et rendu opérationnel</w:t>
            </w:r>
          </w:p>
          <w:p w14:paraId="44C3A66E" w14:textId="4B80AF6C" w:rsidR="00F96805" w:rsidRDefault="00F96805" w:rsidP="00117A2F">
            <w:r>
              <w:t>La BSAC dispose d’un logiciel de suivi des dossiers</w:t>
            </w:r>
          </w:p>
        </w:tc>
      </w:tr>
      <w:tr w:rsidR="00EC3BA3" w14:paraId="79255033" w14:textId="77777777" w:rsidTr="004A64DA">
        <w:tc>
          <w:tcPr>
            <w:tcW w:w="3018" w:type="dxa"/>
          </w:tcPr>
          <w:p w14:paraId="1B62C134" w14:textId="4C43A704" w:rsidR="00EC3BA3" w:rsidRDefault="00EC3BA3" w:rsidP="00EC3BA3">
            <w:r w:rsidRPr="00030EF1">
              <w:t xml:space="preserve">Produit </w:t>
            </w:r>
            <w:r>
              <w:t>3</w:t>
            </w:r>
            <w:r w:rsidR="00023D4E">
              <w:t xml:space="preserve"> : </w:t>
            </w:r>
            <w:r w:rsidR="00023D4E" w:rsidRPr="00023D4E">
              <w:t>Mise en place d'une synergie d'intervention des institutions de contrôle des finances publiques et de lutte anticorruption et insertion dans leur environnement national et international</w:t>
            </w:r>
          </w:p>
        </w:tc>
        <w:tc>
          <w:tcPr>
            <w:tcW w:w="4490" w:type="dxa"/>
          </w:tcPr>
          <w:p w14:paraId="01D4F7F1" w14:textId="77777777" w:rsidR="004E6809" w:rsidRDefault="00023D4E" w:rsidP="00353A8C">
            <w:pPr>
              <w:pStyle w:val="Paragraphedeliste"/>
              <w:numPr>
                <w:ilvl w:val="0"/>
                <w:numId w:val="15"/>
              </w:numPr>
              <w:tabs>
                <w:tab w:val="left" w:pos="187"/>
              </w:tabs>
              <w:ind w:left="-10" w:firstLine="0"/>
            </w:pPr>
            <w:r>
              <w:t>Au moins une journée d'information sur les ISCs est organisée par année</w:t>
            </w:r>
          </w:p>
          <w:p w14:paraId="369AACD3" w14:textId="342B7284" w:rsidR="00EC3BA3" w:rsidRDefault="00023D4E" w:rsidP="00353A8C">
            <w:pPr>
              <w:pStyle w:val="Paragraphedeliste"/>
              <w:numPr>
                <w:ilvl w:val="0"/>
                <w:numId w:val="15"/>
              </w:numPr>
              <w:tabs>
                <w:tab w:val="left" w:pos="187"/>
              </w:tabs>
              <w:ind w:left="-10" w:firstLine="0"/>
            </w:pPr>
            <w:r>
              <w:t xml:space="preserve">Chaque institution présente un rapport condensé et substantive sur sa participation dans les ensembles et fora internationaux ou </w:t>
            </w:r>
            <w:proofErr w:type="gramStart"/>
            <w:r>
              <w:t>régionaux;</w:t>
            </w:r>
            <w:proofErr w:type="gramEnd"/>
          </w:p>
        </w:tc>
        <w:tc>
          <w:tcPr>
            <w:tcW w:w="2268" w:type="dxa"/>
          </w:tcPr>
          <w:p w14:paraId="20E0378A" w14:textId="77777777" w:rsidR="00EC3BA3" w:rsidRDefault="00023D4E" w:rsidP="00EC3BA3">
            <w:r>
              <w:t>Non réalisé</w:t>
            </w:r>
          </w:p>
          <w:p w14:paraId="66E4F8AF" w14:textId="7C9D10D6" w:rsidR="00F96805" w:rsidRDefault="00F96805" w:rsidP="00EC3BA3">
            <w:r>
              <w:t>Les rapports sont élaborés (INTOSAI pour l’IGE et la participation aux mécanismes de la convention de LC</w:t>
            </w:r>
          </w:p>
        </w:tc>
      </w:tr>
      <w:tr w:rsidR="00EC3BA3" w14:paraId="3327E24E" w14:textId="77777777" w:rsidTr="004A64DA">
        <w:tc>
          <w:tcPr>
            <w:tcW w:w="3018" w:type="dxa"/>
          </w:tcPr>
          <w:p w14:paraId="6053B4AB" w14:textId="0B9A3D60" w:rsidR="00023D4E" w:rsidRDefault="00EC3BA3" w:rsidP="00023D4E">
            <w:r w:rsidRPr="00030EF1">
              <w:lastRenderedPageBreak/>
              <w:t xml:space="preserve">Produit </w:t>
            </w:r>
            <w:r>
              <w:t>4</w:t>
            </w:r>
            <w:r w:rsidR="00023D4E">
              <w:t> : Renforcement des capacités de la société civile, secteur privé et des médias pour la sensibilisation/ prévention en matière</w:t>
            </w:r>
          </w:p>
          <w:p w14:paraId="2782B3AF" w14:textId="0646E887" w:rsidR="00EC3BA3" w:rsidRDefault="00023D4E" w:rsidP="00023D4E">
            <w:proofErr w:type="gramStart"/>
            <w:r>
              <w:t>de</w:t>
            </w:r>
            <w:proofErr w:type="gramEnd"/>
            <w:r>
              <w:t xml:space="preserve"> lutte contre la corruption.</w:t>
            </w:r>
          </w:p>
        </w:tc>
        <w:tc>
          <w:tcPr>
            <w:tcW w:w="4490" w:type="dxa"/>
          </w:tcPr>
          <w:p w14:paraId="1C45ED4D" w14:textId="77777777" w:rsidR="00EC3BA3" w:rsidRDefault="00023D4E" w:rsidP="00353A8C">
            <w:pPr>
              <w:pStyle w:val="Paragraphedeliste"/>
              <w:numPr>
                <w:ilvl w:val="0"/>
                <w:numId w:val="7"/>
              </w:numPr>
              <w:tabs>
                <w:tab w:val="left" w:pos="233"/>
              </w:tabs>
              <w:ind w:left="0" w:hanging="10"/>
            </w:pPr>
            <w:r>
              <w:t xml:space="preserve">Au moins 10 projets de la société civile sont appuyés </w:t>
            </w:r>
          </w:p>
          <w:p w14:paraId="20A0F1E5" w14:textId="77777777" w:rsidR="00023D4E" w:rsidRDefault="00023D4E" w:rsidP="00353A8C">
            <w:pPr>
              <w:pStyle w:val="Paragraphedeliste"/>
              <w:numPr>
                <w:ilvl w:val="0"/>
                <w:numId w:val="7"/>
              </w:numPr>
              <w:tabs>
                <w:tab w:val="left" w:pos="233"/>
              </w:tabs>
              <w:ind w:left="0" w:hanging="10"/>
            </w:pPr>
            <w:r>
              <w:t>Au moins un travail de recherche sur la lutte contre la corruption est appuyé</w:t>
            </w:r>
          </w:p>
          <w:p w14:paraId="5C33FD7D" w14:textId="4FB7746C" w:rsidR="00023D4E" w:rsidRDefault="00023D4E" w:rsidP="00353A8C">
            <w:pPr>
              <w:pStyle w:val="Paragraphedeliste"/>
              <w:numPr>
                <w:ilvl w:val="0"/>
                <w:numId w:val="7"/>
              </w:numPr>
              <w:tabs>
                <w:tab w:val="left" w:pos="233"/>
              </w:tabs>
              <w:ind w:left="0" w:hanging="10"/>
            </w:pPr>
            <w:r>
              <w:t>3 ateliers de formation à l’endroit des gestionnaires du secteur public sont organisés</w:t>
            </w:r>
          </w:p>
        </w:tc>
        <w:tc>
          <w:tcPr>
            <w:tcW w:w="2268" w:type="dxa"/>
          </w:tcPr>
          <w:p w14:paraId="51909819" w14:textId="369376C2" w:rsidR="00EC3BA3" w:rsidRDefault="00023D4E" w:rsidP="00EC3BA3">
            <w:r>
              <w:t>Partiellement réalisé</w:t>
            </w:r>
            <w:r w:rsidR="00F96805">
              <w:t xml:space="preserve"> il n’y a que le travail de recherche qui n’a pas été réalisé</w:t>
            </w:r>
          </w:p>
        </w:tc>
      </w:tr>
      <w:bookmarkEnd w:id="26"/>
    </w:tbl>
    <w:p w14:paraId="481304EC" w14:textId="7DB6A4D3" w:rsidR="00EC3BA3" w:rsidRDefault="00EC3BA3" w:rsidP="00117A2F"/>
    <w:p w14:paraId="3E20B5B1" w14:textId="77777777" w:rsidR="00EC3BA3" w:rsidRDefault="00EC3BA3" w:rsidP="00117A2F"/>
    <w:p w14:paraId="3380B5F1" w14:textId="1CB09A6B" w:rsidR="00BB3131" w:rsidRDefault="0012206B" w:rsidP="00117A2F">
      <w:r>
        <w:t xml:space="preserve">Une analyse des activités réalisées et non-réalisées a été effectuée, qui </w:t>
      </w:r>
      <w:r w:rsidR="00BB3131">
        <w:t xml:space="preserve">souligne que de nombreuses activités prévues n’ont pas pu être mises en place. </w:t>
      </w:r>
      <w:r w:rsidR="00D328C2">
        <w:t>Les causes sont le contexte politique, la disponibilité de l’expertise, ou le fait que certaines activités soient conditionnées à la révision du cadre légal.</w:t>
      </w:r>
    </w:p>
    <w:p w14:paraId="70955461" w14:textId="2BD30D24" w:rsidR="004410F6" w:rsidRDefault="004410F6" w:rsidP="00117A2F"/>
    <w:p w14:paraId="09FEC664" w14:textId="2C5CB288" w:rsidR="00D328C2" w:rsidRDefault="00D328C2" w:rsidP="002419FB">
      <w:pPr>
        <w:pBdr>
          <w:top w:val="single" w:sz="4" w:space="1" w:color="auto"/>
          <w:left w:val="single" w:sz="4" w:space="4" w:color="auto"/>
          <w:bottom w:val="single" w:sz="4" w:space="1" w:color="auto"/>
          <w:right w:val="single" w:sz="4" w:space="4" w:color="auto"/>
        </w:pBdr>
        <w:rPr>
          <w:b/>
        </w:rPr>
      </w:pPr>
      <w:r>
        <w:rPr>
          <w:b/>
        </w:rPr>
        <w:t>Activités planifiées non-réalisés</w:t>
      </w:r>
    </w:p>
    <w:p w14:paraId="3CCA69BB" w14:textId="77777777" w:rsidR="00D328C2" w:rsidRDefault="00D328C2" w:rsidP="002419FB">
      <w:pPr>
        <w:pBdr>
          <w:top w:val="single" w:sz="4" w:space="1" w:color="auto"/>
          <w:left w:val="single" w:sz="4" w:space="4" w:color="auto"/>
          <w:bottom w:val="single" w:sz="4" w:space="1" w:color="auto"/>
          <w:right w:val="single" w:sz="4" w:space="4" w:color="auto"/>
        </w:pBdr>
        <w:rPr>
          <w:b/>
        </w:rPr>
      </w:pPr>
    </w:p>
    <w:p w14:paraId="5AABFA50" w14:textId="0E0DA6F3" w:rsidR="004410F6" w:rsidRPr="002419FB" w:rsidRDefault="004410F6" w:rsidP="006F02CE">
      <w:pPr>
        <w:pBdr>
          <w:top w:val="single" w:sz="4" w:space="1" w:color="auto"/>
          <w:left w:val="single" w:sz="4" w:space="4" w:color="auto"/>
          <w:bottom w:val="single" w:sz="4" w:space="1" w:color="auto"/>
          <w:right w:val="single" w:sz="4" w:space="4" w:color="auto"/>
        </w:pBdr>
        <w:tabs>
          <w:tab w:val="left" w:pos="426"/>
        </w:tabs>
        <w:rPr>
          <w:b/>
        </w:rPr>
      </w:pPr>
      <w:r w:rsidRPr="002419FB">
        <w:rPr>
          <w:b/>
        </w:rPr>
        <w:t xml:space="preserve">Produit 1 : </w:t>
      </w:r>
    </w:p>
    <w:p w14:paraId="54D79B48" w14:textId="77777777" w:rsidR="002419FB" w:rsidRDefault="002419FB" w:rsidP="006F02CE">
      <w:pPr>
        <w:pBdr>
          <w:top w:val="single" w:sz="4" w:space="1" w:color="auto"/>
          <w:left w:val="single" w:sz="4" w:space="4" w:color="auto"/>
          <w:bottom w:val="single" w:sz="4" w:space="1" w:color="auto"/>
          <w:right w:val="single" w:sz="4" w:space="4" w:color="auto"/>
        </w:pBdr>
        <w:tabs>
          <w:tab w:val="left" w:pos="426"/>
        </w:tabs>
        <w:rPr>
          <w:i/>
        </w:rPr>
      </w:pPr>
    </w:p>
    <w:p w14:paraId="78165F01" w14:textId="7FE1257F" w:rsidR="004410F6" w:rsidRPr="002419FB" w:rsidRDefault="004410F6" w:rsidP="00353A8C">
      <w:pPr>
        <w:pStyle w:val="Paragraphedeliste"/>
        <w:numPr>
          <w:ilvl w:val="0"/>
          <w:numId w:val="17"/>
        </w:numPr>
        <w:pBdr>
          <w:top w:val="single" w:sz="4" w:space="1" w:color="auto"/>
          <w:left w:val="single" w:sz="4" w:space="4" w:color="auto"/>
          <w:bottom w:val="single" w:sz="4" w:space="1" w:color="auto"/>
          <w:right w:val="single" w:sz="4" w:space="4" w:color="auto"/>
        </w:pBdr>
        <w:tabs>
          <w:tab w:val="left" w:pos="426"/>
        </w:tabs>
        <w:ind w:left="0" w:firstLine="0"/>
      </w:pPr>
      <w:r w:rsidRPr="002419FB">
        <w:t>Conduite d’un audit institutionnel et organisationnel de la Brigade Spéciale Anti- Corruption.</w:t>
      </w:r>
    </w:p>
    <w:p w14:paraId="0D4799D6" w14:textId="67C5B9E2" w:rsidR="004410F6" w:rsidRPr="002419FB" w:rsidRDefault="004410F6" w:rsidP="00353A8C">
      <w:pPr>
        <w:pStyle w:val="Paragraphedeliste"/>
        <w:numPr>
          <w:ilvl w:val="0"/>
          <w:numId w:val="17"/>
        </w:numPr>
        <w:pBdr>
          <w:top w:val="single" w:sz="4" w:space="1" w:color="auto"/>
          <w:left w:val="single" w:sz="4" w:space="4" w:color="auto"/>
          <w:bottom w:val="single" w:sz="4" w:space="1" w:color="auto"/>
          <w:right w:val="single" w:sz="4" w:space="4" w:color="auto"/>
        </w:pBdr>
        <w:tabs>
          <w:tab w:val="left" w:pos="426"/>
        </w:tabs>
        <w:ind w:left="0" w:firstLine="0"/>
      </w:pPr>
      <w:r w:rsidRPr="002419FB">
        <w:t>Conduite d’un éta</w:t>
      </w:r>
      <w:r w:rsidR="002419FB" w:rsidRPr="002419FB">
        <w:t>t</w:t>
      </w:r>
      <w:r w:rsidRPr="002419FB">
        <w:t xml:space="preserve"> des lieux des besoins en renfoncement des capacités sur base des études déjà existantes.</w:t>
      </w:r>
    </w:p>
    <w:p w14:paraId="0EE54C96" w14:textId="7B85602C" w:rsidR="004410F6" w:rsidRPr="002419FB" w:rsidRDefault="004410F6" w:rsidP="00353A8C">
      <w:pPr>
        <w:pStyle w:val="Paragraphedeliste"/>
        <w:numPr>
          <w:ilvl w:val="1"/>
          <w:numId w:val="18"/>
        </w:numPr>
        <w:pBdr>
          <w:top w:val="single" w:sz="4" w:space="1" w:color="auto"/>
          <w:left w:val="single" w:sz="4" w:space="4" w:color="auto"/>
          <w:bottom w:val="single" w:sz="4" w:space="1" w:color="auto"/>
          <w:right w:val="single" w:sz="4" w:space="4" w:color="auto"/>
        </w:pBdr>
        <w:tabs>
          <w:tab w:val="left" w:pos="426"/>
        </w:tabs>
        <w:ind w:left="0" w:firstLine="0"/>
      </w:pPr>
      <w:r w:rsidRPr="002419FB">
        <w:t>Formation de la Cour Anti-corruption et de la Cour Suprême en détection des fraudes (bancaire, assurance, marchés publics, douanes)</w:t>
      </w:r>
    </w:p>
    <w:p w14:paraId="7D866142" w14:textId="625645F3" w:rsidR="004410F6" w:rsidRPr="002419FB" w:rsidRDefault="004410F6" w:rsidP="00353A8C">
      <w:pPr>
        <w:pStyle w:val="Paragraphedeliste"/>
        <w:numPr>
          <w:ilvl w:val="1"/>
          <w:numId w:val="18"/>
        </w:numPr>
        <w:pBdr>
          <w:top w:val="single" w:sz="4" w:space="1" w:color="auto"/>
          <w:left w:val="single" w:sz="4" w:space="4" w:color="auto"/>
          <w:bottom w:val="single" w:sz="4" w:space="1" w:color="auto"/>
          <w:right w:val="single" w:sz="4" w:space="4" w:color="auto"/>
        </w:pBdr>
        <w:tabs>
          <w:tab w:val="left" w:pos="426"/>
        </w:tabs>
        <w:ind w:left="0" w:firstLine="0"/>
      </w:pPr>
      <w:r w:rsidRPr="002419FB">
        <w:t>Contribution à la révision du cahier des charges de l’Association Internationale des Cours des Comptes Francophones</w:t>
      </w:r>
    </w:p>
    <w:p w14:paraId="274E09F4" w14:textId="5B9FB435" w:rsidR="004410F6" w:rsidRPr="002419FB" w:rsidRDefault="004410F6" w:rsidP="00353A8C">
      <w:pPr>
        <w:pStyle w:val="Paragraphedeliste"/>
        <w:numPr>
          <w:ilvl w:val="1"/>
          <w:numId w:val="18"/>
        </w:numPr>
        <w:pBdr>
          <w:top w:val="single" w:sz="4" w:space="1" w:color="auto"/>
          <w:left w:val="single" w:sz="4" w:space="4" w:color="auto"/>
          <w:bottom w:val="single" w:sz="4" w:space="1" w:color="auto"/>
          <w:right w:val="single" w:sz="4" w:space="4" w:color="auto"/>
        </w:pBdr>
        <w:tabs>
          <w:tab w:val="left" w:pos="426"/>
        </w:tabs>
        <w:ind w:left="0" w:firstLine="0"/>
      </w:pPr>
      <w:r w:rsidRPr="002419FB">
        <w:t>Conduite d’un audit institutionnel et organisationnel de la Cour anti-corruption et de son Parquet Général. La Cour Anti-corruption et le Parquet Général près cette Cour ne se sont pas entendus sur les missions des consultants qui viendraient faire cet audit.</w:t>
      </w:r>
    </w:p>
    <w:p w14:paraId="77E09B8C" w14:textId="09CDC20C" w:rsidR="004410F6" w:rsidRPr="002419FB" w:rsidRDefault="004410F6" w:rsidP="00353A8C">
      <w:pPr>
        <w:pStyle w:val="Paragraphedeliste"/>
        <w:numPr>
          <w:ilvl w:val="1"/>
          <w:numId w:val="18"/>
        </w:numPr>
        <w:pBdr>
          <w:top w:val="single" w:sz="4" w:space="1" w:color="auto"/>
          <w:left w:val="single" w:sz="4" w:space="4" w:color="auto"/>
          <w:bottom w:val="single" w:sz="4" w:space="1" w:color="auto"/>
          <w:right w:val="single" w:sz="4" w:space="4" w:color="auto"/>
        </w:pBdr>
        <w:tabs>
          <w:tab w:val="left" w:pos="426"/>
        </w:tabs>
        <w:ind w:left="0" w:firstLine="0"/>
      </w:pPr>
      <w:r w:rsidRPr="002419FB">
        <w:t>Formation des Magistrats de la Cour des Comptes en comptabilité et audit des projets et programmes de l’Etat.</w:t>
      </w:r>
    </w:p>
    <w:p w14:paraId="7EBC35C1" w14:textId="356147DC" w:rsidR="004410F6" w:rsidRPr="002419FB" w:rsidRDefault="004410F6" w:rsidP="00353A8C">
      <w:pPr>
        <w:pStyle w:val="Paragraphedeliste"/>
        <w:numPr>
          <w:ilvl w:val="1"/>
          <w:numId w:val="18"/>
        </w:numPr>
        <w:pBdr>
          <w:top w:val="single" w:sz="4" w:space="1" w:color="auto"/>
          <w:left w:val="single" w:sz="4" w:space="4" w:color="auto"/>
          <w:bottom w:val="single" w:sz="4" w:space="1" w:color="auto"/>
          <w:right w:val="single" w:sz="4" w:space="4" w:color="auto"/>
        </w:pBdr>
        <w:tabs>
          <w:tab w:val="left" w:pos="426"/>
        </w:tabs>
        <w:ind w:left="0" w:firstLine="0"/>
      </w:pPr>
      <w:r w:rsidRPr="002419FB">
        <w:t>Evaluation et actualisation du Guide de vérification de l’IGE.</w:t>
      </w:r>
    </w:p>
    <w:p w14:paraId="5504EFE3" w14:textId="62B75DC8" w:rsidR="004410F6" w:rsidRPr="002419FB" w:rsidRDefault="004410F6" w:rsidP="00353A8C">
      <w:pPr>
        <w:pStyle w:val="Paragraphedeliste"/>
        <w:numPr>
          <w:ilvl w:val="0"/>
          <w:numId w:val="17"/>
        </w:numPr>
        <w:pBdr>
          <w:top w:val="single" w:sz="4" w:space="1" w:color="auto"/>
          <w:left w:val="single" w:sz="4" w:space="4" w:color="auto"/>
          <w:bottom w:val="single" w:sz="4" w:space="1" w:color="auto"/>
          <w:right w:val="single" w:sz="4" w:space="4" w:color="auto"/>
        </w:pBdr>
        <w:tabs>
          <w:tab w:val="left" w:pos="426"/>
        </w:tabs>
        <w:ind w:left="0" w:firstLine="0"/>
      </w:pPr>
      <w:r w:rsidRPr="002419FB">
        <w:t>La formation en Financial Accounting (comptabilité en anglais) des magistrats de la Cour des Comptes.</w:t>
      </w:r>
    </w:p>
    <w:p w14:paraId="4B6CF5A6" w14:textId="127ABC0D" w:rsidR="00B47B23" w:rsidRDefault="00B47B23" w:rsidP="006F02CE">
      <w:pPr>
        <w:pBdr>
          <w:top w:val="single" w:sz="4" w:space="1" w:color="auto"/>
          <w:left w:val="single" w:sz="4" w:space="4" w:color="auto"/>
          <w:bottom w:val="single" w:sz="4" w:space="1" w:color="auto"/>
          <w:right w:val="single" w:sz="4" w:space="4" w:color="auto"/>
        </w:pBdr>
        <w:tabs>
          <w:tab w:val="left" w:pos="426"/>
        </w:tabs>
      </w:pPr>
    </w:p>
    <w:p w14:paraId="098CF187" w14:textId="059EB3A5" w:rsidR="00370E68" w:rsidRPr="002419FB" w:rsidRDefault="002419FB" w:rsidP="006F02CE">
      <w:pPr>
        <w:pBdr>
          <w:top w:val="single" w:sz="4" w:space="1" w:color="auto"/>
          <w:left w:val="single" w:sz="4" w:space="4" w:color="auto"/>
          <w:bottom w:val="single" w:sz="4" w:space="1" w:color="auto"/>
          <w:right w:val="single" w:sz="4" w:space="4" w:color="auto"/>
        </w:pBdr>
        <w:tabs>
          <w:tab w:val="left" w:pos="426"/>
        </w:tabs>
        <w:rPr>
          <w:b/>
        </w:rPr>
      </w:pPr>
      <w:r w:rsidRPr="002419FB">
        <w:rPr>
          <w:b/>
        </w:rPr>
        <w:t xml:space="preserve">Produit 2 : </w:t>
      </w:r>
    </w:p>
    <w:p w14:paraId="284A42B4" w14:textId="66ABA4FF" w:rsidR="002419FB" w:rsidRDefault="002419FB" w:rsidP="00353A8C">
      <w:pPr>
        <w:pStyle w:val="Paragraphedeliste"/>
        <w:numPr>
          <w:ilvl w:val="1"/>
          <w:numId w:val="20"/>
        </w:numPr>
        <w:pBdr>
          <w:top w:val="single" w:sz="4" w:space="1" w:color="auto"/>
          <w:left w:val="single" w:sz="4" w:space="4" w:color="auto"/>
          <w:bottom w:val="single" w:sz="4" w:space="1" w:color="auto"/>
          <w:right w:val="single" w:sz="4" w:space="4" w:color="auto"/>
        </w:pBdr>
        <w:tabs>
          <w:tab w:val="left" w:pos="426"/>
        </w:tabs>
        <w:ind w:left="0" w:firstLine="0"/>
      </w:pPr>
      <w:r>
        <w:t>Constitution de deux Bibliothèques spécialisées pour la Cour des Comptes et la Cour Anti-corruption.</w:t>
      </w:r>
    </w:p>
    <w:p w14:paraId="43EDBC12" w14:textId="42255CFE" w:rsidR="002419FB" w:rsidRDefault="002419FB" w:rsidP="00353A8C">
      <w:pPr>
        <w:pStyle w:val="Paragraphedeliste"/>
        <w:numPr>
          <w:ilvl w:val="1"/>
          <w:numId w:val="20"/>
        </w:numPr>
        <w:pBdr>
          <w:top w:val="single" w:sz="4" w:space="1" w:color="auto"/>
          <w:left w:val="single" w:sz="4" w:space="4" w:color="auto"/>
          <w:bottom w:val="single" w:sz="4" w:space="1" w:color="auto"/>
          <w:right w:val="single" w:sz="4" w:space="4" w:color="auto"/>
        </w:pBdr>
        <w:tabs>
          <w:tab w:val="left" w:pos="426"/>
        </w:tabs>
        <w:ind w:left="0" w:firstLine="0"/>
      </w:pPr>
      <w:r>
        <w:t xml:space="preserve">Révision du cadre légal et réglementaire de lutte contre la Corruption </w:t>
      </w:r>
    </w:p>
    <w:p w14:paraId="1254DFB9" w14:textId="2218B3DE" w:rsidR="002419FB" w:rsidRDefault="002419FB" w:rsidP="00353A8C">
      <w:pPr>
        <w:pStyle w:val="Paragraphedeliste"/>
        <w:numPr>
          <w:ilvl w:val="1"/>
          <w:numId w:val="20"/>
        </w:numPr>
        <w:pBdr>
          <w:top w:val="single" w:sz="4" w:space="1" w:color="auto"/>
          <w:left w:val="single" w:sz="4" w:space="4" w:color="auto"/>
          <w:bottom w:val="single" w:sz="4" w:space="1" w:color="auto"/>
          <w:right w:val="single" w:sz="4" w:space="4" w:color="auto"/>
        </w:pBdr>
        <w:tabs>
          <w:tab w:val="left" w:pos="426"/>
        </w:tabs>
        <w:ind w:left="0" w:firstLine="0"/>
      </w:pPr>
      <w:r>
        <w:t xml:space="preserve">Evaluation du système National d’Intégrité </w:t>
      </w:r>
    </w:p>
    <w:p w14:paraId="5D17863C" w14:textId="22DEB0AA"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Développement et opérationnalisation du logiciel de traitement et de suivi des dossiers de la Cour Suprême.</w:t>
      </w:r>
    </w:p>
    <w:p w14:paraId="220AF15E" w14:textId="5401E55E"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 xml:space="preserve">Elaboration d’un guide sur les avis et les recommandations de la Cour des Comptes. </w:t>
      </w:r>
    </w:p>
    <w:p w14:paraId="18DA6F0E" w14:textId="3330ED30"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Appui à la création et au développement d’une base des données des dossiers de la CAC et du PG/CAC ainsi que la jurisprudence de la CAC.</w:t>
      </w:r>
    </w:p>
    <w:p w14:paraId="3A4188DB" w14:textId="2B4E3C20"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 xml:space="preserve">Validation de 2 lois : loi portant création, missions, organisation et fonctionnement de la Cour des </w:t>
      </w:r>
      <w:proofErr w:type="gramStart"/>
      <w:r>
        <w:t>Comptes;</w:t>
      </w:r>
      <w:proofErr w:type="gramEnd"/>
      <w:r>
        <w:t xml:space="preserve"> loi portant statut des magistrats de la Cour des Comptes.</w:t>
      </w:r>
    </w:p>
    <w:p w14:paraId="1D5D8AD0" w14:textId="7CFBB275"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 xml:space="preserve">Evaluation des inspections faites en 2014 et en 2015 par la Cour suprême et le parquet Général  </w:t>
      </w:r>
    </w:p>
    <w:p w14:paraId="1123A608" w14:textId="0E5CEBDB"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 xml:space="preserve">Opérationnalisation du logiciel de gestion des dossiers : Mise en place d’un intranet au Commissariat Général de la Brigade Spéciale Anti-Corruption.   </w:t>
      </w:r>
    </w:p>
    <w:p w14:paraId="2149057B" w14:textId="4EDB9C57"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 xml:space="preserve">Appui à l’encadrement et à l’inspection des commissariats régionaux de la Brigade Spéciale Anti –Corruption par le Parquet Général près la Cour Anti-corruption    </w:t>
      </w:r>
    </w:p>
    <w:p w14:paraId="5234E4FC" w14:textId="7C2FC7D7"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 xml:space="preserve">Appui au processus de révision du cadre légal de répression et de prévention de la corruption et de ses infractions connexes.               </w:t>
      </w:r>
    </w:p>
    <w:p w14:paraId="26E9FB71" w14:textId="6F1B31DA" w:rsidR="002419FB" w:rsidRDefault="002419FB" w:rsidP="00353A8C">
      <w:pPr>
        <w:pStyle w:val="Paragraphedeliste"/>
        <w:numPr>
          <w:ilvl w:val="0"/>
          <w:numId w:val="19"/>
        </w:numPr>
        <w:pBdr>
          <w:top w:val="single" w:sz="4" w:space="1" w:color="auto"/>
          <w:left w:val="single" w:sz="4" w:space="4" w:color="auto"/>
          <w:bottom w:val="single" w:sz="4" w:space="1" w:color="auto"/>
          <w:right w:val="single" w:sz="4" w:space="4" w:color="auto"/>
        </w:pBdr>
        <w:tabs>
          <w:tab w:val="left" w:pos="426"/>
        </w:tabs>
        <w:ind w:left="0" w:firstLine="0"/>
      </w:pPr>
      <w:r>
        <w:t>La formation des Inspecteurs de l’Etat en logiciel « ASYCUDAWORD » (Sydoniaworld) pour les mettre à niveau dans les contrôles douaniers</w:t>
      </w:r>
    </w:p>
    <w:p w14:paraId="6E519E8E" w14:textId="4C3C97E9" w:rsidR="002419FB" w:rsidRDefault="002419FB" w:rsidP="006F02CE">
      <w:pPr>
        <w:pBdr>
          <w:top w:val="single" w:sz="4" w:space="1" w:color="auto"/>
          <w:left w:val="single" w:sz="4" w:space="4" w:color="auto"/>
          <w:bottom w:val="single" w:sz="4" w:space="1" w:color="auto"/>
          <w:right w:val="single" w:sz="4" w:space="4" w:color="auto"/>
        </w:pBdr>
        <w:tabs>
          <w:tab w:val="left" w:pos="426"/>
        </w:tabs>
      </w:pPr>
    </w:p>
    <w:p w14:paraId="00A252BB" w14:textId="1C0638A2" w:rsidR="002419FB" w:rsidRPr="002419FB" w:rsidRDefault="002419FB" w:rsidP="006F02CE">
      <w:pPr>
        <w:pBdr>
          <w:top w:val="single" w:sz="4" w:space="1" w:color="auto"/>
          <w:left w:val="single" w:sz="4" w:space="4" w:color="auto"/>
          <w:bottom w:val="single" w:sz="4" w:space="1" w:color="auto"/>
          <w:right w:val="single" w:sz="4" w:space="4" w:color="auto"/>
        </w:pBdr>
        <w:tabs>
          <w:tab w:val="left" w:pos="426"/>
        </w:tabs>
        <w:rPr>
          <w:b/>
        </w:rPr>
      </w:pPr>
      <w:r w:rsidRPr="002419FB">
        <w:rPr>
          <w:b/>
        </w:rPr>
        <w:t>Produit 3 :</w:t>
      </w:r>
    </w:p>
    <w:p w14:paraId="06D61648" w14:textId="45BEBB6B" w:rsidR="002419FB" w:rsidRDefault="002419FB" w:rsidP="00353A8C">
      <w:pPr>
        <w:pStyle w:val="Paragraphedeliste"/>
        <w:numPr>
          <w:ilvl w:val="0"/>
          <w:numId w:val="22"/>
        </w:numPr>
        <w:pBdr>
          <w:top w:val="single" w:sz="4" w:space="1" w:color="auto"/>
          <w:left w:val="single" w:sz="4" w:space="4" w:color="auto"/>
          <w:bottom w:val="single" w:sz="4" w:space="1" w:color="auto"/>
          <w:right w:val="single" w:sz="4" w:space="4" w:color="auto"/>
        </w:pBdr>
        <w:tabs>
          <w:tab w:val="left" w:pos="426"/>
        </w:tabs>
        <w:ind w:left="0" w:firstLine="0"/>
      </w:pPr>
      <w:r w:rsidRPr="002419FB">
        <w:lastRenderedPageBreak/>
        <w:t>Mise en place d’un Mécanisme de concertation et de suivi des recommandations formulées dans les rapports de contrôle.</w:t>
      </w:r>
    </w:p>
    <w:p w14:paraId="5459F823" w14:textId="77777777" w:rsidR="002419FB" w:rsidRDefault="002419FB" w:rsidP="006F02CE">
      <w:pPr>
        <w:pBdr>
          <w:top w:val="single" w:sz="4" w:space="1" w:color="auto"/>
          <w:left w:val="single" w:sz="4" w:space="4" w:color="auto"/>
          <w:bottom w:val="single" w:sz="4" w:space="1" w:color="auto"/>
          <w:right w:val="single" w:sz="4" w:space="4" w:color="auto"/>
        </w:pBdr>
        <w:tabs>
          <w:tab w:val="left" w:pos="426"/>
        </w:tabs>
      </w:pPr>
    </w:p>
    <w:p w14:paraId="22537353" w14:textId="02EE5685" w:rsidR="002419FB" w:rsidRPr="002419FB" w:rsidRDefault="002419FB" w:rsidP="006F02CE">
      <w:pPr>
        <w:pBdr>
          <w:top w:val="single" w:sz="4" w:space="1" w:color="auto"/>
          <w:left w:val="single" w:sz="4" w:space="4" w:color="auto"/>
          <w:bottom w:val="single" w:sz="4" w:space="1" w:color="auto"/>
          <w:right w:val="single" w:sz="4" w:space="4" w:color="auto"/>
        </w:pBdr>
        <w:tabs>
          <w:tab w:val="left" w:pos="426"/>
        </w:tabs>
        <w:rPr>
          <w:b/>
        </w:rPr>
      </w:pPr>
      <w:r w:rsidRPr="002419FB">
        <w:rPr>
          <w:b/>
        </w:rPr>
        <w:t xml:space="preserve">Produit 4 : </w:t>
      </w:r>
    </w:p>
    <w:p w14:paraId="2A586422" w14:textId="77777777" w:rsidR="002419FB" w:rsidRDefault="002419FB" w:rsidP="00353A8C">
      <w:pPr>
        <w:pStyle w:val="Paragraphedeliste"/>
        <w:numPr>
          <w:ilvl w:val="0"/>
          <w:numId w:val="21"/>
        </w:numPr>
        <w:pBdr>
          <w:top w:val="single" w:sz="4" w:space="1" w:color="auto"/>
          <w:left w:val="single" w:sz="4" w:space="4" w:color="auto"/>
          <w:bottom w:val="single" w:sz="4" w:space="1" w:color="auto"/>
          <w:right w:val="single" w:sz="4" w:space="4" w:color="auto"/>
        </w:pBdr>
        <w:tabs>
          <w:tab w:val="left" w:pos="426"/>
        </w:tabs>
        <w:ind w:left="0" w:firstLine="0"/>
      </w:pPr>
      <w:r w:rsidRPr="002419FB">
        <w:t>Elaboration d’une Stratégie et d’outils de communication, d’éducation et de sensibilisation en matière de lutte contre la Corruption.</w:t>
      </w:r>
      <w:r w:rsidRPr="002419FB">
        <w:tab/>
      </w:r>
    </w:p>
    <w:p w14:paraId="4460153B" w14:textId="4E990DEA" w:rsidR="002419FB" w:rsidRDefault="002419FB" w:rsidP="00353A8C">
      <w:pPr>
        <w:pStyle w:val="Paragraphedeliste"/>
        <w:numPr>
          <w:ilvl w:val="0"/>
          <w:numId w:val="21"/>
        </w:numPr>
        <w:pBdr>
          <w:top w:val="single" w:sz="4" w:space="1" w:color="auto"/>
          <w:left w:val="single" w:sz="4" w:space="4" w:color="auto"/>
          <w:bottom w:val="single" w:sz="4" w:space="1" w:color="auto"/>
          <w:right w:val="single" w:sz="4" w:space="4" w:color="auto"/>
        </w:pBdr>
        <w:tabs>
          <w:tab w:val="left" w:pos="426"/>
        </w:tabs>
        <w:ind w:left="0" w:firstLine="0"/>
      </w:pPr>
      <w:r w:rsidRPr="002419FB">
        <w:t>Réalisation d’une étude sur le rôle de la société civile et des m</w:t>
      </w:r>
      <w:r>
        <w:t>é</w:t>
      </w:r>
      <w:r w:rsidRPr="002419FB">
        <w:t>dias en matière de suivi des finances publiques et de monitoring de la corruption, et appui au renforcement des capacités de cette dernière.</w:t>
      </w:r>
    </w:p>
    <w:p w14:paraId="1BDB5F3B" w14:textId="77777777" w:rsidR="002419FB" w:rsidRDefault="002419FB" w:rsidP="00B47B23"/>
    <w:p w14:paraId="36E1A4E7" w14:textId="5CEA475D" w:rsidR="00370E68" w:rsidRDefault="00370E68" w:rsidP="004A64DA">
      <w:pPr>
        <w:pStyle w:val="Commentaire"/>
      </w:pPr>
      <w:r w:rsidRPr="003B4C1F">
        <w:rPr>
          <w:sz w:val="21"/>
          <w:szCs w:val="21"/>
        </w:rPr>
        <w:t xml:space="preserve">Dans plusieurs cas (audits de la Cour des Comptes, inspections de l’IGE, descentes de la Cour Anti-Corruption), le projet a financé directement des activités opérationnelles, </w:t>
      </w:r>
      <w:r w:rsidR="003B4C1F" w:rsidRPr="003B4C1F">
        <w:rPr>
          <w:sz w:val="21"/>
          <w:szCs w:val="21"/>
        </w:rPr>
        <w:t>outre le</w:t>
      </w:r>
      <w:r w:rsidRPr="003B4C1F">
        <w:rPr>
          <w:sz w:val="21"/>
          <w:szCs w:val="21"/>
        </w:rPr>
        <w:t xml:space="preserve"> renforcement des capacités, compte tenu du manque de moyens des institutions. </w:t>
      </w:r>
      <w:r w:rsidR="003B4C1F" w:rsidRPr="003B4C1F">
        <w:rPr>
          <w:sz w:val="21"/>
          <w:szCs w:val="21"/>
        </w:rPr>
        <w:t>Le renforcement des capacités faisait aussi partie des objectifs du projet : insertion des ISLAC dans leur environnement interne et externe (accompagnement dans l’accomplissement de leurs missions). Pour la Cour des Comptes, les descentes ont été précédé par de vrais interventions de renforcement des capacités, avec production de manuels et de guides.</w:t>
      </w:r>
      <w:r w:rsidR="003B4C1F">
        <w:t xml:space="preserve"> </w:t>
      </w:r>
    </w:p>
    <w:p w14:paraId="44245DD6" w14:textId="77777777" w:rsidR="00370E68" w:rsidRDefault="00370E68" w:rsidP="00B47B23"/>
    <w:p w14:paraId="1A6AA90A" w14:textId="7A87768C" w:rsidR="006239AE" w:rsidRDefault="00B47B23" w:rsidP="00117A2F">
      <w:r>
        <w:t xml:space="preserve">Le projet a permis d’augmenter les descentes sur le terrain de </w:t>
      </w:r>
      <w:r w:rsidRPr="00BE7303">
        <w:rPr>
          <w:b/>
        </w:rPr>
        <w:t>la Cour Anti-corruption</w:t>
      </w:r>
      <w:r>
        <w:t xml:space="preserve"> pour que le prévenu reçoive une copie de l’arrêté directement</w:t>
      </w:r>
      <w:r w:rsidR="00EC2517">
        <w:t xml:space="preserve"> le jour même </w:t>
      </w:r>
      <w:r w:rsidR="00A35686">
        <w:t>de la décision</w:t>
      </w:r>
      <w:r>
        <w:t xml:space="preserve">. Il y avait auparavant une descente par trimestre quand il y en a désormais une par mois. </w:t>
      </w:r>
      <w:r w:rsidR="005F2BF7">
        <w:t>Le budget alloué par l’Etat pour les descentes permet de couvrir de 5 jours</w:t>
      </w:r>
      <w:r w:rsidR="003E0C80">
        <w:t xml:space="preserve"> par mois, ce qui permet de traiter 10/16 arrêts, quand 25 à 30 arrêts sont émis par mois, ce que le financement PNUD permet de compenser afin d’éviter les arriérés. Le caractère du financement de ces descentes est nécessaire notamment car souvent si quelqu’un est poursuivi pour détournement, il sera muté à l’intérieur du pays.</w:t>
      </w:r>
      <w:r w:rsidR="005F2BF7">
        <w:t xml:space="preserve"> </w:t>
      </w:r>
    </w:p>
    <w:p w14:paraId="3DB80E9C" w14:textId="43013BC0" w:rsidR="00BB3131" w:rsidRDefault="00B47B23" w:rsidP="00117A2F">
      <w:r>
        <w:t xml:space="preserve">Le matériel informatique fourni a aussi permis de réduire les tâches à effectuer, et d’accélérer les délais, selon les acteurs concernés. Il y avait auparavant des arriérés judiciaires de 10 ans, qui ont pu être allégés. </w:t>
      </w:r>
      <w:r w:rsidR="006239AE">
        <w:t xml:space="preserve">La conservation des données et archives a été améliorée, </w:t>
      </w:r>
      <w:proofErr w:type="gramStart"/>
      <w:r w:rsidR="006239AE">
        <w:t>suite aux</w:t>
      </w:r>
      <w:proofErr w:type="gramEnd"/>
      <w:r w:rsidR="006239AE">
        <w:t xml:space="preserve"> conseils d’experts, et la disparition des dossiers a également diminué.</w:t>
      </w:r>
    </w:p>
    <w:p w14:paraId="2773406B" w14:textId="0AAE25E9" w:rsidR="0012206B" w:rsidRDefault="0012206B" w:rsidP="00117A2F">
      <w:r>
        <w:t xml:space="preserve"> </w:t>
      </w:r>
    </w:p>
    <w:p w14:paraId="55F1212D" w14:textId="531052D0" w:rsidR="006239AE" w:rsidRDefault="006239AE" w:rsidP="00117A2F">
      <w:r>
        <w:t>Les capacités ont été renforcées au niveau des commissariats régionaux</w:t>
      </w:r>
      <w:r w:rsidR="00510F63">
        <w:t xml:space="preserve"> (au nombre de 9 avec chacun de 2 à 6 officiers en charge des questions de corruption)</w:t>
      </w:r>
      <w:r>
        <w:t xml:space="preserve"> </w:t>
      </w:r>
      <w:r w:rsidR="000538A0">
        <w:t>afin de réduire les imperfections qu’ils faisaient dans les instructions préliminaires, tous les officiers ont été mutés dans d’autres services cependant.</w:t>
      </w:r>
      <w:r w:rsidR="00510F63">
        <w:t xml:space="preserve"> Ils </w:t>
      </w:r>
      <w:r w:rsidR="00510F63" w:rsidRPr="00C0132D">
        <w:t>n’étaient / ne sont pas tous des policiers, comme les aspects du sujet sont multiples, et faisaient l’instr</w:t>
      </w:r>
      <w:r w:rsidR="00510F63">
        <w:t>uction dans tou</w:t>
      </w:r>
      <w:r w:rsidR="00E10547">
        <w:t>t</w:t>
      </w:r>
      <w:r w:rsidR="00510F63">
        <w:t>es les matières.</w:t>
      </w:r>
    </w:p>
    <w:p w14:paraId="4E772A8E" w14:textId="5C882E1B" w:rsidR="00E10547" w:rsidRDefault="00E10547" w:rsidP="00117A2F"/>
    <w:p w14:paraId="0CBFD0F1" w14:textId="4ACB237E" w:rsidR="00A35686" w:rsidRDefault="00A35686" w:rsidP="00117A2F">
      <w:r>
        <w:t>Une analyse a été réalisée pour les 10 ans de la Cour Anti-corruption en novembre 2017. Les statistiques font mention de 1721 arrêtés rendus jusqu’en Novembre 2017, pour 1914 affaires inscrites. 580 arrêts sont en voie d’appel. Il n’y a pas de données sur le taux d’acquittement par la Cour Suprême. Les cas concernent essentiellement détournement, gestion frauduleuse, concussion / paiement sans prestation / existence de fonctionnaires imaginaires.</w:t>
      </w:r>
      <w:r w:rsidR="0081640F">
        <w:t xml:space="preserve"> L’élément matériel en lien avec l’enrichissement illicite est mal défini dans la loi et donc ne peut être poursuivi.</w:t>
      </w:r>
      <w:r w:rsidR="00222C3E">
        <w:t xml:space="preserve"> </w:t>
      </w:r>
    </w:p>
    <w:p w14:paraId="01D8AD09" w14:textId="2E0F27C7" w:rsidR="00A35686" w:rsidRDefault="00A35686" w:rsidP="00117A2F"/>
    <w:p w14:paraId="3C355962" w14:textId="77777777" w:rsidR="00FF0261" w:rsidRDefault="00FF0261" w:rsidP="00117A2F"/>
    <w:p w14:paraId="3C8ED971" w14:textId="7B09A614" w:rsidR="00A35686" w:rsidRDefault="00A35686" w:rsidP="00117A2F">
      <w:pPr>
        <w:rPr>
          <w:b/>
        </w:rPr>
      </w:pPr>
      <w:r w:rsidRPr="00A35686">
        <w:rPr>
          <w:b/>
        </w:rPr>
        <w:t>IGE</w:t>
      </w:r>
    </w:p>
    <w:p w14:paraId="526DC3C2" w14:textId="77777777" w:rsidR="00FF0261" w:rsidRPr="00A35686" w:rsidRDefault="00FF0261" w:rsidP="00117A2F">
      <w:pPr>
        <w:rPr>
          <w:b/>
        </w:rPr>
      </w:pPr>
    </w:p>
    <w:p w14:paraId="3FADD1E5" w14:textId="42CB57F5" w:rsidR="003A6A29" w:rsidRDefault="00CD34CE" w:rsidP="00117A2F">
      <w:r w:rsidRPr="00CD34CE">
        <w:rPr>
          <w:noProof/>
          <w:highlight w:val="yellow"/>
        </w:rPr>
        <w:drawing>
          <wp:anchor distT="0" distB="0" distL="114300" distR="114300" simplePos="0" relativeHeight="251666432" behindDoc="0" locked="0" layoutInCell="1" allowOverlap="1" wp14:anchorId="4CAB9CF7" wp14:editId="285A2BC1">
            <wp:simplePos x="0" y="0"/>
            <wp:positionH relativeFrom="margin">
              <wp:align>right</wp:align>
            </wp:positionH>
            <wp:positionV relativeFrom="paragraph">
              <wp:posOffset>1411605</wp:posOffset>
            </wp:positionV>
            <wp:extent cx="2651760" cy="1363345"/>
            <wp:effectExtent l="0" t="0" r="0" b="825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A29">
        <w:t>Le financement d’audits a permis l’élargissement des acteurs, et de contribuer à promouvoir les normes de gestion de la chose publique / normes internationales de contrôle au sein des différentes institutions</w:t>
      </w:r>
      <w:r w:rsidR="00FF7C53">
        <w:t>,</w:t>
      </w:r>
      <w:r w:rsidR="00590D4B">
        <w:t xml:space="preserve"> notamment</w:t>
      </w:r>
      <w:r w:rsidR="00FF7C53">
        <w:t xml:space="preserve"> la tenue des documents et la gestion des actifs</w:t>
      </w:r>
      <w:r w:rsidR="00593A35">
        <w:t>, ainsi que de clarifier les rôles et compétences, et limiter le cumul des fonctions</w:t>
      </w:r>
      <w:r w:rsidR="003A6A29">
        <w:t>.</w:t>
      </w:r>
      <w:r w:rsidR="007D7B35">
        <w:t xml:space="preserve"> </w:t>
      </w:r>
      <w:r w:rsidR="00590D4B">
        <w:t>Le niveau croissant de sensibilisation / information joue aussi un rôle en matière de prévention. Le projet a ciblé l</w:t>
      </w:r>
      <w:r w:rsidR="00593A35">
        <w:t xml:space="preserve">es contrôleurs internes au sein des différentes structures étatiques. </w:t>
      </w:r>
      <w:r w:rsidR="00590D4B">
        <w:t>De plus, t</w:t>
      </w:r>
      <w:r w:rsidR="007D7B35">
        <w:t xml:space="preserve">outes les </w:t>
      </w:r>
      <w:r w:rsidR="007D7B35">
        <w:lastRenderedPageBreak/>
        <w:t>communes, sauf dans la région Est, ont par ailleurs été formées aux procédures budgétaires et comptables et à la gestion des marchés publics, ce qui leur permet maintenant d’être « au même diapason ». Toutefois, le personnel communal n’est pas stable car il a un mandat politique</w:t>
      </w:r>
      <w:r w:rsidR="002A716F">
        <w:t xml:space="preserve"> comme membre des conseil municipaux et les contractuels bougent beaucoup (vers les ONG notamment si l’occasion se présente), ce qui complique donc la pérennisation des acquis</w:t>
      </w:r>
      <w:r w:rsidR="007D7B35">
        <w:t>.</w:t>
      </w:r>
      <w:r w:rsidR="00593A35">
        <w:t xml:space="preserve"> En outre, les communes ont parfois été formés à des paliers différents.</w:t>
      </w:r>
      <w:r w:rsidR="002A716F">
        <w:t xml:space="preserve"> </w:t>
      </w:r>
      <w:r w:rsidR="00B0580E">
        <w:t xml:space="preserve">L’IGE a </w:t>
      </w:r>
      <w:r w:rsidR="002A716F">
        <w:t>aussi</w:t>
      </w:r>
      <w:r w:rsidR="00B0580E">
        <w:t xml:space="preserve"> un champ de contrôle particulièrement vaste</w:t>
      </w:r>
      <w:r w:rsidR="007D7B35">
        <w:t>.</w:t>
      </w:r>
      <w:r w:rsidR="00B0580E">
        <w:t xml:space="preserve"> </w:t>
      </w:r>
    </w:p>
    <w:p w14:paraId="3E896EDF" w14:textId="62C2AB35" w:rsidR="003A6A29" w:rsidRDefault="00E842EB" w:rsidP="00117A2F">
      <w:r>
        <w:t xml:space="preserve">L’aspect genre fait aussi </w:t>
      </w:r>
      <w:r w:rsidR="004245F9">
        <w:t xml:space="preserve">l’objet de contrôle, en termes de quotas </w:t>
      </w:r>
      <w:r w:rsidR="004245F9" w:rsidRPr="00836AA0">
        <w:t>notamment, puisqu’il est inscrit dans la constitution</w:t>
      </w:r>
      <w:r w:rsidR="00CD34CE" w:rsidRPr="00836AA0">
        <w:t xml:space="preserve">. </w:t>
      </w:r>
    </w:p>
    <w:p w14:paraId="3C866E49" w14:textId="77777777" w:rsidR="005C3A4E" w:rsidRDefault="005C3A4E" w:rsidP="00117A2F"/>
    <w:p w14:paraId="74488F44" w14:textId="27876E4B" w:rsidR="00E10547" w:rsidRDefault="00603A31" w:rsidP="00117A2F">
      <w:r>
        <w:t>Le projet a financé un site internet pour l’</w:t>
      </w:r>
      <w:r w:rsidRPr="00603A31">
        <w:rPr>
          <w:b/>
        </w:rPr>
        <w:t>Autorité de Régulation des Marchés Publics</w:t>
      </w:r>
      <w:r w:rsidRPr="00975A1E">
        <w:rPr>
          <w:rStyle w:val="Appelnotedebasdep"/>
        </w:rPr>
        <w:footnoteReference w:id="5"/>
      </w:r>
      <w:r w:rsidR="00FB7BDF" w:rsidRPr="00975A1E">
        <w:t>,</w:t>
      </w:r>
      <w:r w:rsidR="00975A1E" w:rsidRPr="00975A1E">
        <w:t xml:space="preserve"> en charge du règlement des litiges, site qui fut</w:t>
      </w:r>
      <w:r w:rsidR="00FB7BDF">
        <w:rPr>
          <w:b/>
        </w:rPr>
        <w:t xml:space="preserve"> </w:t>
      </w:r>
      <w:r w:rsidR="00FB7BDF" w:rsidRPr="00FB7BDF">
        <w:t>lancé en 2017</w:t>
      </w:r>
      <w:r w:rsidR="00975A1E">
        <w:t>. Le site</w:t>
      </w:r>
      <w:r w:rsidR="00FB7BDF">
        <w:t xml:space="preserve"> inclut la publication des plans provisionnels d’appels d’offres et contribuent à la transparence </w:t>
      </w:r>
      <w:r w:rsidR="007E4952">
        <w:t xml:space="preserve">et à l’efficacité </w:t>
      </w:r>
      <w:r w:rsidR="00FB7BDF">
        <w:t>des marchés publics des différentes institutions étatiques.</w:t>
      </w:r>
      <w:r w:rsidR="007E4952">
        <w:t xml:space="preserve"> Ceci comprend aussi notamment la publication des sanctions disciplinaires des soumissionnaires et d’une liste noire.</w:t>
      </w:r>
      <w:r w:rsidR="00E459B9">
        <w:t xml:space="preserve"> Les acteurs mentionnent une augmentation des litiges depuis 2014 pour plusieurs raisons : </w:t>
      </w:r>
    </w:p>
    <w:p w14:paraId="61331B4A" w14:textId="773833B5" w:rsidR="00E459B9" w:rsidRDefault="00E459B9" w:rsidP="00353A8C">
      <w:pPr>
        <w:pStyle w:val="Paragraphedeliste"/>
        <w:numPr>
          <w:ilvl w:val="0"/>
          <w:numId w:val="7"/>
        </w:numPr>
      </w:pPr>
      <w:proofErr w:type="gramStart"/>
      <w:r>
        <w:t>les</w:t>
      </w:r>
      <w:proofErr w:type="gramEnd"/>
      <w:r>
        <w:t xml:space="preserve"> soumissionnaires ont une meilleure connaissance de leurs droits, </w:t>
      </w:r>
    </w:p>
    <w:p w14:paraId="49EF58C1" w14:textId="2CB69786" w:rsidR="00E459B9" w:rsidRDefault="00E459B9" w:rsidP="00353A8C">
      <w:pPr>
        <w:pStyle w:val="Paragraphedeliste"/>
        <w:numPr>
          <w:ilvl w:val="0"/>
          <w:numId w:val="7"/>
        </w:numPr>
      </w:pPr>
      <w:proofErr w:type="gramStart"/>
      <w:r>
        <w:t>les</w:t>
      </w:r>
      <w:proofErr w:type="gramEnd"/>
      <w:r>
        <w:t xml:space="preserve"> commissions de passation de marchés changent et les nouveaux membres ne sont pas forcément au courant des lois, </w:t>
      </w:r>
    </w:p>
    <w:p w14:paraId="0A5F26D0" w14:textId="220AD5CA" w:rsidR="00E459B9" w:rsidRDefault="00E459B9" w:rsidP="00353A8C">
      <w:pPr>
        <w:pStyle w:val="Paragraphedeliste"/>
        <w:numPr>
          <w:ilvl w:val="0"/>
          <w:numId w:val="7"/>
        </w:numPr>
      </w:pPr>
      <w:proofErr w:type="gramStart"/>
      <w:r>
        <w:t>le</w:t>
      </w:r>
      <w:proofErr w:type="gramEnd"/>
      <w:r>
        <w:t xml:space="preserve"> nombre de marchés passés</w:t>
      </w:r>
      <w:r w:rsidR="00F40565">
        <w:t xml:space="preserve"> a</w:t>
      </w:r>
      <w:r>
        <w:t xml:space="preserve"> augment</w:t>
      </w:r>
      <w:r w:rsidR="00F40565">
        <w:t>é</w:t>
      </w:r>
      <w:r>
        <w:t>.</w:t>
      </w:r>
    </w:p>
    <w:p w14:paraId="72498109" w14:textId="77777777" w:rsidR="003358DB" w:rsidRDefault="003358DB" w:rsidP="00117A2F"/>
    <w:p w14:paraId="1D10B85E" w14:textId="22C0A1BD" w:rsidR="00847FD5" w:rsidRDefault="00F40565" w:rsidP="00117A2F">
      <w:r>
        <w:t xml:space="preserve">En </w:t>
      </w:r>
      <w:r w:rsidRPr="00836AA0">
        <w:t>revanche, l</w:t>
      </w:r>
      <w:r w:rsidR="00350188" w:rsidRPr="00836AA0">
        <w:t xml:space="preserve">es recours </w:t>
      </w:r>
      <w:r w:rsidR="00836AA0" w:rsidRPr="00836AA0">
        <w:t xml:space="preserve">en cas de litiges </w:t>
      </w:r>
      <w:r w:rsidR="00350188" w:rsidRPr="00836AA0">
        <w:t>diminue</w:t>
      </w:r>
      <w:r w:rsidR="00836AA0" w:rsidRPr="00836AA0">
        <w:t>raie</w:t>
      </w:r>
      <w:r w:rsidR="00350188" w:rsidRPr="00836AA0">
        <w:t>nt</w:t>
      </w:r>
      <w:r w:rsidRPr="00836AA0">
        <w:t>.</w:t>
      </w:r>
      <w:r w:rsidR="00C02334">
        <w:t xml:space="preserve"> Le nombres de litiges et recours varie en fonction des structures étatiques. Dans le cas du Ministère de la Sécurité, il y a par exemple beaucoup de marchés et peu de recours.</w:t>
      </w:r>
      <w:r w:rsidR="003358DB">
        <w:t xml:space="preserve"> </w:t>
      </w:r>
      <w:r w:rsidR="00847FD5">
        <w:t>L’ARMP a par ailleurs contribué à la sensibilisation des différents acteurs, notamment certains policiers, et a élaboré un</w:t>
      </w:r>
      <w:r w:rsidR="0083694F">
        <w:t xml:space="preserve"> code d’éthique et de déontologie</w:t>
      </w:r>
      <w:r w:rsidR="00847FD5">
        <w:t xml:space="preserve"> qui est en attente de validation par le Président.</w:t>
      </w:r>
    </w:p>
    <w:p w14:paraId="46D91480" w14:textId="77777777" w:rsidR="00350188" w:rsidRDefault="00350188" w:rsidP="00117A2F"/>
    <w:p w14:paraId="5C753A5B" w14:textId="5190CEBC" w:rsidR="00E10547" w:rsidRDefault="00E10547" w:rsidP="00117A2F">
      <w:r>
        <w:t xml:space="preserve">La </w:t>
      </w:r>
      <w:r w:rsidRPr="00033066">
        <w:rPr>
          <w:b/>
        </w:rPr>
        <w:t>Cour des Comptes</w:t>
      </w:r>
      <w:r>
        <w:t xml:space="preserve"> n’a pas de ministère de tutelle</w:t>
      </w:r>
      <w:r w:rsidR="00033066">
        <w:t xml:space="preserve"> et n’est donc pas directement liée au Ministère de la Bonne Gouvernance qui met en place le projet</w:t>
      </w:r>
      <w:r>
        <w:t xml:space="preserve">. </w:t>
      </w:r>
      <w:r w:rsidR="00400EB5">
        <w:t>La Cour des Comptes n’est pas membre de l’INTOSAI</w:t>
      </w:r>
      <w:r w:rsidR="003546DE">
        <w:t>, ce qui limite donc son exposition à l’international,</w:t>
      </w:r>
      <w:r w:rsidR="00400EB5">
        <w:t xml:space="preserve"> puisque l</w:t>
      </w:r>
      <w:r w:rsidR="003546DE">
        <w:t>a place a été occupée par l’</w:t>
      </w:r>
      <w:r w:rsidR="00400EB5">
        <w:t xml:space="preserve">IGF (qui a précédé l’IGE). </w:t>
      </w:r>
      <w:r>
        <w:t xml:space="preserve">Grâce au projet, une quinzaine de communes ont pu être contrôlées. Le suivi de ces contrôles a été fait pour </w:t>
      </w:r>
      <w:r w:rsidR="005C3A4E">
        <w:t>deux</w:t>
      </w:r>
      <w:r>
        <w:t xml:space="preserve"> communes, dans lesquelles 80% des recommandations ont été appliquées, selon la Cour. </w:t>
      </w:r>
      <w:r w:rsidR="00881380">
        <w:t xml:space="preserve">Les activités financées ont eu des applications directes puisqu’elles concernaient </w:t>
      </w:r>
      <w:r w:rsidR="004D4A10">
        <w:t xml:space="preserve">aussi des formations à l’analyse financière et l’élaboration de manuels de formation, qui sont utilisés pour l’analyse annuelle du projet de loi de finances. </w:t>
      </w:r>
      <w:r w:rsidR="0021297E">
        <w:t>Certains ministères et entreprises étatiques ou hôpitaux</w:t>
      </w:r>
      <w:r w:rsidR="00D22F5C">
        <w:t xml:space="preserve"> ont aussi été audités</w:t>
      </w:r>
      <w:r w:rsidR="0021297E">
        <w:t>, ce qui constitue aussi des outils précieux pour renforcer la bonne gouvernance, limiter la corruption et identifier les malversations éventuelles.</w:t>
      </w:r>
      <w:r w:rsidR="00D22F5C">
        <w:t xml:space="preserve"> Cela reste toutefois limité, et il reste de nombreuses structures pour lesquelles un audit serait utile, </w:t>
      </w:r>
      <w:r w:rsidR="00D22F5C" w:rsidRPr="00C0132D">
        <w:t>par exemple l’association sucrière du Burundi, ou la question des locations du parc immobilier appartenant à l’Etat.</w:t>
      </w:r>
    </w:p>
    <w:p w14:paraId="708FAC52" w14:textId="2E85393D" w:rsidR="00E10547" w:rsidRDefault="00E10547" w:rsidP="00117A2F">
      <w:r>
        <w:t xml:space="preserve">Tous les rapports de la Cour des Comptes sont publics et publiés sur internet. </w:t>
      </w:r>
    </w:p>
    <w:p w14:paraId="47F1B027" w14:textId="44B821E0" w:rsidR="00E10547" w:rsidRDefault="00E10547" w:rsidP="00117A2F">
      <w:r>
        <w:t>Les membres de la Cour changent relativement fréquemment, même s’ils sont normalement en poste pour 7 ans. Le budget de la Cour a baissé au cour</w:t>
      </w:r>
      <w:r w:rsidR="00881380">
        <w:t>s</w:t>
      </w:r>
      <w:r>
        <w:t xml:space="preserve"> des dernières années.</w:t>
      </w:r>
    </w:p>
    <w:p w14:paraId="7BF6C7F3" w14:textId="7ECE2AA3" w:rsidR="00E10547" w:rsidRDefault="00836AA0" w:rsidP="00117A2F">
      <w:r w:rsidRPr="00836AA0">
        <w:rPr>
          <w:noProof/>
        </w:rPr>
        <w:drawing>
          <wp:anchor distT="0" distB="0" distL="114300" distR="114300" simplePos="0" relativeHeight="251667456" behindDoc="1" locked="0" layoutInCell="1" allowOverlap="1" wp14:anchorId="7BFDCBDA" wp14:editId="4BF66640">
            <wp:simplePos x="0" y="0"/>
            <wp:positionH relativeFrom="column">
              <wp:posOffset>2988945</wp:posOffset>
            </wp:positionH>
            <wp:positionV relativeFrom="paragraph">
              <wp:posOffset>412</wp:posOffset>
            </wp:positionV>
            <wp:extent cx="2884170" cy="824865"/>
            <wp:effectExtent l="0" t="0" r="0" b="0"/>
            <wp:wrapTight wrapText="bothSides">
              <wp:wrapPolygon edited="0">
                <wp:start x="0" y="0"/>
                <wp:lineTo x="0" y="20952"/>
                <wp:lineTo x="21400" y="20952"/>
                <wp:lineTo x="2140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170" cy="824865"/>
                    </a:xfrm>
                    <a:prstGeom prst="rect">
                      <a:avLst/>
                    </a:prstGeom>
                    <a:noFill/>
                    <a:ln>
                      <a:noFill/>
                    </a:ln>
                  </pic:spPr>
                </pic:pic>
              </a:graphicData>
            </a:graphic>
          </wp:anchor>
        </w:drawing>
      </w:r>
      <w:r w:rsidR="00033066">
        <w:t xml:space="preserve">L’absence </w:t>
      </w:r>
      <w:r w:rsidR="00033066" w:rsidRPr="00836AA0">
        <w:t>de pouvoir juridictionnel de la Cour des Comptes - avait constitué</w:t>
      </w:r>
      <w:r w:rsidR="00033066">
        <w:t xml:space="preserve"> un obstacle pendant un certain temps, mais il a été restauré avec l’article 183 de la nouvelle Constitution (il était auparavant défini dans l’article 178). </w:t>
      </w:r>
    </w:p>
    <w:p w14:paraId="410BD6CB" w14:textId="072C34E3" w:rsidR="00881380" w:rsidRDefault="00881380" w:rsidP="00117A2F">
      <w:r>
        <w:t>Plusieurs acteurs interrogés ont indiqué leur appréciation sur l</w:t>
      </w:r>
      <w:r w:rsidR="004D4A10">
        <w:t>es analyses fournies par la Cour des Comptes, sur le budget de l’Etat notamment</w:t>
      </w:r>
      <w:r>
        <w:t>,</w:t>
      </w:r>
      <w:r w:rsidR="004D4A10">
        <w:t xml:space="preserve"> ce qui</w:t>
      </w:r>
      <w:r>
        <w:t xml:space="preserve"> perçu comme un signal positif sur les progrès en matière de gouvernance.</w:t>
      </w:r>
      <w:r w:rsidR="004D4A10">
        <w:t xml:space="preserve"> Le niveau d’application des recommandations de la Cour des Comptes n’est toutefois pas clairement mesuré.</w:t>
      </w:r>
    </w:p>
    <w:p w14:paraId="2D777447" w14:textId="77777777" w:rsidR="00C02334" w:rsidRDefault="00C02334" w:rsidP="00117A2F"/>
    <w:p w14:paraId="14F45BD9" w14:textId="7680CF4B" w:rsidR="00C02334" w:rsidRDefault="00C02334" w:rsidP="00117A2F">
      <w:r>
        <w:t>Ces différentes structures jouent un rôle pour référer des cas à la BSAC, même si les statistiques en la matière ne sont pas disponibles.</w:t>
      </w:r>
    </w:p>
    <w:p w14:paraId="469D589F" w14:textId="1D5DA6A7" w:rsidR="00DD02ED" w:rsidRDefault="00DD02ED" w:rsidP="00117A2F"/>
    <w:p w14:paraId="2CCF14CF" w14:textId="7EE17120" w:rsidR="00DD02ED" w:rsidRDefault="00DD02ED" w:rsidP="00117A2F">
      <w:r>
        <w:lastRenderedPageBreak/>
        <w:t>Au-delà des enquêtes, la BSAC a contribué à la création de club anti-corruption, dans les écoles notamment, et un guide de formation des club anti-corruption a été élaboré.</w:t>
      </w:r>
      <w:r w:rsidR="004E050E">
        <w:t xml:space="preserve"> Le plan d’action mentionne le traitement de 120 dossiers en 2017 et 150 en 2018. Le suivi des dossiers pose cependant question comme il n’y a pas de logiciel spécifique, ce qui peut occasionner la perte des dossiers.</w:t>
      </w:r>
      <w:r w:rsidR="001D58D0">
        <w:t xml:space="preserve"> </w:t>
      </w:r>
    </w:p>
    <w:p w14:paraId="66418470" w14:textId="77777777" w:rsidR="00C02334" w:rsidRDefault="00C02334" w:rsidP="00117A2F"/>
    <w:p w14:paraId="1C42842A" w14:textId="6AB89D43" w:rsidR="00222C3E" w:rsidRDefault="00737FEC" w:rsidP="00222C3E">
      <w:r>
        <w:t xml:space="preserve">Les acteurs rencontrés indiquent aussi des résultats à différents niveaux. </w:t>
      </w:r>
      <w:r w:rsidR="00222C3E">
        <w:t xml:space="preserve">La BSAC indique aussi une meilleure collaboration avec la population et une </w:t>
      </w:r>
      <w:r w:rsidR="00222C3E" w:rsidRPr="00BE7303">
        <w:rPr>
          <w:b/>
        </w:rPr>
        <w:t>augmentation des cas de dénonciation</w:t>
      </w:r>
      <w:r w:rsidR="00222C3E">
        <w:t xml:space="preserve"> </w:t>
      </w:r>
      <w:proofErr w:type="gramStart"/>
      <w:r w:rsidR="00222C3E">
        <w:t>suite aux</w:t>
      </w:r>
      <w:proofErr w:type="gramEnd"/>
      <w:r w:rsidR="00222C3E">
        <w:t xml:space="preserve"> sensibilisations réalisées, dans les écoles notamment</w:t>
      </w:r>
      <w:r w:rsidR="00DD02ED">
        <w:t>, avec maintenant près de 10 cas de dénonciation / jour à Bujumbura seulement</w:t>
      </w:r>
      <w:r w:rsidR="004E050E">
        <w:t>, y compris au niveau des plus hautes institutions</w:t>
      </w:r>
      <w:r w:rsidR="00222C3E">
        <w:t>. Le nombre de cas traités est aussi en expansion, selon les institutions, et le projet a appuyé – parfois en finançant directement les actions des institutions - l’augmentation des audits et des contrôles de structures publiques.</w:t>
      </w:r>
    </w:p>
    <w:p w14:paraId="77E39F94" w14:textId="1B103205" w:rsidR="00737FEC" w:rsidRPr="00E71915" w:rsidRDefault="00222C3E" w:rsidP="00E71915">
      <w:pPr>
        <w:pStyle w:val="NormalWeb"/>
        <w:jc w:val="both"/>
        <w:rPr>
          <w:rFonts w:ascii="Arial" w:eastAsia="Times New Roman" w:hAnsi="Arial" w:cs="Arial"/>
          <w:sz w:val="21"/>
          <w:szCs w:val="21"/>
        </w:rPr>
      </w:pPr>
      <w:r w:rsidRPr="00E71915">
        <w:rPr>
          <w:rFonts w:ascii="Arial" w:hAnsi="Arial" w:cs="Arial"/>
          <w:sz w:val="21"/>
          <w:szCs w:val="21"/>
        </w:rPr>
        <w:t>Le</w:t>
      </w:r>
      <w:r w:rsidR="00737FEC" w:rsidRPr="00E71915">
        <w:rPr>
          <w:rFonts w:ascii="Arial" w:hAnsi="Arial" w:cs="Arial"/>
          <w:sz w:val="21"/>
          <w:szCs w:val="21"/>
        </w:rPr>
        <w:t xml:space="preserve">s </w:t>
      </w:r>
      <w:r w:rsidR="00737FEC" w:rsidRPr="00E71915">
        <w:rPr>
          <w:rFonts w:ascii="Arial" w:hAnsi="Arial" w:cs="Arial"/>
          <w:b/>
          <w:sz w:val="21"/>
          <w:szCs w:val="21"/>
        </w:rPr>
        <w:t>recouvrements</w:t>
      </w:r>
      <w:r w:rsidR="00737FEC" w:rsidRPr="00E71915">
        <w:rPr>
          <w:rFonts w:ascii="Arial" w:hAnsi="Arial" w:cs="Arial"/>
          <w:sz w:val="21"/>
          <w:szCs w:val="21"/>
        </w:rPr>
        <w:t xml:space="preserve"> réalisés par la BSAC et la Cour Anti-corruption sont significatifs, avec par exemple </w:t>
      </w:r>
      <w:r w:rsidR="006239AE" w:rsidRPr="00E71915">
        <w:rPr>
          <w:rFonts w:ascii="Arial" w:hAnsi="Arial" w:cs="Arial"/>
          <w:sz w:val="21"/>
          <w:szCs w:val="21"/>
        </w:rPr>
        <w:t>1 milliard de FBU</w:t>
      </w:r>
      <w:r w:rsidR="00737FEC" w:rsidRPr="00E71915">
        <w:rPr>
          <w:rFonts w:ascii="Arial" w:hAnsi="Arial" w:cs="Arial"/>
          <w:sz w:val="21"/>
          <w:szCs w:val="21"/>
        </w:rPr>
        <w:t xml:space="preserve"> depuis janvier 20</w:t>
      </w:r>
      <w:r w:rsidR="005110FF" w:rsidRPr="00E71915">
        <w:rPr>
          <w:rFonts w:ascii="Arial" w:hAnsi="Arial" w:cs="Arial"/>
          <w:sz w:val="21"/>
          <w:szCs w:val="21"/>
        </w:rPr>
        <w:t>18</w:t>
      </w:r>
      <w:r w:rsidR="00E71915" w:rsidRPr="00E71915">
        <w:rPr>
          <w:rFonts w:ascii="Arial" w:hAnsi="Arial" w:cs="Arial"/>
          <w:sz w:val="21"/>
          <w:szCs w:val="21"/>
        </w:rPr>
        <w:t>, un dynamique qui se poursuit depuis de nombreuses années</w:t>
      </w:r>
      <w:r w:rsidR="005110FF" w:rsidRPr="00E71915">
        <w:rPr>
          <w:rStyle w:val="Appelnotedebasdep"/>
          <w:rFonts w:ascii="Arial" w:hAnsi="Arial" w:cs="Arial"/>
          <w:sz w:val="21"/>
          <w:szCs w:val="21"/>
        </w:rPr>
        <w:footnoteReference w:id="6"/>
      </w:r>
      <w:r w:rsidR="00E71915" w:rsidRPr="00E71915">
        <w:rPr>
          <w:rFonts w:ascii="Arial" w:hAnsi="Arial" w:cs="Arial"/>
          <w:sz w:val="21"/>
          <w:szCs w:val="21"/>
        </w:rPr>
        <w:t>, avec une augmentation entre 2017 et 2018 :</w:t>
      </w:r>
      <w:r w:rsidR="00E71915" w:rsidRPr="00E71915">
        <w:rPr>
          <w:rFonts w:ascii="Arial" w:eastAsia="Times New Roman" w:hAnsi="Arial" w:cs="Arial"/>
          <w:b/>
          <w:bCs/>
          <w:sz w:val="21"/>
          <w:szCs w:val="21"/>
        </w:rPr>
        <w:t xml:space="preserve"> 1/  à la Cour Anti-Corruption,</w:t>
      </w:r>
      <w:r w:rsidR="00E71915" w:rsidRPr="00E71915">
        <w:rPr>
          <w:rFonts w:ascii="Arial" w:eastAsia="Times New Roman" w:hAnsi="Arial" w:cs="Arial"/>
          <w:sz w:val="21"/>
          <w:szCs w:val="21"/>
        </w:rPr>
        <w:t xml:space="preserve">  le montant recouvré est de 575.196.133 Francs bu (322.238,73 US Dollars) au 1er semestre 2018 contre 170.238.550 Francs bu (95.371,74 US Dollars) au 1er semestre 2017; </w:t>
      </w:r>
      <w:r w:rsidR="00E71915" w:rsidRPr="00E71915">
        <w:rPr>
          <w:rFonts w:ascii="Arial" w:eastAsia="Times New Roman" w:hAnsi="Arial" w:cs="Arial"/>
          <w:b/>
          <w:bCs/>
          <w:sz w:val="21"/>
          <w:szCs w:val="21"/>
        </w:rPr>
        <w:t>2/ au Parquet Général</w:t>
      </w:r>
      <w:r w:rsidR="00E71915" w:rsidRPr="00E71915">
        <w:rPr>
          <w:rFonts w:ascii="Arial" w:eastAsia="Times New Roman" w:hAnsi="Arial" w:cs="Arial"/>
          <w:sz w:val="21"/>
          <w:szCs w:val="21"/>
        </w:rPr>
        <w:t>, le montant recouvré est de 404.966.908 Francs bu (226.872,22 US Dollars) au 1er semestre 2018 contre 258.934.336 Francs bu (145.061,25 US Dollars)  au 1er semestre 2017. Le total est de 980.163.041 Francs bu (549.110,95 US Dollars) au 1er semestre 2018</w:t>
      </w:r>
      <w:r w:rsidR="00E71915" w:rsidRPr="00E71915">
        <w:rPr>
          <w:rStyle w:val="Appelnotedebasdep"/>
          <w:rFonts w:ascii="Arial" w:hAnsi="Arial" w:cs="Arial"/>
          <w:sz w:val="21"/>
          <w:szCs w:val="21"/>
        </w:rPr>
        <w:footnoteReference w:id="7"/>
      </w:r>
      <w:r w:rsidR="00737FEC" w:rsidRPr="00E71915">
        <w:rPr>
          <w:rFonts w:ascii="Arial" w:hAnsi="Arial" w:cs="Arial"/>
          <w:sz w:val="21"/>
          <w:szCs w:val="21"/>
        </w:rPr>
        <w:t xml:space="preserve">. </w:t>
      </w:r>
      <w:r w:rsidRPr="00E71915">
        <w:rPr>
          <w:rFonts w:ascii="Arial" w:hAnsi="Arial" w:cs="Arial"/>
          <w:sz w:val="21"/>
          <w:szCs w:val="21"/>
        </w:rPr>
        <w:t>Le nombre d’infractions identifiés et le taux de recouvrement serait en augmentation chaque année avec l’expérience acquises par les acteurs concernés.</w:t>
      </w:r>
      <w:r w:rsidR="004E050E" w:rsidRPr="00E71915">
        <w:rPr>
          <w:rFonts w:ascii="Arial" w:hAnsi="Arial" w:cs="Arial"/>
          <w:sz w:val="21"/>
          <w:szCs w:val="21"/>
        </w:rPr>
        <w:t xml:space="preserve"> On signale ainsi une augmentation des recettes de l’OBR. </w:t>
      </w:r>
    </w:p>
    <w:p w14:paraId="129BBBB3" w14:textId="6DF65861" w:rsidR="0012206B" w:rsidRPr="00E71915" w:rsidRDefault="00A731D5" w:rsidP="00117A2F">
      <w:r w:rsidRPr="00E71915">
        <w:t xml:space="preserve">Des données ont été demandées aux différentes institutions bénéficiaires pour voir l’évolution de leurs résultats, celles-ci n’ont pu être obtenues à ce jour et l’analyse à ce niveau est donc limitée. </w:t>
      </w:r>
    </w:p>
    <w:p w14:paraId="2FBCCE25" w14:textId="793D2493" w:rsidR="007C4566" w:rsidRPr="00E71915" w:rsidRDefault="007C4566" w:rsidP="00117A2F"/>
    <w:p w14:paraId="39B11204" w14:textId="6C121212" w:rsidR="007C4566" w:rsidRPr="00E71915" w:rsidRDefault="007C4566" w:rsidP="00117A2F">
      <w:r w:rsidRPr="00E71915">
        <w:t xml:space="preserve">Dans les premières années du projet, des appuis ont également été dispensés </w:t>
      </w:r>
      <w:r w:rsidR="009F1D2C" w:rsidRPr="00E71915">
        <w:t>à des OSC : REJA, Ligue Iteka, ABUCO</w:t>
      </w:r>
      <w:r w:rsidR="005C3A4E">
        <w:t>, avec l’appui aux CAJAC, pour l’assistance légale</w:t>
      </w:r>
      <w:r w:rsidR="009F1D2C" w:rsidRPr="00E71915">
        <w:t>, Force</w:t>
      </w:r>
      <w:r w:rsidR="005C3A4E">
        <w:t>. C</w:t>
      </w:r>
      <w:r w:rsidR="009F1D2C" w:rsidRPr="00E71915">
        <w:t>ertaines</w:t>
      </w:r>
      <w:r w:rsidR="005C3A4E">
        <w:t xml:space="preserve"> de ces OSC</w:t>
      </w:r>
      <w:r w:rsidR="009F1D2C" w:rsidRPr="00E71915">
        <w:t xml:space="preserve"> ont été dissoutes depuis.</w:t>
      </w:r>
    </w:p>
    <w:p w14:paraId="2D07473A" w14:textId="77777777" w:rsidR="009C2105" w:rsidRPr="00E71915" w:rsidRDefault="009C2105" w:rsidP="00117A2F">
      <w:pPr>
        <w:rPr>
          <w:b/>
        </w:rPr>
      </w:pPr>
    </w:p>
    <w:p w14:paraId="54AF7F33" w14:textId="77777777" w:rsidR="009C2105" w:rsidRDefault="009C2105" w:rsidP="00117A2F">
      <w:pPr>
        <w:rPr>
          <w:b/>
        </w:rPr>
      </w:pPr>
    </w:p>
    <w:p w14:paraId="0E98869B" w14:textId="64A718AA" w:rsidR="00317DD6" w:rsidRPr="009C2105" w:rsidRDefault="00A044A5" w:rsidP="00117A2F">
      <w:pPr>
        <w:rPr>
          <w:b/>
        </w:rPr>
      </w:pPr>
      <w:r>
        <w:rPr>
          <w:b/>
        </w:rPr>
        <w:t>Contribution aux documents-cadres nationaux</w:t>
      </w:r>
      <w:r>
        <w:rPr>
          <w:b/>
        </w:rPr>
        <w:tab/>
      </w:r>
    </w:p>
    <w:p w14:paraId="6541AC47" w14:textId="77777777" w:rsidR="00253C21" w:rsidRDefault="00253C21" w:rsidP="00253C21"/>
    <w:p w14:paraId="05A58084" w14:textId="1973D909" w:rsidR="00253C21" w:rsidRDefault="00253C21" w:rsidP="00253C21">
      <w:r>
        <w:t>Le niveau de suivi des recommandations émises par les différentes institutions de contrôles, IGE et Cour des Comptes en premier chef, devait faire l’objet d’une étude, qui n’a pu être réalisée et cet élément demeure donc incertain.</w:t>
      </w:r>
    </w:p>
    <w:p w14:paraId="07658171" w14:textId="18C63A25" w:rsidR="00253C21" w:rsidRDefault="00253C21" w:rsidP="00117A2F"/>
    <w:p w14:paraId="27E3FB58" w14:textId="61013BF1" w:rsidR="00512CB5" w:rsidRDefault="00512CB5" w:rsidP="00117A2F">
      <w:r>
        <w:t>Ni le</w:t>
      </w:r>
      <w:r w:rsidR="00EF1C2F">
        <w:t xml:space="preserve"> document de projet</w:t>
      </w:r>
      <w:r>
        <w:t>, ni le CPD, ni aucun autre document stratégique ou opérationnel sur le projet</w:t>
      </w:r>
      <w:r w:rsidR="00EF1C2F">
        <w:t xml:space="preserve"> ne f</w:t>
      </w:r>
      <w:r>
        <w:t>ont</w:t>
      </w:r>
      <w:r w:rsidR="00EF1C2F">
        <w:t xml:space="preserve"> mention de résultats attendus </w:t>
      </w:r>
      <w:r w:rsidR="00EF1C2F" w:rsidRPr="00941693">
        <w:rPr>
          <w:b/>
        </w:rPr>
        <w:t>au niveau des effets</w:t>
      </w:r>
      <w:r w:rsidR="00EF1C2F">
        <w:t xml:space="preserve">. </w:t>
      </w:r>
    </w:p>
    <w:p w14:paraId="2CFCDB88" w14:textId="6BC8267F" w:rsidR="00043A26" w:rsidRDefault="00043A26" w:rsidP="00117A2F">
      <w:r>
        <w:lastRenderedPageBreak/>
        <w:t>Dans le CPD</w:t>
      </w:r>
      <w:r w:rsidR="00512CB5">
        <w:t xml:space="preserve"> notamment</w:t>
      </w:r>
      <w:r>
        <w:t>, les indicateurs et cibles concernant le projet sont très généraux</w:t>
      </w:r>
      <w:r w:rsidR="00512CB5">
        <w:t xml:space="preserve"> et ne permettent pas un réel suivi du projet.</w:t>
      </w:r>
      <w:r>
        <w:t xml:space="preserve"> </w:t>
      </w:r>
    </w:p>
    <w:p w14:paraId="462F4EDC" w14:textId="77777777" w:rsidR="00043A26" w:rsidRDefault="00043A26" w:rsidP="00117A2F"/>
    <w:p w14:paraId="7EAB7097" w14:textId="77777777" w:rsidR="00EF1C2F" w:rsidRPr="0012206B" w:rsidRDefault="00EF1C2F" w:rsidP="00353A8C">
      <w:pPr>
        <w:numPr>
          <w:ilvl w:val="0"/>
          <w:numId w:val="8"/>
        </w:numPr>
        <w:rPr>
          <w:i/>
        </w:rPr>
      </w:pPr>
      <w:r w:rsidRPr="0012206B">
        <w:rPr>
          <w:i/>
        </w:rPr>
        <w:t xml:space="preserve">CPD. 2014-2016 : </w:t>
      </w:r>
    </w:p>
    <w:p w14:paraId="4C36ED00" w14:textId="7879B96A" w:rsidR="0012206B" w:rsidRPr="00512CB5" w:rsidRDefault="00EF1C2F" w:rsidP="00E970CE">
      <w:pPr>
        <w:rPr>
          <w:i/>
        </w:rPr>
      </w:pPr>
      <w:r w:rsidRPr="0012206B">
        <w:rPr>
          <w:i/>
        </w:rPr>
        <w:t>1.1. Les systèmes judiciaire et sécuritaire ainsi que les institutions de protection des droits de la personne humaine, de lutte contre l’impunité et de promotion de la réconciliation nationale sont performants et sensibles aux facteurs genre et VIH</w:t>
      </w:r>
      <w:r w:rsidRPr="0012206B">
        <w:rPr>
          <w:b/>
          <w:bCs/>
          <w:i/>
        </w:rPr>
        <w:t>.</w:t>
      </w:r>
    </w:p>
    <w:p w14:paraId="1A0F2E6D" w14:textId="38FFDFAE" w:rsidR="00043A26" w:rsidRPr="00E970CE" w:rsidRDefault="00043A26" w:rsidP="00E970CE">
      <w:pPr>
        <w:autoSpaceDE w:val="0"/>
        <w:autoSpaceDN w:val="0"/>
        <w:adjustRightInd w:val="0"/>
      </w:pPr>
      <w:proofErr w:type="gramStart"/>
      <w:r w:rsidRPr="00E970CE">
        <w:rPr>
          <w:b/>
          <w:bCs/>
        </w:rPr>
        <w:t>Indicateur:</w:t>
      </w:r>
      <w:proofErr w:type="gramEnd"/>
      <w:r w:rsidRPr="00E970CE">
        <w:rPr>
          <w:b/>
          <w:bCs/>
        </w:rPr>
        <w:t xml:space="preserve"> </w:t>
      </w:r>
      <w:r w:rsidRPr="00E970CE">
        <w:t>Outils modernes élaborés pour le</w:t>
      </w:r>
      <w:r w:rsidR="00E970CE" w:rsidRPr="00E970CE">
        <w:t xml:space="preserve"> </w:t>
      </w:r>
      <w:r w:rsidRPr="00E970CE">
        <w:t>contrôle et le suivi des cas de corruption</w:t>
      </w:r>
    </w:p>
    <w:p w14:paraId="06B81E97" w14:textId="4DBA368E" w:rsidR="00C92C21" w:rsidRPr="00E970CE" w:rsidRDefault="00043A26" w:rsidP="00E970CE">
      <w:pPr>
        <w:autoSpaceDE w:val="0"/>
        <w:autoSpaceDN w:val="0"/>
        <w:adjustRightInd w:val="0"/>
      </w:pPr>
      <w:proofErr w:type="gramStart"/>
      <w:r w:rsidRPr="00E970CE">
        <w:rPr>
          <w:b/>
          <w:bCs/>
        </w:rPr>
        <w:t>Base:</w:t>
      </w:r>
      <w:proofErr w:type="gramEnd"/>
      <w:r w:rsidRPr="00E970CE">
        <w:rPr>
          <w:b/>
          <w:bCs/>
        </w:rPr>
        <w:t xml:space="preserve"> </w:t>
      </w:r>
      <w:r w:rsidRPr="00E970CE">
        <w:t>Les institutions supérieures de lutte contre la</w:t>
      </w:r>
      <w:r w:rsidR="00E970CE" w:rsidRPr="00E970CE">
        <w:t xml:space="preserve"> </w:t>
      </w:r>
      <w:r w:rsidRPr="00E970CE">
        <w:t>corruption (ISLC) ne sont pas bien outillé</w:t>
      </w:r>
    </w:p>
    <w:p w14:paraId="4D5032B6" w14:textId="7C5EDECE" w:rsidR="00C92C21" w:rsidRPr="00E970CE" w:rsidRDefault="00043A26" w:rsidP="00E970CE">
      <w:pPr>
        <w:autoSpaceDE w:val="0"/>
        <w:autoSpaceDN w:val="0"/>
        <w:adjustRightInd w:val="0"/>
      </w:pPr>
      <w:proofErr w:type="gramStart"/>
      <w:r w:rsidRPr="00E970CE">
        <w:rPr>
          <w:b/>
          <w:bCs/>
        </w:rPr>
        <w:t>Cible:</w:t>
      </w:r>
      <w:proofErr w:type="gramEnd"/>
      <w:r w:rsidRPr="00E970CE">
        <w:rPr>
          <w:b/>
          <w:bCs/>
        </w:rPr>
        <w:t xml:space="preserve"> </w:t>
      </w:r>
      <w:r w:rsidRPr="00E970CE">
        <w:t>Les ISLC disposent d’outils modernes pour</w:t>
      </w:r>
      <w:r w:rsidR="00E970CE" w:rsidRPr="00E970CE">
        <w:t xml:space="preserve"> </w:t>
      </w:r>
      <w:r w:rsidRPr="00E970CE">
        <w:t>conduire des investigations conformes aux normes</w:t>
      </w:r>
    </w:p>
    <w:p w14:paraId="4102449A" w14:textId="0F0E9FEA" w:rsidR="00EF1C2F" w:rsidRPr="00E970CE" w:rsidRDefault="00EF1C2F" w:rsidP="00E970CE"/>
    <w:p w14:paraId="4D4FBE9A" w14:textId="6B249077" w:rsidR="00043A26" w:rsidRPr="00E970CE" w:rsidRDefault="00043A26" w:rsidP="00E970CE">
      <w:pPr>
        <w:autoSpaceDE w:val="0"/>
        <w:autoSpaceDN w:val="0"/>
        <w:adjustRightInd w:val="0"/>
      </w:pPr>
      <w:r w:rsidRPr="00E970CE">
        <w:rPr>
          <w:b/>
          <w:bCs/>
        </w:rPr>
        <w:t xml:space="preserve">4. </w:t>
      </w:r>
      <w:r w:rsidRPr="00E970CE">
        <w:t>Les</w:t>
      </w:r>
      <w:r w:rsidR="00E970CE" w:rsidRPr="00E970CE">
        <w:t xml:space="preserve"> </w:t>
      </w:r>
      <w:r w:rsidRPr="00E970CE">
        <w:t>ISLC disposent de</w:t>
      </w:r>
      <w:r w:rsidR="00E970CE" w:rsidRPr="00E970CE">
        <w:t xml:space="preserve"> </w:t>
      </w:r>
      <w:r w:rsidRPr="00E970CE">
        <w:t>capacités de contrôle</w:t>
      </w:r>
      <w:r w:rsidR="00E970CE" w:rsidRPr="00E970CE">
        <w:t xml:space="preserve"> </w:t>
      </w:r>
      <w:r w:rsidRPr="00E970CE">
        <w:t>des finances</w:t>
      </w:r>
      <w:r w:rsidR="00E970CE" w:rsidRPr="00E970CE">
        <w:t xml:space="preserve"> </w:t>
      </w:r>
      <w:r w:rsidRPr="00E970CE">
        <w:t>publiques et de lutte</w:t>
      </w:r>
      <w:r w:rsidR="00E970CE" w:rsidRPr="00E970CE">
        <w:t xml:space="preserve"> </w:t>
      </w:r>
      <w:r w:rsidRPr="00E970CE">
        <w:t>contre la corruption ;</w:t>
      </w:r>
    </w:p>
    <w:p w14:paraId="3F1990ED" w14:textId="0D046595" w:rsidR="00EF1C2F" w:rsidRPr="00E970CE" w:rsidRDefault="00043A26" w:rsidP="00E970CE">
      <w:pPr>
        <w:autoSpaceDE w:val="0"/>
        <w:autoSpaceDN w:val="0"/>
        <w:adjustRightInd w:val="0"/>
      </w:pPr>
      <w:r w:rsidRPr="00E970CE">
        <w:rPr>
          <w:b/>
          <w:bCs/>
        </w:rPr>
        <w:t>5</w:t>
      </w:r>
      <w:r w:rsidRPr="00E970CE">
        <w:t>. Les organisations</w:t>
      </w:r>
      <w:r w:rsidR="00E970CE" w:rsidRPr="00E970CE">
        <w:t xml:space="preserve"> </w:t>
      </w:r>
      <w:r w:rsidRPr="00E970CE">
        <w:t>de la société civile et</w:t>
      </w:r>
      <w:r w:rsidR="00E970CE" w:rsidRPr="00E970CE">
        <w:t xml:space="preserve"> </w:t>
      </w:r>
      <w:r w:rsidRPr="00E970CE">
        <w:t>les médias</w:t>
      </w:r>
      <w:r w:rsidR="00E970CE" w:rsidRPr="00E970CE">
        <w:t xml:space="preserve"> </w:t>
      </w:r>
      <w:r w:rsidRPr="00E970CE">
        <w:t>contribuent à la</w:t>
      </w:r>
      <w:r w:rsidR="00E970CE" w:rsidRPr="00E970CE">
        <w:t xml:space="preserve"> </w:t>
      </w:r>
      <w:r w:rsidRPr="00E970CE">
        <w:t>promotion de la</w:t>
      </w:r>
      <w:r w:rsidR="00E970CE" w:rsidRPr="00E970CE">
        <w:t xml:space="preserve"> </w:t>
      </w:r>
      <w:r w:rsidRPr="00E970CE">
        <w:t>bonne gouvernance</w:t>
      </w:r>
      <w:r w:rsidR="00E970CE" w:rsidRPr="00E970CE">
        <w:t xml:space="preserve"> </w:t>
      </w:r>
      <w:r w:rsidRPr="00E970CE">
        <w:t>et de la lutte contre la</w:t>
      </w:r>
      <w:r w:rsidR="00E970CE" w:rsidRPr="00E970CE">
        <w:t xml:space="preserve"> </w:t>
      </w:r>
      <w:proofErr w:type="gramStart"/>
      <w:r w:rsidRPr="00E970CE">
        <w:t>corruption;</w:t>
      </w:r>
      <w:proofErr w:type="gramEnd"/>
    </w:p>
    <w:p w14:paraId="7A58CF6D" w14:textId="3C1A7804" w:rsidR="00EF1C2F" w:rsidRDefault="00EF1C2F" w:rsidP="00117A2F"/>
    <w:p w14:paraId="63FCC744" w14:textId="02B0D3E2" w:rsidR="00043A26" w:rsidRPr="00237304" w:rsidRDefault="00B46AE8" w:rsidP="00043A26">
      <w:r>
        <w:t>De façon très générale, le projet a aussi c</w:t>
      </w:r>
      <w:r w:rsidR="00043A26" w:rsidRPr="00237304">
        <w:t>ontribu</w:t>
      </w:r>
      <w:r>
        <w:t>é</w:t>
      </w:r>
      <w:r w:rsidR="00043A26" w:rsidRPr="00237304">
        <w:t xml:space="preserve"> au CSLPII</w:t>
      </w:r>
      <w:r w:rsidR="00AF50D1">
        <w:t xml:space="preserve"> et à l’objectif</w:t>
      </w:r>
      <w:r w:rsidR="00043A26" w:rsidRPr="00237304">
        <w:t xml:space="preserve"> </w:t>
      </w:r>
      <w:r w:rsidR="00AF50D1">
        <w:t>de « </w:t>
      </w:r>
      <w:r w:rsidR="00043A26" w:rsidRPr="00237304">
        <w:t>Renforcement de l’état de droit, consolidation de la bonne gouvernance, gestion et coordination de l’aide et promotion de l’égalité hommes-femmes</w:t>
      </w:r>
      <w:r w:rsidR="00AF50D1">
        <w:t> », même si aucun indicateur spécifique n’était référencé.</w:t>
      </w:r>
    </w:p>
    <w:p w14:paraId="5E7B0F30" w14:textId="71BB54BA" w:rsidR="00EF1C2F" w:rsidRDefault="00EF1C2F" w:rsidP="00117A2F"/>
    <w:p w14:paraId="2C9CB001" w14:textId="1218DE13" w:rsidR="00767A46" w:rsidRDefault="00767A46" w:rsidP="00117A2F"/>
    <w:p w14:paraId="5F0C2BDC" w14:textId="5F3FD593" w:rsidR="00767A46" w:rsidRDefault="00767A46" w:rsidP="00714B69">
      <w:pPr>
        <w:pStyle w:val="Titre3"/>
      </w:pPr>
      <w:bookmarkStart w:id="27" w:name="_Toc525626848"/>
      <w:r>
        <w:t>Synergies</w:t>
      </w:r>
      <w:bookmarkEnd w:id="27"/>
      <w:r>
        <w:t xml:space="preserve"> </w:t>
      </w:r>
    </w:p>
    <w:p w14:paraId="31405003" w14:textId="0B4A622D" w:rsidR="00767A46" w:rsidRDefault="00767A46" w:rsidP="00117A2F"/>
    <w:p w14:paraId="5187B740" w14:textId="198B8818" w:rsidR="00767A46" w:rsidRDefault="00512CB5" w:rsidP="00117A2F">
      <w:r>
        <w:t>La corruption est un phénomène protéiforme qui peut être traité par de nombreux points d’entrée, directs ou indirects, et qui sont essentiellement lié</w:t>
      </w:r>
      <w:r w:rsidR="003177F6">
        <w:t>s</w:t>
      </w:r>
      <w:r>
        <w:t xml:space="preserve"> aux capacités de gestion des ressources au sein des institutions</w:t>
      </w:r>
      <w:r w:rsidR="003177F6">
        <w:t xml:space="preserve"> et au bon fonctionnement de l’administration sous ses aspects techniques.</w:t>
      </w:r>
      <w:r w:rsidR="00A00F6A">
        <w:t xml:space="preserve"> En particulier, il </w:t>
      </w:r>
      <w:r w:rsidR="00F12E52">
        <w:t xml:space="preserve">existe un certain potentiel </w:t>
      </w:r>
      <w:r w:rsidR="00F06DFF">
        <w:t>de synergies pour traiter des problématiques structurelles qui sous-tendent les dynamiques de corruption.</w:t>
      </w:r>
    </w:p>
    <w:p w14:paraId="6BB60CA2" w14:textId="560B5689" w:rsidR="00A00F6A" w:rsidRDefault="00A00F6A" w:rsidP="00117A2F">
      <w:r>
        <w:t xml:space="preserve">Celles-ci existent déjà en partie, puisque le projet d’appui à la décentralisation </w:t>
      </w:r>
      <w:r w:rsidR="00F06DFF">
        <w:t>a repris la question de comités de gouvernance locale que le projet d’appui à la SNBG devait soutenir à l’origine. Le projet d’appui à la réforme des institutions du PNUD est aussi clé pour renforcer les procédures organisationnelles et la transparence de la gestion des ressources humaines et financières des différentes institutions étatiques.</w:t>
      </w:r>
      <w:r w:rsidR="00BB3131">
        <w:t xml:space="preserve"> La gestion des ressources humaines au sein des différentes administration</w:t>
      </w:r>
      <w:r w:rsidR="008E5044">
        <w:t xml:space="preserve"> représente en effet un enjeu majeur, en termes de spécialisation et niveau technique des agents affectés à certains services, </w:t>
      </w:r>
      <w:r w:rsidR="00BB3131">
        <w:t xml:space="preserve">même si les règlements prévoient </w:t>
      </w:r>
      <w:r w:rsidR="008E5044">
        <w:t xml:space="preserve">dans certains cas </w:t>
      </w:r>
      <w:r w:rsidR="00BB3131">
        <w:t>des recrutements par concours</w:t>
      </w:r>
      <w:r w:rsidR="005C3A4E">
        <w:t xml:space="preserve">. </w:t>
      </w:r>
    </w:p>
    <w:p w14:paraId="1D64A2CA" w14:textId="6E33D36A" w:rsidR="00F06DFF" w:rsidRDefault="00F06DFF" w:rsidP="00117A2F">
      <w:r>
        <w:t xml:space="preserve">Des synergies pourraient aussi être envisagées dans les différents secteurs économiques, ainsi que </w:t>
      </w:r>
      <w:r w:rsidR="005C3A4E">
        <w:t xml:space="preserve">s’agissant de </w:t>
      </w:r>
      <w:r>
        <w:t>l’appui aux services de base</w:t>
      </w:r>
      <w:r w:rsidR="005C3A4E">
        <w:t xml:space="preserve"> par exemple</w:t>
      </w:r>
      <w:r>
        <w:t>.</w:t>
      </w:r>
      <w:r w:rsidR="005C3A4E">
        <w:t xml:space="preserve"> C’est déjà le cas dans une certaine mesure, par les formations dispensées par l’IGE par exemple, ou les actions dans le secteur de l’éducation, mais pourrait être étendu à d’autres projets financés par les bailleurs internationaux. Certaines actions, réflexions pratiques ou sensibilisation sur les pratiques qui limitent les risques de corruption pourraient être intégrées de façon transversale.</w:t>
      </w:r>
    </w:p>
    <w:p w14:paraId="03E0D477" w14:textId="77777777" w:rsidR="00767A46" w:rsidRDefault="00767A46" w:rsidP="00117A2F"/>
    <w:p w14:paraId="790ABB8B" w14:textId="77777777" w:rsidR="00767A46" w:rsidRDefault="00767A46" w:rsidP="00117A2F"/>
    <w:p w14:paraId="27174CF5" w14:textId="77777777" w:rsidR="00C92C21" w:rsidRDefault="00C92C21" w:rsidP="00117A2F"/>
    <w:p w14:paraId="5A0BFBFD" w14:textId="1075F839" w:rsidR="00237304" w:rsidRDefault="00E970CE" w:rsidP="00714B69">
      <w:pPr>
        <w:pStyle w:val="Titre3"/>
      </w:pPr>
      <w:bookmarkStart w:id="28" w:name="_Toc525626849"/>
      <w:r>
        <w:t>Problèmes et contraintes</w:t>
      </w:r>
      <w:bookmarkEnd w:id="28"/>
      <w:r>
        <w:t xml:space="preserve"> </w:t>
      </w:r>
    </w:p>
    <w:p w14:paraId="18C05117" w14:textId="7CEB12CC" w:rsidR="00E970CE" w:rsidRDefault="00E970CE" w:rsidP="00117A2F"/>
    <w:p w14:paraId="613D0741" w14:textId="36F0DEC1" w:rsidR="00FA675C" w:rsidRPr="005C3A4E" w:rsidRDefault="0067733A" w:rsidP="00117A2F">
      <w:pPr>
        <w:rPr>
          <w:b/>
        </w:rPr>
      </w:pPr>
      <w:r>
        <w:t xml:space="preserve">Les </w:t>
      </w:r>
      <w:r w:rsidR="005C3A4E">
        <w:rPr>
          <w:b/>
        </w:rPr>
        <w:t>changements</w:t>
      </w:r>
      <w:r w:rsidRPr="005C3A4E">
        <w:rPr>
          <w:b/>
        </w:rPr>
        <w:t xml:space="preserve"> de personnel</w:t>
      </w:r>
      <w:r>
        <w:t>, notamment à la tête des institutions concernés, en premier chef le Ministère de la Bonne Gouvernance, ont contribué au ralentissement et interruptions de certaines dyanmiques.</w:t>
      </w:r>
      <w:r w:rsidR="005C3A4E" w:rsidRPr="005C3A4E">
        <w:t xml:space="preserve"> </w:t>
      </w:r>
      <w:r w:rsidR="005C3A4E">
        <w:t>Le taux de rotation du personnel technique affecte aussi les dynamiques de renforcement des capacités (mais parfois certains responsables restent en poste sur le long terme et contribuent à l’efficacité de la structure), et crée un besoin constant de renouveler les formations dispensées. Ceci indique un engagement insuffisant de la hiérarchie dans le suivi du projet sur le long terme.</w:t>
      </w:r>
    </w:p>
    <w:p w14:paraId="71225C26" w14:textId="77777777" w:rsidR="00FA675C" w:rsidRDefault="00FA675C" w:rsidP="00117A2F"/>
    <w:p w14:paraId="1AE8FF8A" w14:textId="77777777" w:rsidR="003007E6" w:rsidRDefault="002E26F8" w:rsidP="00117A2F">
      <w:r>
        <w:lastRenderedPageBreak/>
        <w:t xml:space="preserve">Le </w:t>
      </w:r>
      <w:r w:rsidRPr="00B279E9">
        <w:rPr>
          <w:b/>
        </w:rPr>
        <w:t>cadre normatif</w:t>
      </w:r>
      <w:r w:rsidR="00F07B64">
        <w:t xml:space="preserve">, en premier chef via la loi anti-corruption de 2006, </w:t>
      </w:r>
      <w:r>
        <w:t>connaît toujours certaines limites, notamment certains éléments qui étaient déjà identifiés depuis de nombreuses années</w:t>
      </w:r>
      <w:r w:rsidR="002156AE">
        <w:t xml:space="preserve">, et il reste des </w:t>
      </w:r>
      <w:r w:rsidR="005F173D">
        <w:t>limites en matière d’alignement du cadre national avec la Convention de l’Union Africain</w:t>
      </w:r>
      <w:r w:rsidR="005F173D" w:rsidRPr="003007E6">
        <w:t>e et la Convention de</w:t>
      </w:r>
      <w:r w:rsidR="003007E6" w:rsidRPr="003007E6">
        <w:t>s Nations-Unies contre la Corruption</w:t>
      </w:r>
      <w:r w:rsidR="005F173D" w:rsidRPr="003007E6">
        <w:t>.</w:t>
      </w:r>
      <w:r w:rsidRPr="003007E6">
        <w:t xml:space="preserve"> </w:t>
      </w:r>
    </w:p>
    <w:p w14:paraId="31D5CA36" w14:textId="0D80EAC0" w:rsidR="00E970CE" w:rsidRDefault="003007E6" w:rsidP="00117A2F">
      <w:r>
        <w:t xml:space="preserve">Un rapport de revue par les pairs réalisé dans le cadre avait d’ailleurs identifié un certain nombre de lacunes dans le Code Pénal, par rapport à la Convention </w:t>
      </w:r>
      <w:r>
        <w:rPr>
          <w:rStyle w:val="Appelnotedebasdep"/>
        </w:rPr>
        <w:footnoteReference w:id="8"/>
      </w:r>
      <w:r>
        <w:t xml:space="preserve">. </w:t>
      </w:r>
      <w:r w:rsidR="002E26F8" w:rsidRPr="003007E6">
        <w:t>Ainsi</w:t>
      </w:r>
      <w:r w:rsidR="002E26F8">
        <w:t xml:space="preserve"> l</w:t>
      </w:r>
      <w:r w:rsidR="005C3A4E">
        <w:t>a définition de l</w:t>
      </w:r>
      <w:r w:rsidR="002E26F8">
        <w:t>’enrichissement illici</w:t>
      </w:r>
      <w:r w:rsidR="00FA675C">
        <w:t>t</w:t>
      </w:r>
      <w:r w:rsidR="002E26F8">
        <w:t>e</w:t>
      </w:r>
      <w:r w:rsidR="006116B3">
        <w:t xml:space="preserve"> </w:t>
      </w:r>
      <w:r w:rsidR="005C3A4E">
        <w:t>devrait être revu</w:t>
      </w:r>
      <w:r w:rsidR="006116B3">
        <w:t xml:space="preserve"> </w:t>
      </w:r>
      <w:r w:rsidR="005C3A4E">
        <w:t xml:space="preserve">pour permettre les </w:t>
      </w:r>
      <w:r w:rsidR="006116B3">
        <w:t>poursuite</w:t>
      </w:r>
      <w:r w:rsidR="005C3A4E">
        <w:t>s</w:t>
      </w:r>
      <w:r w:rsidR="000F4CBC">
        <w:t>, alors que le phénomène est particulièrement visible par l’ensemble de la population, créant des incitations à des comportements abusifs et promouvant une certaine culture de l’impunité.</w:t>
      </w:r>
      <w:r w:rsidR="00F07B64">
        <w:t xml:space="preserve"> La collecte de la preuve</w:t>
      </w:r>
      <w:r w:rsidR="00B34936">
        <w:t xml:space="preserve"> reste aussi un enjeu majeur, et les cas peuvent être prouvé essentiellement dans les cas de flagrant délit et via des témoignages</w:t>
      </w:r>
      <w:r w:rsidR="005F173D">
        <w:t>, et la charge de la preuve devrait ainsi être inversée</w:t>
      </w:r>
      <w:r w:rsidR="00B34936">
        <w:t>.</w:t>
      </w:r>
      <w:r w:rsidR="004412E5">
        <w:t xml:space="preserve"> Certains acteurs font état de lacunes pour les infractions commises en concours idéal ou réel.</w:t>
      </w:r>
    </w:p>
    <w:p w14:paraId="3EA6886F" w14:textId="0CF56704" w:rsidR="004412E5" w:rsidRDefault="004412E5" w:rsidP="00117A2F">
      <w:r>
        <w:t>Certains liens font défa</w:t>
      </w:r>
      <w:r w:rsidR="0012329A">
        <w:t>u</w:t>
      </w:r>
      <w:r>
        <w:t>t entre le nouveau code pénal et la loi anti-corruption, comme l</w:t>
      </w:r>
      <w:r w:rsidR="00790374">
        <w:t>es cas</w:t>
      </w:r>
      <w:r>
        <w:t xml:space="preserve"> d</w:t>
      </w:r>
      <w:r w:rsidR="00790374">
        <w:t>e</w:t>
      </w:r>
      <w:r>
        <w:t xml:space="preserve"> faux et usage de faux</w:t>
      </w:r>
      <w:r w:rsidR="00790374">
        <w:t>, intégrés dans le nouveau code pénal et qui devraient être transplanté dans la loi anti-corruption</w:t>
      </w:r>
      <w:r>
        <w:t xml:space="preserve">. </w:t>
      </w:r>
    </w:p>
    <w:p w14:paraId="5C693059" w14:textId="0293B60A" w:rsidR="00173157" w:rsidRDefault="002E26F8" w:rsidP="00117A2F">
      <w:r>
        <w:t>Par ailleurs, l</w:t>
      </w:r>
      <w:r w:rsidR="00FA675C">
        <w:t>e cadre légal ne fournit pas de protection aux</w:t>
      </w:r>
      <w:r>
        <w:t xml:space="preserve"> dénonciateurs</w:t>
      </w:r>
      <w:r w:rsidR="00F07B64">
        <w:t>, qui risquent des poursuites</w:t>
      </w:r>
      <w:r w:rsidR="00173157">
        <w:t>, en cas de fausse déclaration / si le cas ne peut être prouvé, et deviennent donc responsable de la collecte de la preuve. La BSAC est normalement détentrice d’un budget pour les informateurs et la loi permet aussi la récompense</w:t>
      </w:r>
      <w:r w:rsidR="00FA675C">
        <w:t>.</w:t>
      </w:r>
      <w:r>
        <w:t xml:space="preserve"> </w:t>
      </w:r>
      <w:r w:rsidR="00173157">
        <w:t>Il est cependant difficile de dénoncer les cas identifiés, qui concernent souvent la hiérarchie. « Quand on arrive à dénoncer, c’est que le vase a débordé » énonce un interlocuteur.</w:t>
      </w:r>
    </w:p>
    <w:p w14:paraId="182ECE27" w14:textId="56A771C1" w:rsidR="00320D49" w:rsidRDefault="00370E68" w:rsidP="00117A2F">
      <w:r>
        <w:t xml:space="preserve">La </w:t>
      </w:r>
      <w:r w:rsidRPr="00370E68">
        <w:rPr>
          <w:highlight w:val="yellow"/>
        </w:rPr>
        <w:t>loi ne permet pas non plus de faire des investigations.</w:t>
      </w:r>
      <w:r>
        <w:t xml:space="preserve"> </w:t>
      </w:r>
      <w:r w:rsidR="002E26F8">
        <w:t xml:space="preserve"> </w:t>
      </w:r>
    </w:p>
    <w:p w14:paraId="4179D7D1" w14:textId="248BAD47" w:rsidR="0091595A" w:rsidRDefault="0091595A" w:rsidP="00117A2F">
      <w:r>
        <w:t>Certain</w:t>
      </w:r>
      <w:r w:rsidR="00320D49">
        <w:t>es personnes interrogées</w:t>
      </w:r>
      <w:r>
        <w:t xml:space="preserve"> indiquent le besoin de prioriser aussi le recouvrement</w:t>
      </w:r>
      <w:r w:rsidR="00370E68">
        <w:t>, qui doit venir avant</w:t>
      </w:r>
      <w:r>
        <w:t xml:space="preserve"> les condamnations</w:t>
      </w:r>
      <w:r w:rsidR="00370E68">
        <w:t xml:space="preserve"> pour rendre la justice plus efficace dans le traitement du phénomène.</w:t>
      </w:r>
      <w:r>
        <w:t xml:space="preserve"> </w:t>
      </w:r>
    </w:p>
    <w:p w14:paraId="74B12FE3" w14:textId="5309992A" w:rsidR="002E26F8" w:rsidRDefault="003C12C1" w:rsidP="00117A2F">
      <w:r>
        <w:lastRenderedPageBreak/>
        <w:t xml:space="preserve">Selon des personnes </w:t>
      </w:r>
      <w:r w:rsidR="00320D49">
        <w:t>rencontrées</w:t>
      </w:r>
      <w:r>
        <w:t>, l</w:t>
      </w:r>
      <w:r w:rsidR="00E31AF4">
        <w:t xml:space="preserve">e cadre légal des entités étatiques </w:t>
      </w:r>
      <w:r w:rsidR="00DA47B1">
        <w:t xml:space="preserve">est aussi parfois inadéquat </w:t>
      </w:r>
      <w:r w:rsidR="00DA47B1" w:rsidRPr="003007E6">
        <w:t xml:space="preserve">à la mise en place d’une structure de contrôle interne, </w:t>
      </w:r>
      <w:r w:rsidR="00DA47B1" w:rsidRPr="00DA47B1">
        <w:t>et les normes de l’IGE peuvent parfois s’inscrire en porte</w:t>
      </w:r>
      <w:r w:rsidR="00DA47B1">
        <w:t>-</w:t>
      </w:r>
      <w:r w:rsidR="00DA47B1" w:rsidRPr="00DA47B1">
        <w:t>à</w:t>
      </w:r>
      <w:r w:rsidR="00DA47B1">
        <w:t>-</w:t>
      </w:r>
      <w:r w:rsidR="00DA47B1" w:rsidRPr="00DA47B1">
        <w:t>faux par rapport au cadre légal des autres institutions.</w:t>
      </w:r>
      <w:r w:rsidR="003A6A29">
        <w:t xml:space="preserve"> Le </w:t>
      </w:r>
      <w:r w:rsidR="00284CB5">
        <w:t>remodelèrent</w:t>
      </w:r>
      <w:r w:rsidR="003A6A29">
        <w:t xml:space="preserve"> des ministères a également des effets sur leur organisation et l’analyse du respect des normes. </w:t>
      </w:r>
    </w:p>
    <w:p w14:paraId="6CF01E61" w14:textId="52CA72A9" w:rsidR="002E26F8" w:rsidRDefault="002E26F8" w:rsidP="00117A2F"/>
    <w:p w14:paraId="67B0F2DD" w14:textId="05FCF0FF" w:rsidR="006F24D5" w:rsidRDefault="005B5B7A" w:rsidP="00117A2F">
      <w:r>
        <w:t>La Haute Cour de Justice</w:t>
      </w:r>
      <w:r w:rsidR="000A3579">
        <w:t xml:space="preserve"> prévue pour traiter des cas n’a pas été mise en place, ce qui représente une limite certaine pour cibler les cas majeurs</w:t>
      </w:r>
      <w:r w:rsidR="006F24D5">
        <w:t xml:space="preserve"> qui concerneraient les plus hautes autori</w:t>
      </w:r>
      <w:r w:rsidR="003007E6">
        <w:t>t</w:t>
      </w:r>
      <w:r w:rsidR="006F24D5">
        <w:t>és</w:t>
      </w:r>
      <w:r w:rsidR="00043AA7">
        <w:t>, tel que défini dans l’article 240 de la Constitution.</w:t>
      </w:r>
    </w:p>
    <w:p w14:paraId="56008C1B" w14:textId="6E0BDC52" w:rsidR="003007E6" w:rsidRDefault="003007E6" w:rsidP="00117A2F"/>
    <w:p w14:paraId="01CFC4AF" w14:textId="656BB9C8" w:rsidR="0002211C" w:rsidRPr="00043AA7" w:rsidRDefault="003007E6" w:rsidP="00117A2F">
      <w:pPr>
        <w:rPr>
          <w:i/>
          <w:sz w:val="18"/>
          <w:szCs w:val="18"/>
        </w:rPr>
      </w:pPr>
      <w:r w:rsidRPr="003007E6">
        <w:rPr>
          <w:i/>
          <w:sz w:val="18"/>
          <w:szCs w:val="18"/>
        </w:rPr>
        <w:t>Article de la Constitution correspondant</w:t>
      </w:r>
    </w:p>
    <w:p w14:paraId="39C771B8" w14:textId="023288A6" w:rsidR="005B5B7A" w:rsidRDefault="006F24D5" w:rsidP="00117A2F">
      <w:r w:rsidRPr="00F92265">
        <w:rPr>
          <w:noProof/>
        </w:rPr>
        <w:drawing>
          <wp:inline distT="0" distB="0" distL="0" distR="0" wp14:anchorId="3F8780BD" wp14:editId="72D084C8">
            <wp:extent cx="2963545" cy="216000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6214" b="184"/>
                    <a:stretch/>
                  </pic:blipFill>
                  <pic:spPr bwMode="auto">
                    <a:xfrm>
                      <a:off x="0" y="0"/>
                      <a:ext cx="2975558" cy="2168756"/>
                    </a:xfrm>
                    <a:prstGeom prst="rect">
                      <a:avLst/>
                    </a:prstGeom>
                    <a:noFill/>
                    <a:ln>
                      <a:noFill/>
                    </a:ln>
                    <a:extLst>
                      <a:ext uri="{53640926-AAD7-44D8-BBD7-CCE9431645EC}">
                        <a14:shadowObscured xmlns:a14="http://schemas.microsoft.com/office/drawing/2010/main"/>
                      </a:ext>
                    </a:extLst>
                  </pic:spPr>
                </pic:pic>
              </a:graphicData>
            </a:graphic>
          </wp:inline>
        </w:drawing>
      </w:r>
    </w:p>
    <w:p w14:paraId="0929DE48" w14:textId="0BAD0CD1" w:rsidR="00B279E9" w:rsidRDefault="00B279E9" w:rsidP="00117A2F"/>
    <w:p w14:paraId="43FD303B" w14:textId="5DF7282E" w:rsidR="003536A3" w:rsidRDefault="0016609E" w:rsidP="003536A3">
      <w:r>
        <w:t>Au-delà du cadre normatif et institutionnel, un enjeu majeur est l’application de la loi, avec des exemples clairs pour rompre avec une certaine culture de l’impunité. Par exemple,</w:t>
      </w:r>
      <w:r w:rsidR="006641C0">
        <w:t xml:space="preserve"> la constitution </w:t>
      </w:r>
      <w:r>
        <w:t xml:space="preserve">exige la déclaration de patrimoine des agents de l’Etat et personnes publiques avant l’entrée en fonction, </w:t>
      </w:r>
      <w:r w:rsidR="002E778B">
        <w:t>et n’est jamais appliquée.</w:t>
      </w:r>
      <w:r w:rsidR="003536A3" w:rsidRPr="003536A3">
        <w:t xml:space="preserve"> </w:t>
      </w:r>
    </w:p>
    <w:p w14:paraId="2B1133B2" w14:textId="4DF90BA1" w:rsidR="006F24D5" w:rsidRDefault="006F24D5" w:rsidP="003536A3"/>
    <w:p w14:paraId="664002C4" w14:textId="7BB47851" w:rsidR="006F24D5" w:rsidRPr="006F24D5" w:rsidRDefault="006F24D5" w:rsidP="003536A3">
      <w:pPr>
        <w:rPr>
          <w:i/>
          <w:sz w:val="18"/>
          <w:szCs w:val="18"/>
        </w:rPr>
      </w:pPr>
      <w:r w:rsidRPr="006F24D5">
        <w:rPr>
          <w:i/>
          <w:sz w:val="18"/>
          <w:szCs w:val="18"/>
        </w:rPr>
        <w:t>Articles correspondant de la Constitution</w:t>
      </w:r>
    </w:p>
    <w:p w14:paraId="4CA42FF8" w14:textId="6867B822" w:rsidR="0016609E" w:rsidRDefault="003536A3" w:rsidP="00117A2F">
      <w:r w:rsidRPr="00F92265">
        <w:rPr>
          <w:noProof/>
        </w:rPr>
        <w:drawing>
          <wp:anchor distT="0" distB="0" distL="114300" distR="114300" simplePos="0" relativeHeight="251670528" behindDoc="1" locked="0" layoutInCell="1" allowOverlap="1" wp14:anchorId="256FAEBC" wp14:editId="17FB6164">
            <wp:simplePos x="0" y="0"/>
            <wp:positionH relativeFrom="column">
              <wp:posOffset>2959100</wp:posOffset>
            </wp:positionH>
            <wp:positionV relativeFrom="paragraph">
              <wp:posOffset>41275</wp:posOffset>
            </wp:positionV>
            <wp:extent cx="2896235" cy="863600"/>
            <wp:effectExtent l="0" t="0" r="0" b="0"/>
            <wp:wrapTight wrapText="bothSides">
              <wp:wrapPolygon edited="0">
                <wp:start x="0" y="0"/>
                <wp:lineTo x="0" y="20965"/>
                <wp:lineTo x="21453" y="20965"/>
                <wp:lineTo x="2145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b="9389"/>
                    <a:stretch/>
                  </pic:blipFill>
                  <pic:spPr bwMode="auto">
                    <a:xfrm>
                      <a:off x="0" y="0"/>
                      <a:ext cx="2896235" cy="863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2265">
        <w:rPr>
          <w:noProof/>
        </w:rPr>
        <w:drawing>
          <wp:inline distT="0" distB="0" distL="0" distR="0" wp14:anchorId="55C5057B" wp14:editId="77566416">
            <wp:extent cx="2804722" cy="972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64" t="8582" r="764" b="11456"/>
                    <a:stretch/>
                  </pic:blipFill>
                  <pic:spPr bwMode="auto">
                    <a:xfrm>
                      <a:off x="0" y="0"/>
                      <a:ext cx="2824176" cy="978742"/>
                    </a:xfrm>
                    <a:prstGeom prst="rect">
                      <a:avLst/>
                    </a:prstGeom>
                    <a:noFill/>
                    <a:ln>
                      <a:noFill/>
                    </a:ln>
                    <a:extLst>
                      <a:ext uri="{53640926-AAD7-44D8-BBD7-CCE9431645EC}">
                        <a14:shadowObscured xmlns:a14="http://schemas.microsoft.com/office/drawing/2010/main"/>
                      </a:ext>
                    </a:extLst>
                  </pic:spPr>
                </pic:pic>
              </a:graphicData>
            </a:graphic>
          </wp:inline>
        </w:drawing>
      </w:r>
    </w:p>
    <w:p w14:paraId="1F93F776" w14:textId="77777777" w:rsidR="006F24D5" w:rsidRDefault="006F24D5" w:rsidP="00117A2F"/>
    <w:p w14:paraId="52DE73C2" w14:textId="42859CB1" w:rsidR="008359C6" w:rsidRDefault="00B279E9" w:rsidP="00117A2F">
      <w:r>
        <w:t xml:space="preserve">Au </w:t>
      </w:r>
      <w:r w:rsidRPr="00F51D50">
        <w:rPr>
          <w:b/>
        </w:rPr>
        <w:t>niveau organisationnel</w:t>
      </w:r>
      <w:r>
        <w:t>,</w:t>
      </w:r>
      <w:r w:rsidR="00043AA7">
        <w:t xml:space="preserve"> il existe certaines incohérences susceptibles de créer des déséquilibres entre les structures et tout au long de la chaîne</w:t>
      </w:r>
      <w:r w:rsidR="00F51D50">
        <w:t xml:space="preserve">. </w:t>
      </w:r>
      <w:r w:rsidR="00D36C69">
        <w:t xml:space="preserve">Ainsi, les magistrats de la Cour </w:t>
      </w:r>
      <w:r w:rsidR="00043AA7">
        <w:t>Anti-corruption</w:t>
      </w:r>
      <w:r w:rsidR="00D36C69">
        <w:t xml:space="preserve"> sont</w:t>
      </w:r>
      <w:r w:rsidR="00A54696">
        <w:t xml:space="preserve"> mieux payés que ceux de la Cour Suprêm</w:t>
      </w:r>
      <w:r w:rsidR="00043AA7">
        <w:t>e</w:t>
      </w:r>
      <w:r w:rsidR="00A54696">
        <w:t>, ce qui crée certaines incompréhensions qui peuvent se répercuter sur le traitement des dossiers</w:t>
      </w:r>
      <w:r w:rsidR="00D36C69">
        <w:t>. Un nombre important de dossiers seraient transférés en appel à la Cour Suprême</w:t>
      </w:r>
      <w:r w:rsidR="00A54696">
        <w:t xml:space="preserve"> où les cas </w:t>
      </w:r>
      <w:r w:rsidR="00F7781A">
        <w:t xml:space="preserve">n’aboutissent pas </w:t>
      </w:r>
      <w:r w:rsidR="00043AA7">
        <w:t xml:space="preserve">toujours </w:t>
      </w:r>
      <w:r w:rsidR="00F7781A">
        <w:t xml:space="preserve">et il n’existe pas de système de suivi des cas de </w:t>
      </w:r>
      <w:r w:rsidR="00FA0817">
        <w:t>corruption entre les différentes institutions concernées, depuis la dénonciation / alerte / identification, jusqu’aux différentes étapes de la chaîne pénale. Ceci permettrait de voir les résultats, blocages potentiels</w:t>
      </w:r>
      <w:r w:rsidR="00043AA7">
        <w:t>.</w:t>
      </w:r>
      <w:r w:rsidR="00FA0817">
        <w:t xml:space="preserve"> </w:t>
      </w:r>
      <w:r w:rsidR="00D36C69">
        <w:t xml:space="preserve"> </w:t>
      </w:r>
    </w:p>
    <w:p w14:paraId="0E2CF39D" w14:textId="03AB4EB5" w:rsidR="00D36C69" w:rsidRDefault="00F51D50" w:rsidP="00117A2F">
      <w:r>
        <w:t>Il existe aussi parfois certains conflits de compétence entre la Cour des Comptes et l’IGE, même si les méthodologies et le champ de leurs investigations sont différents et complémentaires.</w:t>
      </w:r>
      <w:r w:rsidR="00043AA7">
        <w:t xml:space="preserve"> </w:t>
      </w:r>
      <w:r w:rsidR="005418DF">
        <w:t xml:space="preserve">L’IGE est l’organisation qui représente le Burundi à l’INTOSAI, quand il </w:t>
      </w:r>
      <w:r w:rsidR="00043AA7">
        <w:t>pourrait s’agir</w:t>
      </w:r>
      <w:r w:rsidR="005418DF">
        <w:t xml:space="preserve"> de la Cour des Comptes dans le cas des autres pays.</w:t>
      </w:r>
    </w:p>
    <w:p w14:paraId="7D1A9987" w14:textId="77777777" w:rsidR="00B0580E" w:rsidRDefault="00B0580E" w:rsidP="00117A2F"/>
    <w:p w14:paraId="73E640D6" w14:textId="290BAF1C" w:rsidR="002E26F8" w:rsidRDefault="005B5B7A" w:rsidP="00117A2F">
      <w:r>
        <w:t xml:space="preserve">Ces différents points pourraient constituer des objectifs spécifiques pour de futures </w:t>
      </w:r>
      <w:r w:rsidR="00043AA7">
        <w:t xml:space="preserve">réflexions et </w:t>
      </w:r>
      <w:r>
        <w:t>interventions sur le sujet.</w:t>
      </w:r>
    </w:p>
    <w:p w14:paraId="660ABAA9" w14:textId="59B86D03" w:rsidR="002E26F8" w:rsidRDefault="002E26F8" w:rsidP="00117A2F"/>
    <w:p w14:paraId="314E7323" w14:textId="0A7FCD68" w:rsidR="00584E9E" w:rsidRDefault="006641C0" w:rsidP="00117A2F">
      <w:r w:rsidRPr="00584E9E">
        <w:t>Au niveau décentralisé, il reste aussi de nombreux besoin</w:t>
      </w:r>
      <w:r w:rsidR="00584E9E" w:rsidRPr="00584E9E">
        <w:t>s, même si des appuis ou inspections ont été dispensés sur une part importante du territoire, au niveau des communes notamment</w:t>
      </w:r>
      <w:r w:rsidRPr="00584E9E">
        <w:t>. Les comités locaux de bonne gouvernance sont en cours de structuration</w:t>
      </w:r>
      <w:r w:rsidR="00584E9E" w:rsidRPr="00584E9E">
        <w:t xml:space="preserve"> et pourraient constituer des </w:t>
      </w:r>
      <w:r w:rsidR="00584E9E" w:rsidRPr="00584E9E">
        <w:lastRenderedPageBreak/>
        <w:t>relais utiles pour favoriser une redevabilité horizontale au niveau local. L’é</w:t>
      </w:r>
      <w:r w:rsidR="001658FE" w:rsidRPr="00584E9E">
        <w:t xml:space="preserve">valuation </w:t>
      </w:r>
      <w:r w:rsidR="00584E9E" w:rsidRPr="00584E9E">
        <w:t xml:space="preserve">du </w:t>
      </w:r>
      <w:r w:rsidR="001658FE" w:rsidRPr="00584E9E">
        <w:t>CPD</w:t>
      </w:r>
      <w:r w:rsidR="00584E9E" w:rsidRPr="00584E9E">
        <w:t xml:space="preserve"> indiquait d’ailleurs, en lien avec ceci </w:t>
      </w:r>
      <w:r w:rsidR="00584E9E" w:rsidRPr="00584E9E">
        <w:rPr>
          <w:i/>
          <w:shd w:val="clear" w:color="auto" w:fill="FFFFFF"/>
        </w:rPr>
        <w:t>« </w:t>
      </w:r>
      <w:r w:rsidR="001658FE" w:rsidRPr="00584E9E">
        <w:rPr>
          <w:i/>
          <w:shd w:val="clear" w:color="auto" w:fill="FFFFFF"/>
        </w:rPr>
        <w:t>Pour la vaste majorité des projets, les bénéficiaires (que ce soit institutionnel ou individuels) réclament la mise-à-échelle voire la « déconcentration vers les collines » des acquis.</w:t>
      </w:r>
    </w:p>
    <w:p w14:paraId="63F7BAEA" w14:textId="77777777" w:rsidR="00584E9E" w:rsidRPr="00B36FF6" w:rsidRDefault="00584E9E" w:rsidP="00117A2F"/>
    <w:p w14:paraId="36083904" w14:textId="77777777" w:rsidR="006D391B" w:rsidRPr="00B36FF6" w:rsidRDefault="006D391B" w:rsidP="006D391B">
      <w:pPr>
        <w:pStyle w:val="PrformatHTML"/>
        <w:rPr>
          <w:rFonts w:ascii="Arial" w:hAnsi="Arial" w:cs="Arial"/>
          <w:sz w:val="21"/>
          <w:szCs w:val="21"/>
          <w:lang w:val="fr-FR"/>
        </w:rPr>
      </w:pPr>
      <w:r w:rsidRPr="00B36FF6">
        <w:rPr>
          <w:rFonts w:ascii="Arial" w:hAnsi="Arial" w:cs="Arial"/>
          <w:sz w:val="21"/>
          <w:szCs w:val="21"/>
          <w:lang w:val="fr-FR"/>
        </w:rPr>
        <w:t>Transparency International</w:t>
      </w:r>
      <w:r w:rsidRPr="00B36FF6">
        <w:rPr>
          <w:rStyle w:val="Appelnotedebasdep"/>
          <w:rFonts w:ascii="Arial" w:hAnsi="Arial" w:cs="Arial"/>
          <w:sz w:val="21"/>
          <w:szCs w:val="21"/>
        </w:rPr>
        <w:footnoteReference w:id="9"/>
      </w:r>
      <w:r w:rsidRPr="00B36FF6">
        <w:rPr>
          <w:rFonts w:ascii="Arial" w:hAnsi="Arial" w:cs="Arial"/>
          <w:sz w:val="21"/>
          <w:szCs w:val="21"/>
          <w:lang w:val="fr-FR"/>
        </w:rPr>
        <w:t xml:space="preserve"> a formulé plusieurs recommandations de son expérience de travail dans plus de 100 pays, pour des interventions fructueuses en matière de lutte contre la corruption, et qui tiennent à la liberté de la presse, liberté d’expression, l’indépendance des médias, la dissension politique, l’institutionnalisation de l’accès à l’information pour assurer la transparence, via un cadre juridique adéquat et leur mise en œuvre, protection des libertés fondamentales.  Ces différents aspects apparaissent en recul au Burundi, compte tenu de la crise politique, et leur évolution serait un bon indicateur des résultats sur la lutte contre la corruption.</w:t>
      </w:r>
    </w:p>
    <w:p w14:paraId="36AFFACB" w14:textId="183504C8" w:rsidR="006D391B" w:rsidRDefault="006D391B" w:rsidP="00117A2F"/>
    <w:p w14:paraId="65883939" w14:textId="77777777" w:rsidR="006D391B" w:rsidRDefault="006D391B" w:rsidP="00117A2F"/>
    <w:p w14:paraId="280A64D8" w14:textId="77777777" w:rsidR="001658FE" w:rsidRDefault="001658FE" w:rsidP="00117A2F"/>
    <w:p w14:paraId="0A089564" w14:textId="468CBEBF" w:rsidR="00F11225" w:rsidRDefault="00F11225" w:rsidP="00117A2F">
      <w:pPr>
        <w:pStyle w:val="Titre2"/>
      </w:pPr>
      <w:bookmarkStart w:id="29" w:name="_Toc525626850"/>
      <w:r>
        <w:t>Efficience</w:t>
      </w:r>
      <w:bookmarkEnd w:id="29"/>
    </w:p>
    <w:p w14:paraId="5065D256" w14:textId="3A8DFE02" w:rsidR="00F11225" w:rsidRDefault="00F11225" w:rsidP="00117A2F"/>
    <w:p w14:paraId="0D67B251" w14:textId="066442C5"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Jusqu’à quel point les produits du projet ont-ils été atteints grâce à l’utilisation optimale des </w:t>
      </w:r>
      <w:proofErr w:type="gramStart"/>
      <w:r w:rsidRPr="00131C1A">
        <w:rPr>
          <w:rFonts w:ascii="Times New Roman" w:eastAsia="Calibri" w:hAnsi="Times New Roman"/>
          <w:i/>
        </w:rPr>
        <w:t>ressources?</w:t>
      </w:r>
      <w:proofErr w:type="gramEnd"/>
    </w:p>
    <w:p w14:paraId="5E307669" w14:textId="369C2EDE"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Les produits ont-ils été atteints dans le temps </w:t>
      </w:r>
      <w:proofErr w:type="gramStart"/>
      <w:r w:rsidRPr="00131C1A">
        <w:rPr>
          <w:rFonts w:ascii="Times New Roman" w:eastAsia="Calibri" w:hAnsi="Times New Roman"/>
          <w:i/>
        </w:rPr>
        <w:t>imparti?</w:t>
      </w:r>
      <w:proofErr w:type="gramEnd"/>
    </w:p>
    <w:p w14:paraId="043B81B3" w14:textId="2046D3DD"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Jusqu’à quel point les modalités de partenariat étaient-elles propices à l’atteinte des </w:t>
      </w:r>
      <w:proofErr w:type="gramStart"/>
      <w:r w:rsidRPr="00131C1A">
        <w:rPr>
          <w:rFonts w:ascii="Times New Roman" w:eastAsia="Calibri" w:hAnsi="Times New Roman"/>
          <w:i/>
        </w:rPr>
        <w:t>produits?</w:t>
      </w:r>
      <w:proofErr w:type="gramEnd"/>
    </w:p>
    <w:p w14:paraId="79EB648D" w14:textId="0D520C6F"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Jusqu’à quel point les systèmes de suivi ont-ils donné à la direction une source de données permettant l’apprentissage et permettant d’ajuster la mise en œuvre en </w:t>
      </w:r>
      <w:proofErr w:type="gramStart"/>
      <w:r w:rsidRPr="00131C1A">
        <w:rPr>
          <w:rFonts w:ascii="Times New Roman" w:eastAsia="Calibri" w:hAnsi="Times New Roman"/>
          <w:i/>
        </w:rPr>
        <w:t>conséquence?</w:t>
      </w:r>
      <w:proofErr w:type="gramEnd"/>
    </w:p>
    <w:p w14:paraId="567D5BB9" w14:textId="1340AACD"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De quelle manière le PNUD a–t-il promut l’égalité des genres, les droits de l’Homme et le développement humain dans l’exécution des </w:t>
      </w:r>
      <w:proofErr w:type="gramStart"/>
      <w:r w:rsidRPr="00131C1A">
        <w:rPr>
          <w:rFonts w:ascii="Times New Roman" w:eastAsia="Calibri" w:hAnsi="Times New Roman"/>
          <w:i/>
        </w:rPr>
        <w:t>produits?</w:t>
      </w:r>
      <w:proofErr w:type="gramEnd"/>
    </w:p>
    <w:p w14:paraId="2234B4A1" w14:textId="769417DE"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Les résultats réels ou attendus (outputs et outcomes) justifient-ils les ressources engagées ?</w:t>
      </w:r>
    </w:p>
    <w:p w14:paraId="5B0257F5" w14:textId="6FD7C0A1"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Y avait-il d’autres voies et moyens plus efficients de fournir de meilleurs résultats avec les ressources disponibles ?</w:t>
      </w:r>
    </w:p>
    <w:p w14:paraId="6BE12C6B" w14:textId="16BA2F5D" w:rsidR="00131C1A" w:rsidRPr="00E36C12"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Les structures de gestion et de redevabilité du projet étaient-elles efficientes ?</w:t>
      </w:r>
    </w:p>
    <w:p w14:paraId="1B486D4D" w14:textId="4495F16C" w:rsidR="00E36B0E" w:rsidRDefault="00E36B0E" w:rsidP="00117A2F"/>
    <w:p w14:paraId="475B9CE4" w14:textId="209EBCCF" w:rsidR="00E36B0E" w:rsidRDefault="00E36B0E" w:rsidP="00117A2F"/>
    <w:p w14:paraId="7F406397" w14:textId="44BDC696" w:rsidR="006F45FF" w:rsidRDefault="006F45FF" w:rsidP="00714B69">
      <w:pPr>
        <w:pStyle w:val="Titre3"/>
      </w:pPr>
      <w:bookmarkStart w:id="30" w:name="_Toc525626851"/>
      <w:r>
        <w:t>Utilisation des ressources et alternatives</w:t>
      </w:r>
      <w:bookmarkEnd w:id="30"/>
    </w:p>
    <w:p w14:paraId="075872C5" w14:textId="6737A6F0" w:rsidR="00207342" w:rsidRDefault="00207342" w:rsidP="006F45FF"/>
    <w:p w14:paraId="154E0C7C" w14:textId="5DB68B1D" w:rsidR="003707EA" w:rsidRDefault="006D0B00" w:rsidP="006F45FF">
      <w:r>
        <w:t>Généralement, les activités restaient relativement peu couteuses,</w:t>
      </w:r>
      <w:r w:rsidR="00A2519C">
        <w:t xml:space="preserve"> les principaux postes de dépenses sont l’équipement, </w:t>
      </w:r>
      <w:r w:rsidR="00BA7634">
        <w:t>pour les transports (</w:t>
      </w:r>
      <w:r w:rsidR="005C6059">
        <w:t>20</w:t>
      </w:r>
      <w:r w:rsidR="00BA7634">
        <w:t xml:space="preserve">0 000 USD) et </w:t>
      </w:r>
      <w:r w:rsidR="006F2054">
        <w:t>l’</w:t>
      </w:r>
      <w:r w:rsidR="00A2519C">
        <w:t>informatique</w:t>
      </w:r>
      <w:r w:rsidR="006F2054">
        <w:t>/ communication</w:t>
      </w:r>
      <w:r w:rsidR="00A2519C">
        <w:t xml:space="preserve"> notamment et les consultants, ainsi que les coûts d’apprentissage (learning cost)</w:t>
      </w:r>
      <w:r w:rsidR="002B25D6">
        <w:t>, la location de salles (en 2013 pour 66 000 USD, en 2014 pour 48 000 USD)</w:t>
      </w:r>
      <w:r w:rsidR="00A2519C">
        <w:t xml:space="preserve"> et frais de per diem locaux</w:t>
      </w:r>
      <w:r w:rsidR="002B25D6">
        <w:t xml:space="preserve"> ou internationaux</w:t>
      </w:r>
      <w:r w:rsidR="00A2519C">
        <w:t>.</w:t>
      </w:r>
      <w:r w:rsidR="006F2054">
        <w:t xml:space="preserve"> Près de </w:t>
      </w:r>
      <w:r w:rsidR="00965444">
        <w:t>226</w:t>
      </w:r>
      <w:r w:rsidR="006F2054">
        <w:t> 000 USD ont été dépensés pour les micro-grants à la société civile lors des premières années du projet.</w:t>
      </w:r>
      <w:r w:rsidR="00A2519C">
        <w:t xml:space="preserve"> </w:t>
      </w:r>
      <w:r w:rsidR="00BA7634">
        <w:t xml:space="preserve">Les salaires, de trois catégories différentes (NP, GS, IP), ont représenté environs 20 000 USD par an. </w:t>
      </w:r>
      <w:r w:rsidR="00A2519C">
        <w:t>L</w:t>
      </w:r>
      <w:r>
        <w:t xml:space="preserve">es opportunités </w:t>
      </w:r>
      <w:r w:rsidR="00C568E5">
        <w:t xml:space="preserve">de maximisation de l’utilisation des ressources tiennent plutôt </w:t>
      </w:r>
      <w:r w:rsidR="006C38C0">
        <w:t>à l</w:t>
      </w:r>
      <w:r w:rsidR="00A2519C">
        <w:t>’emploi</w:t>
      </w:r>
      <w:r w:rsidR="006C38C0">
        <w:t xml:space="preserve"> des ressources locales, à l’utilisation des capacités et formateurs au sein de chaque institution. Les institutions indiquent avoir des formateurs de niveau international, à l’IGE notamment, et l’opportunité de les déployer pour dispenser des appuis pourrait être aussi envisagée.</w:t>
      </w:r>
      <w:r w:rsidR="003707EA">
        <w:t xml:space="preserve"> </w:t>
      </w:r>
    </w:p>
    <w:p w14:paraId="2342761E" w14:textId="5E69BB81" w:rsidR="006F79B8" w:rsidRDefault="006F79B8" w:rsidP="006F79B8">
      <w:r>
        <w:t>Les audits financiers n’ont pas été consultés.</w:t>
      </w:r>
      <w:r w:rsidR="006F2054">
        <w:t xml:space="preserve"> Les frais d’audit apparaissent pour l’année 2014 uniquement (32 000 USD)</w:t>
      </w:r>
      <w:r w:rsidR="0071121F">
        <w:t>, 2015 (2 883 USD)</w:t>
      </w:r>
      <w:r w:rsidR="006F2054">
        <w:t>.</w:t>
      </w:r>
    </w:p>
    <w:p w14:paraId="4B0FA225" w14:textId="77777777" w:rsidR="006F79B8" w:rsidRDefault="006F79B8" w:rsidP="006F79B8"/>
    <w:p w14:paraId="616B8995" w14:textId="78AFC74B" w:rsidR="006D0B00" w:rsidRDefault="003707EA" w:rsidP="006F45FF">
      <w:r>
        <w:t xml:space="preserve">Alors que le projet cible essentiellement les cas de « petite » corruption, le rôle des </w:t>
      </w:r>
      <w:r w:rsidRPr="003707EA">
        <w:t>tribunaux communaux, ou tribunaux de grande instance</w:t>
      </w:r>
      <w:r>
        <w:t xml:space="preserve"> n’a pas été pris en compte ou soutenu, alors qu’ils </w:t>
      </w:r>
      <w:r>
        <w:lastRenderedPageBreak/>
        <w:t xml:space="preserve">pourraient traiter un certain nombre de cas au niveau local, si les magistrats étaient mieux formés (en prenant en compte notamment les limites au fonctionnement de la justice dans le pays, y compris corruption). Ceci pourrait contribuer à limiter les besoins de déplacements et les laisser se concentrer sur les cas les plus complexes, plutôt que sur des infractions de petite envergure ne nécessitant pas forcément une spécialisation technique avancée. </w:t>
      </w:r>
      <w:r w:rsidR="00043AA7">
        <w:t>L</w:t>
      </w:r>
      <w:r>
        <w:t>es comités de gouvernance local pourraient aussi jouer un rôle de supervision</w:t>
      </w:r>
      <w:r w:rsidR="00043AA7">
        <w:t xml:space="preserve"> à ce sujet</w:t>
      </w:r>
      <w:r>
        <w:t xml:space="preserve">. </w:t>
      </w:r>
    </w:p>
    <w:p w14:paraId="2F9EBBCC" w14:textId="77777777" w:rsidR="006C38C0" w:rsidRDefault="006C38C0" w:rsidP="006F45FF"/>
    <w:p w14:paraId="3C3743AC" w14:textId="77E81A1A" w:rsidR="001B216E" w:rsidRDefault="006D0B00" w:rsidP="001B216E">
      <w:r>
        <w:t>Les bénéficiaires soulignent des problèmes de décaissement et la lourdeur qui ont parfois contraint la bonne utilisation du budget</w:t>
      </w:r>
      <w:r w:rsidR="00043AA7">
        <w:t xml:space="preserve">, le bon déroulement des activités, le manque de respect du plan de travail </w:t>
      </w:r>
      <w:r>
        <w:t xml:space="preserve">et ont </w:t>
      </w:r>
      <w:r w:rsidR="00507F92">
        <w:t>pu entraîner</w:t>
      </w:r>
      <w:r>
        <w:t xml:space="preserve"> des coûts supplémentaires.</w:t>
      </w:r>
      <w:r w:rsidR="00737FEC">
        <w:t xml:space="preserve"> </w:t>
      </w:r>
      <w:r w:rsidR="001B216E">
        <w:t xml:space="preserve">Certaines activités auraient été annulées de ce fait. </w:t>
      </w:r>
      <w:r w:rsidR="00043AA7">
        <w:t xml:space="preserve">Ceci s’est amélioré cependant en 2018, selon un interlocuteur. </w:t>
      </w:r>
      <w:r w:rsidR="001B216E">
        <w:t>Certains partenaires mentionnent l’absence d</w:t>
      </w:r>
      <w:r w:rsidR="00507F92">
        <w:t>’</w:t>
      </w:r>
      <w:r w:rsidR="001B216E">
        <w:t>interlocuteurs au niveau du PNUD</w:t>
      </w:r>
      <w:r w:rsidR="00507F92">
        <w:t xml:space="preserve"> puisque </w:t>
      </w:r>
      <w:r w:rsidR="001B216E">
        <w:t>la structure de gestion constitue un intermédiaire sans réel pouvoir pour faciliter l’exécution et accélérer les étapes</w:t>
      </w:r>
      <w:r w:rsidR="00507F92">
        <w:t xml:space="preserve"> administratives et financières</w:t>
      </w:r>
      <w:r w:rsidR="001B216E">
        <w:t xml:space="preserve">, </w:t>
      </w:r>
      <w:r w:rsidR="00507F92">
        <w:t>avec à la clé</w:t>
      </w:r>
      <w:r w:rsidR="001B216E">
        <w:t xml:space="preserve"> </w:t>
      </w:r>
      <w:r w:rsidR="00507F92">
        <w:t xml:space="preserve">un certain manque de clarté </w:t>
      </w:r>
      <w:r w:rsidR="001B216E">
        <w:t xml:space="preserve">sur le statut des interventions et des démarches.  </w:t>
      </w:r>
    </w:p>
    <w:p w14:paraId="43C7D126" w14:textId="77777777" w:rsidR="006C38C0" w:rsidRDefault="006C38C0" w:rsidP="006F45FF"/>
    <w:p w14:paraId="5917B958" w14:textId="31CA7C53" w:rsidR="006D0B00" w:rsidRDefault="006C38C0" w:rsidP="006F45FF">
      <w:r>
        <w:t>La planification avait lieu sur base annuelle pour les institutions bénéficiaires, alors que le projet avait une durée de trois ans,</w:t>
      </w:r>
      <w:r w:rsidR="00F06C21">
        <w:t xml:space="preserve"> alors que des délais ont lieu systématiquement en début d’année pour l’approbation des </w:t>
      </w:r>
      <w:r w:rsidR="00B32ED3">
        <w:t>plans de travail</w:t>
      </w:r>
      <w:r w:rsidR="00F06C21">
        <w:t xml:space="preserve">. Ceci est lié aux procédures du PNUD, mais compte tenu de la nature du projet et des partenariats, des approches </w:t>
      </w:r>
      <w:r w:rsidR="006501B2">
        <w:t>pluriannuelles</w:t>
      </w:r>
      <w:r w:rsidR="00F06C21">
        <w:t xml:space="preserve"> ou des systèmes de pré-approbation pourraient être analysés au niveau du PNUD afin de fluidifier les procédures.</w:t>
      </w:r>
      <w:r w:rsidR="006D0B00">
        <w:t xml:space="preserve"> </w:t>
      </w:r>
      <w:r w:rsidR="000D0E1D">
        <w:t xml:space="preserve">Ceci s’ajoute maintenant au </w:t>
      </w:r>
      <w:r w:rsidR="00B55EF7">
        <w:t>décalage dans la planification entre le PNUD, avec des exercice</w:t>
      </w:r>
      <w:r w:rsidR="00584E9E">
        <w:t>s</w:t>
      </w:r>
      <w:r w:rsidR="00B55EF7">
        <w:t xml:space="preserve"> clôturés fin décembre, quand cela est maintenant en juin au niveau du gouvernement </w:t>
      </w:r>
      <w:proofErr w:type="gramStart"/>
      <w:r w:rsidR="00B55EF7">
        <w:t>suite à</w:t>
      </w:r>
      <w:proofErr w:type="gramEnd"/>
      <w:r w:rsidR="00B55EF7">
        <w:t xml:space="preserve"> l’intégration de l’ECAS. </w:t>
      </w:r>
    </w:p>
    <w:p w14:paraId="015892AF" w14:textId="77777777" w:rsidR="006C38C0" w:rsidRDefault="006C38C0" w:rsidP="006F45FF"/>
    <w:p w14:paraId="3A39B21E" w14:textId="5DC99FE3" w:rsidR="006D0B00" w:rsidRDefault="00207342" w:rsidP="006F45FF">
      <w:r>
        <w:t xml:space="preserve">Les voyages à l’étranger, qui sont </w:t>
      </w:r>
      <w:r w:rsidR="00507F92">
        <w:t xml:space="preserve">souvent </w:t>
      </w:r>
      <w:r>
        <w:t>considérés comme peu efficients, peuvent trouver une justification particulière dans le contexte du Burundi et des contraintes en termes de capacités auxquelles les institutions font face</w:t>
      </w:r>
      <w:r w:rsidR="00507F92">
        <w:t>, notamment pour confronter le personnel aux standards internationaux mais doivent cependant être considérés sous l’angle des résultats opérationnels escomptés</w:t>
      </w:r>
      <w:r>
        <w:t>.</w:t>
      </w:r>
    </w:p>
    <w:p w14:paraId="082F643B" w14:textId="04CAC1A4" w:rsidR="006F45FF" w:rsidRDefault="006F45FF" w:rsidP="006F45FF"/>
    <w:p w14:paraId="6B826783" w14:textId="00900E36" w:rsidR="007A64AD" w:rsidRDefault="007A64AD" w:rsidP="006F45FF">
      <w:r>
        <w:t xml:space="preserve">En termes de capitalisation certaines études particulièrement utiles réalisées en début de projet </w:t>
      </w:r>
      <w:r w:rsidR="004710F1">
        <w:t xml:space="preserve">n’ont pas fait l’objet d’un réel suivi. Ainsi, outre l’atelier gouvernemental auquel il est fait référence dans la partie pertinence, </w:t>
      </w:r>
      <w:r w:rsidR="00DB5A33" w:rsidRPr="00507F92">
        <w:t>d</w:t>
      </w:r>
      <w:r w:rsidR="004710F1" w:rsidRPr="00507F92">
        <w:t>es études sur l’impact des formations</w:t>
      </w:r>
      <w:r w:rsidR="004710F1">
        <w:t xml:space="preserve"> identifiaient déjà certaines lacunes et contraintes</w:t>
      </w:r>
      <w:r w:rsidR="00507F92">
        <w:t>, en matière de gestion des ressources humaines et leadership</w:t>
      </w:r>
      <w:r w:rsidR="004710F1">
        <w:t xml:space="preserve">, auxquelles aucune mesure d’atténuation ou de traitement n’ont </w:t>
      </w:r>
      <w:r w:rsidR="00DB5A33">
        <w:t>pu être</w:t>
      </w:r>
      <w:r w:rsidR="004710F1">
        <w:t xml:space="preserve"> proposées.</w:t>
      </w:r>
      <w:r w:rsidR="00DB5A33">
        <w:t xml:space="preserve"> Elles sont toujours en partie d’actualité et pourrait de nouveau être discuté avec les acteurs concernées.</w:t>
      </w:r>
    </w:p>
    <w:p w14:paraId="515D52EA" w14:textId="77777777" w:rsidR="007A64AD" w:rsidRPr="006F45FF" w:rsidRDefault="007A64AD" w:rsidP="006F45FF"/>
    <w:p w14:paraId="023195D7" w14:textId="77777777" w:rsidR="006F45FF" w:rsidRPr="006F45FF" w:rsidRDefault="006F45FF" w:rsidP="006F45FF"/>
    <w:p w14:paraId="04BE0CD9" w14:textId="51D1F8BE" w:rsidR="00E36B0E" w:rsidRPr="00E36B0E" w:rsidRDefault="006F45FF" w:rsidP="00714B69">
      <w:pPr>
        <w:pStyle w:val="Titre3"/>
      </w:pPr>
      <w:bookmarkStart w:id="31" w:name="_Toc525626852"/>
      <w:r>
        <w:t>Gestion et redevabilité</w:t>
      </w:r>
      <w:bookmarkEnd w:id="31"/>
      <w:r w:rsidR="00E36B0E" w:rsidRPr="00E36B0E">
        <w:t xml:space="preserve"> </w:t>
      </w:r>
    </w:p>
    <w:p w14:paraId="2A8807CA" w14:textId="77777777" w:rsidR="00E36B0E" w:rsidRDefault="00E36B0E" w:rsidP="00117A2F"/>
    <w:p w14:paraId="3B99D5A0" w14:textId="107AF144" w:rsidR="00E36B0E" w:rsidRDefault="004E2677" w:rsidP="00117A2F">
      <w:r>
        <w:t xml:space="preserve">L’Unité de Projet </w:t>
      </w:r>
      <w:r w:rsidR="00A9268B">
        <w:t>était constitué</w:t>
      </w:r>
      <w:r w:rsidR="00CF7E04">
        <w:t>e</w:t>
      </w:r>
      <w:r w:rsidR="00A9268B">
        <w:t xml:space="preserve"> à l’origine d’une coordinatrice et d’un assistant administratif et financier, </w:t>
      </w:r>
      <w:r w:rsidR="00507F92">
        <w:t xml:space="preserve">mais </w:t>
      </w:r>
      <w:r w:rsidR="00A9268B">
        <w:t>la coordinatrice ayant quitté son poste en</w:t>
      </w:r>
      <w:r w:rsidR="00EB052A">
        <w:t xml:space="preserve"> 2016</w:t>
      </w:r>
      <w:r w:rsidR="00A9268B">
        <w:t xml:space="preserve">. </w:t>
      </w:r>
    </w:p>
    <w:p w14:paraId="150933D3" w14:textId="25A0407E" w:rsidR="000C3FC9" w:rsidRDefault="00CF7E04" w:rsidP="00117A2F">
      <w:r>
        <w:t xml:space="preserve">Le projet a été mis en place selon la modalité NIM, donc directement par l’institution bénéficiaire, ce qui n’a pas été révisé après la crise de 2015. Ceci était </w:t>
      </w:r>
      <w:r w:rsidR="009C228E">
        <w:t>justifié dans la mesure où</w:t>
      </w:r>
      <w:r>
        <w:t xml:space="preserve"> l’appui a ciblé essentiellement les institutions étatiques et</w:t>
      </w:r>
      <w:r w:rsidR="009C228E">
        <w:t xml:space="preserve"> afin d’</w:t>
      </w:r>
      <w:r>
        <w:t>assurer une certaine continuité. La composante société civile au début du projet a cependant été gérée par le PNUD, ce qui semblait aussi pertinen</w:t>
      </w:r>
      <w:r w:rsidR="002356CD">
        <w:t>t</w:t>
      </w:r>
      <w:r>
        <w:t xml:space="preserve">.  </w:t>
      </w:r>
    </w:p>
    <w:p w14:paraId="47E724A8" w14:textId="65F750C8" w:rsidR="002356CD" w:rsidRDefault="002356CD" w:rsidP="00117A2F"/>
    <w:p w14:paraId="5BE3088F" w14:textId="0397481C" w:rsidR="0066719B" w:rsidRDefault="0066719B" w:rsidP="00117A2F">
      <w:r>
        <w:t xml:space="preserve">Des comptes-rendus de réunion de comité de pilotage, composé ont été transmis pour les dates suivantes : </w:t>
      </w:r>
    </w:p>
    <w:p w14:paraId="5DB61A4F" w14:textId="44E0D953" w:rsidR="00A132FB" w:rsidRDefault="00A132FB" w:rsidP="00117A2F">
      <w:r>
        <w:t xml:space="preserve">2013 : août, </w:t>
      </w:r>
      <w:r w:rsidR="00B0557D">
        <w:t>octobre, novembre</w:t>
      </w:r>
    </w:p>
    <w:p w14:paraId="00FE2DFB" w14:textId="53BA1606" w:rsidR="00B0557D" w:rsidRDefault="00B0557D" w:rsidP="00117A2F">
      <w:r>
        <w:t>2014 : février, mars, octobre</w:t>
      </w:r>
    </w:p>
    <w:p w14:paraId="4377D02C" w14:textId="7E17090D" w:rsidR="0066719B" w:rsidRDefault="00B0557D" w:rsidP="00117A2F">
      <w:r>
        <w:t>2015 : mars</w:t>
      </w:r>
      <w:r w:rsidR="00910DDE">
        <w:t xml:space="preserve"> (4 et 17)</w:t>
      </w:r>
    </w:p>
    <w:p w14:paraId="54C32F15" w14:textId="634F2C79" w:rsidR="00910DDE" w:rsidRDefault="00910DDE" w:rsidP="00117A2F">
      <w:r>
        <w:t>2016 : avril</w:t>
      </w:r>
    </w:p>
    <w:p w14:paraId="7231A6FC" w14:textId="4CA6D857" w:rsidR="0066719B" w:rsidRDefault="0066719B" w:rsidP="00117A2F">
      <w:r>
        <w:t>Ceci indique</w:t>
      </w:r>
      <w:r w:rsidR="000C24F5">
        <w:t xml:space="preserve"> un pilotage annuel</w:t>
      </w:r>
      <w:r>
        <w:t xml:space="preserve"> surtout autour des échéances programmatique</w:t>
      </w:r>
      <w:r w:rsidR="000C24F5">
        <w:t>s</w:t>
      </w:r>
      <w:r>
        <w:t xml:space="preserve"> pour l’approbation des plans de travail. </w:t>
      </w:r>
    </w:p>
    <w:p w14:paraId="20722C45" w14:textId="77777777" w:rsidR="00B0557D" w:rsidRDefault="00B0557D" w:rsidP="00B0557D">
      <w:r>
        <w:lastRenderedPageBreak/>
        <w:t>Le document de projet prévoyait une réunion mensuelle entre l’unité de projet et les points focaux.</w:t>
      </w:r>
    </w:p>
    <w:p w14:paraId="57192962" w14:textId="62B6DB8E" w:rsidR="00B0557D" w:rsidRDefault="00B0557D" w:rsidP="00B0557D">
      <w:r>
        <w:t>Depuis 2015, les interlocuteurs mentionnent qu’une seule réunion avec les points focaux a eu lieu en 2016 pour annoncer la clôture du projet</w:t>
      </w:r>
      <w:r w:rsidR="00507F92">
        <w:t xml:space="preserve"> (correspondant ainsi aux réunions du Comité de Pilotage)</w:t>
      </w:r>
      <w:r>
        <w:t xml:space="preserve">, alors que le financement s’est poursuivi. Ceci qui indique certaines confusions dans la communication avec les différentes parties prenantes. </w:t>
      </w:r>
    </w:p>
    <w:p w14:paraId="12CF303D" w14:textId="77777777" w:rsidR="002356CD" w:rsidRDefault="002356CD" w:rsidP="00117A2F"/>
    <w:p w14:paraId="18B279E6" w14:textId="77777777" w:rsidR="00E36B0E" w:rsidRDefault="00E36B0E" w:rsidP="00117A2F"/>
    <w:p w14:paraId="6CB4C5CC" w14:textId="365E61DA" w:rsidR="00E36B0E" w:rsidRPr="00E36B0E" w:rsidRDefault="00E36B0E" w:rsidP="00714B69">
      <w:pPr>
        <w:pStyle w:val="Titre3"/>
      </w:pPr>
      <w:bookmarkStart w:id="32" w:name="_Toc525626853"/>
      <w:r w:rsidRPr="00E36B0E">
        <w:t>Suivi / évaluation</w:t>
      </w:r>
      <w:bookmarkEnd w:id="32"/>
      <w:r w:rsidRPr="00E36B0E">
        <w:t xml:space="preserve"> </w:t>
      </w:r>
    </w:p>
    <w:p w14:paraId="38A5AC17" w14:textId="5DDCC6C1" w:rsidR="00E36B0E" w:rsidRDefault="00E36B0E" w:rsidP="00117A2F"/>
    <w:p w14:paraId="6E62D039" w14:textId="1D0E7692" w:rsidR="002356CD" w:rsidRDefault="007C6021" w:rsidP="00117A2F">
      <w:r>
        <w:t>Le suivi du projet et les rapports afférents ont été très limités, même si des compte</w:t>
      </w:r>
      <w:r w:rsidR="000C3FC9">
        <w:t>s</w:t>
      </w:r>
      <w:r>
        <w:t>-rendus d’activités sont transmis systématiquement</w:t>
      </w:r>
      <w:r w:rsidR="0075033D">
        <w:t xml:space="preserve"> pour justifier les décaissements</w:t>
      </w:r>
      <w:r w:rsidR="00E447EE">
        <w:t>, et si un bilan synthétique est dressé, au moins chaque année, lors des discussions sur le plan de travail</w:t>
      </w:r>
      <w:r>
        <w:t xml:space="preserve">. En particulier, le pilotage de la stratégie </w:t>
      </w:r>
      <w:r w:rsidR="00E447EE">
        <w:t xml:space="preserve">dans son ensemble – au-delà du projet PNUD – et des effets du projet </w:t>
      </w:r>
      <w:r>
        <w:t>reste peu</w:t>
      </w:r>
      <w:r w:rsidR="0075033D">
        <w:t xml:space="preserve"> visible</w:t>
      </w:r>
      <w:r w:rsidR="00E447EE">
        <w:t xml:space="preserve">, alors qu’ils sont significatifs. Ce point </w:t>
      </w:r>
      <w:r w:rsidR="00E447EE" w:rsidRPr="00507F92">
        <w:rPr>
          <w:i/>
        </w:rPr>
        <w:t>« il faut chaque fois : publier les bons résultats obtenus, se vendre et vendre ce que font les institutions et exhiber les travaux faits et cela par la communication pour que tout le monde puisse le savoir »</w:t>
      </w:r>
      <w:r w:rsidR="00E447EE">
        <w:rPr>
          <w:rStyle w:val="Appelnotedebasdep"/>
        </w:rPr>
        <w:footnoteReference w:id="10"/>
      </w:r>
      <w:r w:rsidR="00E447EE">
        <w:t> avait d’ailleurs été soulevé par le Directeur Pays Adjoint du PNUD</w:t>
      </w:r>
      <w:r>
        <w:t>.</w:t>
      </w:r>
      <w:r w:rsidR="002A1B0B">
        <w:t xml:space="preserve"> </w:t>
      </w:r>
      <w:r w:rsidR="002356CD">
        <w:t xml:space="preserve">Un rapport recensant les activités réalisées, non-réalisées, en cours et les enjeux rencontrés a été réalisé pour la période 2013-2016, ainsi que pour l’année 2017. L’évaluation </w:t>
      </w:r>
      <w:r w:rsidR="000C3FC9">
        <w:t>à mi-parcours prévue dans la conception du projet n’a pas été réalisée</w:t>
      </w:r>
      <w:r w:rsidR="00BE223D">
        <w:t>, à cause de la crise politique, ce qui est donc compréhensible.</w:t>
      </w:r>
    </w:p>
    <w:p w14:paraId="5D83CFFD" w14:textId="77777777" w:rsidR="00E36C12" w:rsidRDefault="00E36C12" w:rsidP="00117A2F"/>
    <w:p w14:paraId="3E10316C" w14:textId="4866A108" w:rsidR="005B6749" w:rsidRDefault="007C6021" w:rsidP="009E7D9A">
      <w:r>
        <w:t>Comme indiqu</w:t>
      </w:r>
      <w:r w:rsidR="009E7D9A">
        <w:t>é</w:t>
      </w:r>
      <w:r>
        <w:t xml:space="preserve"> ci-dessus, </w:t>
      </w:r>
      <w:r w:rsidR="009E7D9A">
        <w:t xml:space="preserve">il existe peu de données </w:t>
      </w:r>
      <w:r w:rsidR="00507F92">
        <w:t xml:space="preserve">communiquées par les institutions </w:t>
      </w:r>
      <w:r w:rsidR="009E7D9A">
        <w:t>sur l</w:t>
      </w:r>
      <w:r w:rsidR="00507F92">
        <w:t>eur</w:t>
      </w:r>
      <w:r w:rsidR="009E7D9A">
        <w:t xml:space="preserve"> </w:t>
      </w:r>
      <w:r>
        <w:t>performance, que ce soit au niveau des produits ou au niveau des effet</w:t>
      </w:r>
      <w:r w:rsidR="009E7D9A">
        <w:t>s, notamment sur le suivi des recommandations émises par les institutions et les changements au niveau des autres acteurs. Ceci</w:t>
      </w:r>
      <w:r>
        <w:t xml:space="preserve"> ne permet pas un réel pilotage des interventions, bien que le PNUD ait une expérience considérable sur la thématique dans des contextes d’intervention fragiles et complexes.</w:t>
      </w:r>
      <w:r w:rsidR="008B3588">
        <w:t xml:space="preserve"> </w:t>
      </w:r>
      <w:r w:rsidR="00403297">
        <w:t>Des indicateurs pertinents</w:t>
      </w:r>
      <w:r w:rsidR="009E7D9A">
        <w:t>, par exemple l</w:t>
      </w:r>
      <w:r w:rsidR="00AE1D6B">
        <w:t xml:space="preserve">a proportion de cas </w:t>
      </w:r>
      <w:r w:rsidR="008B3588">
        <w:t>de corruption enregistrés et transmis au parquet et à la cour anti-corruption et le nombre de structures contrôlées par la Cour des Comptes par rapport au plan de travail,</w:t>
      </w:r>
      <w:r w:rsidR="00403297">
        <w:t xml:space="preserve"> étaient mentionnés dans le document de projet, mais ils n'ont pas été suivis. </w:t>
      </w:r>
      <w:r w:rsidR="008B3588">
        <w:t>Dans une grande mesure, ces indicateurs concernaient directement la mise en œuvre des activités plutôt que les résultats du projet.</w:t>
      </w:r>
    </w:p>
    <w:p w14:paraId="40B9EBA6" w14:textId="77777777" w:rsidR="009E7D9A" w:rsidRDefault="009E7D9A" w:rsidP="00117A2F"/>
    <w:p w14:paraId="753EC711" w14:textId="77777777" w:rsidR="005B6749" w:rsidRDefault="005B6749" w:rsidP="005B6749">
      <w:r>
        <w:t>Les risques d’utilisation des différents mécanismes de façon discrétionnaire ne sont par ailleurs pas négligeables et ne sont pas clairement analysés ni suivi à ce stade. Ceci peut concerner par exemple les normes et règles de passation de marchés, qui peuvent être appliquées de façon plus ou moins strictes pour éliminer tel ou tel acteur, ou les poursuites en matière de lutte contre la corruption (les arrêtés rendus par la Cour sont publiés, mais ne sont pas analysés, notamment de façon consolidée, par des acteurs externes).</w:t>
      </w:r>
    </w:p>
    <w:p w14:paraId="00C734BC" w14:textId="77777777" w:rsidR="005B6749" w:rsidRDefault="005B6749" w:rsidP="00117A2F"/>
    <w:p w14:paraId="7DF9BE2E" w14:textId="7CCD2AEC" w:rsidR="003E7AAE" w:rsidRDefault="00584E9E" w:rsidP="00117A2F">
      <w:r>
        <w:t xml:space="preserve">Par ailleurs, les systèmes et logiciels qui étaient prévus </w:t>
      </w:r>
      <w:r w:rsidRPr="00BA2F01">
        <w:t>pour</w:t>
      </w:r>
      <w:r w:rsidR="00BA2707" w:rsidRPr="00BA2F01">
        <w:t xml:space="preserve"> renforcer</w:t>
      </w:r>
      <w:r w:rsidR="00BA2F01" w:rsidRPr="00BA2F01">
        <w:t xml:space="preserve"> la gestion des cas au sein de plusieurs institutions de contrôle (BSAC notamment)</w:t>
      </w:r>
      <w:r w:rsidR="00BA2707">
        <w:t xml:space="preserve"> n’ont pu être mis en place</w:t>
      </w:r>
      <w:r>
        <w:t xml:space="preserve">. </w:t>
      </w:r>
      <w:r w:rsidR="00BA2707">
        <w:t>Cet aspect</w:t>
      </w:r>
      <w:r>
        <w:t xml:space="preserve"> apparaît cependant essentiel pour assurer la transparence, lisibilité et le pilotage du traitement des dossiers.</w:t>
      </w:r>
    </w:p>
    <w:p w14:paraId="72757B21" w14:textId="20018638" w:rsidR="003E7AAE" w:rsidRDefault="003E7AAE" w:rsidP="00117A2F"/>
    <w:p w14:paraId="7586D51A" w14:textId="77777777" w:rsidR="003E7AAE" w:rsidRDefault="003E7AAE" w:rsidP="00117A2F"/>
    <w:p w14:paraId="57EA4627" w14:textId="6775125A" w:rsidR="00F11225" w:rsidRPr="00714B69" w:rsidRDefault="00E36B0E" w:rsidP="00714B69">
      <w:pPr>
        <w:pStyle w:val="Titre3"/>
      </w:pPr>
      <w:bookmarkStart w:id="33" w:name="_Toc525626854"/>
      <w:r w:rsidRPr="00714B69">
        <w:t>Coordination</w:t>
      </w:r>
      <w:bookmarkEnd w:id="33"/>
    </w:p>
    <w:p w14:paraId="0E1908F2" w14:textId="7178EC9D" w:rsidR="00E36B0E" w:rsidRDefault="00E36B0E" w:rsidP="00117A2F"/>
    <w:p w14:paraId="67F299A0" w14:textId="5653F458" w:rsidR="005171D3" w:rsidRDefault="005171D3" w:rsidP="00117A2F">
      <w:r>
        <w:t>Le projet a contribué à renforcer les interactions entre les différents acteurs et institutions supérieures de contrôle et structures concernées par la lutte contre la corruption et la stratégie nationale de bonne gouvernance et lutte contre la corruption. Toutefois, la coordination entre ces acteurs reste limitée et peu formalisée autour d’objectifs communs pour l’opérationnalisation de la stratégie par exemple. Le manque d’informations disponibles limite aussi la visibilité des interactions entre les différents ministères, les entreprises étatiques, l’IGE, la Cour des Comptes.</w:t>
      </w:r>
    </w:p>
    <w:p w14:paraId="3E044199" w14:textId="77777777" w:rsidR="005171D3" w:rsidRDefault="005171D3" w:rsidP="00117A2F"/>
    <w:p w14:paraId="471A2A2D" w14:textId="7EB0DDC3" w:rsidR="00E36B0E" w:rsidRDefault="00791F92" w:rsidP="00117A2F">
      <w:r>
        <w:lastRenderedPageBreak/>
        <w:t xml:space="preserve">La coordination entre les différents acteurs internationaux, et à plus forte raison entre </w:t>
      </w:r>
      <w:r w:rsidR="001B4FC0">
        <w:t>les acteurs internationaux et les institutions étatiques, reste très limitée, en particulier sur la question de la bonne gouvernance</w:t>
      </w:r>
      <w:r w:rsidR="009E7D9A">
        <w:t xml:space="preserve">. Des cadres </w:t>
      </w:r>
      <w:r w:rsidR="00507F92">
        <w:t xml:space="preserve">de concertation sectoriels </w:t>
      </w:r>
      <w:r w:rsidR="009E7D9A">
        <w:t>existaient avant la crise de 2015 et il semblerait que le Ministère de la Bonne Gouvernance souhaite relancer la coordination</w:t>
      </w:r>
      <w:r w:rsidR="00507F92">
        <w:t xml:space="preserve"> sur la thématique</w:t>
      </w:r>
      <w:r w:rsidR="001B4FC0">
        <w:t>.</w:t>
      </w:r>
      <w:r w:rsidR="009616D2">
        <w:t xml:space="preserve"> Aucun autre acteur que le PNUD n’a de contacts avec autant de services de l’Etat et de façon si soutenu</w:t>
      </w:r>
      <w:r w:rsidR="00971CFE">
        <w:t>e, ainsi qu’avec les bailleurs internationaux</w:t>
      </w:r>
      <w:r w:rsidR="009616D2">
        <w:t xml:space="preserve">. A ce titre, le PNUD </w:t>
      </w:r>
      <w:r w:rsidR="00971CFE">
        <w:t xml:space="preserve">fait figure d’intermédiaire potentiel et </w:t>
      </w:r>
      <w:r w:rsidR="009616D2">
        <w:t>pourrait jouer un rôle</w:t>
      </w:r>
      <w:r w:rsidR="00971CFE">
        <w:t xml:space="preserve"> moteur dans la coordination entre les acteurs</w:t>
      </w:r>
      <w:r w:rsidR="009616D2">
        <w:t>, ce qui serait</w:t>
      </w:r>
      <w:r w:rsidR="00971CFE">
        <w:t xml:space="preserve"> </w:t>
      </w:r>
      <w:r w:rsidR="009616D2">
        <w:t xml:space="preserve">utile </w:t>
      </w:r>
      <w:r w:rsidR="00971CFE">
        <w:t>pour renforcer la communication, notamment sur les résultats des institutions étatiques appuyées, et donc potentiellement pour la mobilisation de ressources.</w:t>
      </w:r>
    </w:p>
    <w:p w14:paraId="519D5426" w14:textId="1BB206CE" w:rsidR="00E36B0E" w:rsidRDefault="00E36B0E" w:rsidP="00117A2F"/>
    <w:p w14:paraId="73717CA8" w14:textId="63C82A19" w:rsidR="00F11225" w:rsidRDefault="00F11225" w:rsidP="00117A2F"/>
    <w:p w14:paraId="1103DEAC" w14:textId="63F89D66" w:rsidR="00F11225" w:rsidRPr="00F11225" w:rsidRDefault="00F11225" w:rsidP="00117A2F">
      <w:pPr>
        <w:pStyle w:val="Titre2"/>
      </w:pPr>
      <w:bookmarkStart w:id="34" w:name="_Toc525626855"/>
      <w:r>
        <w:t>Durabilité</w:t>
      </w:r>
      <w:bookmarkEnd w:id="34"/>
      <w:r>
        <w:t xml:space="preserve"> </w:t>
      </w:r>
    </w:p>
    <w:p w14:paraId="4D8C7974" w14:textId="276A2FB2" w:rsidR="00F11225" w:rsidRDefault="00F11225" w:rsidP="00117A2F"/>
    <w:p w14:paraId="3DDC4243"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Quelles sont les indications de la durabilité des effets ?</w:t>
      </w:r>
    </w:p>
    <w:p w14:paraId="45E6CDD8"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Jusqu’à quel point une stratégie en matière de durabilité, incluant le développement des capacités des parties prenantes nationales clés, a été développée ou mise en </w:t>
      </w:r>
      <w:proofErr w:type="gramStart"/>
      <w:r w:rsidRPr="00131C1A">
        <w:rPr>
          <w:rFonts w:ascii="Times New Roman" w:eastAsia="Calibri" w:hAnsi="Times New Roman"/>
          <w:i/>
        </w:rPr>
        <w:t>œuvre?</w:t>
      </w:r>
      <w:proofErr w:type="gramEnd"/>
    </w:p>
    <w:p w14:paraId="4273B893"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Jusqu’à quel point </w:t>
      </w:r>
      <w:r w:rsidRPr="00054137">
        <w:rPr>
          <w:rFonts w:ascii="Times New Roman" w:eastAsia="Calibri" w:hAnsi="Times New Roman"/>
          <w:i/>
        </w:rPr>
        <w:t>des politiques et cadres règlementaires sont-</w:t>
      </w:r>
      <w:r w:rsidRPr="00131C1A">
        <w:rPr>
          <w:rFonts w:ascii="Times New Roman" w:eastAsia="Calibri" w:hAnsi="Times New Roman"/>
          <w:i/>
        </w:rPr>
        <w:t xml:space="preserve">ils en place afin d’assurer la persistance des bénéfices. </w:t>
      </w:r>
    </w:p>
    <w:p w14:paraId="6C7CC8D3"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Jusqu’à quel point les partenaires se sont-ils engagés à poursuivre leur appui ? </w:t>
      </w:r>
    </w:p>
    <w:p w14:paraId="0A31364D"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De quelle manière les intérêts pour l’égalité du genre, les droits de l’Homme et le développement humain, ont été pris en compte par les principales parties </w:t>
      </w:r>
      <w:proofErr w:type="gramStart"/>
      <w:r w:rsidRPr="00131C1A">
        <w:rPr>
          <w:rFonts w:ascii="Times New Roman" w:eastAsia="Calibri" w:hAnsi="Times New Roman"/>
          <w:i/>
        </w:rPr>
        <w:t>prenantes?</w:t>
      </w:r>
      <w:proofErr w:type="gramEnd"/>
    </w:p>
    <w:p w14:paraId="1CFCCDF7"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Le projet a réussi à respecter les principes clés du développement notamment l'appropriation nationale, et assurer la durabilité des résultats ?</w:t>
      </w:r>
    </w:p>
    <w:p w14:paraId="297633BB"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De quelle manière et à quel niveau les acteurs nationaux ont-ils été associés à la définition et à la mise en œuvre du projet ?</w:t>
      </w:r>
    </w:p>
    <w:p w14:paraId="36AB4CD9" w14:textId="3245C15E"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Le projet permet-il aux autorités politiques, administratives et judiciaires d’acquérir les capacités nécessaires pour initier et piloter des projets de lutte contre la corruption et en mobiliser les ressources externes et internes ?</w:t>
      </w:r>
    </w:p>
    <w:p w14:paraId="64AFF859"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Quelle est la portée de la durabilité des résultats obtenus tant en renforcement des capacités humaines et techniques qu’en matière d’outils ?</w:t>
      </w:r>
    </w:p>
    <w:p w14:paraId="4DD74E2A"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Les mécanismes de pérennisation des résultats du projet ont-ils été mis en place ? Sont-ils fonctionnels ? </w:t>
      </w:r>
    </w:p>
    <w:p w14:paraId="57DE874F"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 xml:space="preserve">Quelles sont les facteurs qui pourraient favoriser ou non la durabilité des résultats atteints ? </w:t>
      </w:r>
    </w:p>
    <w:p w14:paraId="0EF9CAAD" w14:textId="77777777" w:rsidR="00131C1A" w:rsidRPr="00131C1A" w:rsidRDefault="00131C1A" w:rsidP="00353A8C">
      <w:pPr>
        <w:numPr>
          <w:ilvl w:val="0"/>
          <w:numId w:val="5"/>
        </w:numPr>
        <w:shd w:val="clear" w:color="auto" w:fill="FFFFFF"/>
        <w:spacing w:after="120"/>
        <w:ind w:left="142"/>
        <w:rPr>
          <w:rFonts w:ascii="Times New Roman" w:eastAsia="Calibri" w:hAnsi="Times New Roman"/>
          <w:i/>
        </w:rPr>
      </w:pPr>
      <w:r w:rsidRPr="00131C1A">
        <w:rPr>
          <w:rFonts w:ascii="Times New Roman" w:eastAsia="Calibri" w:hAnsi="Times New Roman"/>
          <w:i/>
        </w:rPr>
        <w:t>Quelles sont les recommandations pour les interventions similaires dans le futur ?</w:t>
      </w:r>
    </w:p>
    <w:p w14:paraId="0E5409F0" w14:textId="4063D609" w:rsidR="00907EC9" w:rsidRDefault="00907EC9" w:rsidP="00131C1A"/>
    <w:p w14:paraId="1F92452F" w14:textId="1E053B6E" w:rsidR="00131C1A" w:rsidRDefault="00907EC9" w:rsidP="00131C1A">
      <w:r>
        <w:t xml:space="preserve">Au niveau financier, il n’existe aucune durabilité à ce stade, puisque le budget de l’Etat a </w:t>
      </w:r>
      <w:r w:rsidR="00507F92">
        <w:t>été considérablement réduit</w:t>
      </w:r>
      <w:r>
        <w:t xml:space="preserve"> et les allocations aux différents services étatiques n’ont pas évolué non plus</w:t>
      </w:r>
      <w:r w:rsidR="00054137">
        <w:t>, selon les acteurs rencontrés.</w:t>
      </w:r>
      <w:r w:rsidR="003B4C1F">
        <w:t xml:space="preserve"> </w:t>
      </w:r>
      <w:r>
        <w:t>Le potentiel existe cependant puisque les institutions de contrôle permettent le recouvrement de sommes significatives. Un pourcentage pourrait être alloué aux structures en fonction des résultats pour assurer la durabilité du système, directement ou indirectement par une augmentation du budget de l’Etat alloué aux structures. A ce titre, il existe un risque certain que si l’appui du PNUD, les activités des institutions relevant du Ministère de la Bonne Gouvernance</w:t>
      </w:r>
      <w:r w:rsidR="006325C3">
        <w:t>,</w:t>
      </w:r>
      <w:r>
        <w:t xml:space="preserve"> soient </w:t>
      </w:r>
      <w:r w:rsidR="006325C3">
        <w:t xml:space="preserve">considérablement </w:t>
      </w:r>
      <w:r>
        <w:t>réduites.</w:t>
      </w:r>
    </w:p>
    <w:p w14:paraId="2174383D" w14:textId="4CB7F369" w:rsidR="006325C3" w:rsidRDefault="006325C3" w:rsidP="00131C1A">
      <w:r>
        <w:t>Le personnel des institutions n’a pas augmenté non plus, et les stratégies des institutions en matière de renforcement des capacités et gestion des ressources humaines ne sont pas clairement documentées non plus.</w:t>
      </w:r>
    </w:p>
    <w:p w14:paraId="4801D651" w14:textId="0987ACBB" w:rsidR="006325C3" w:rsidRDefault="006325C3" w:rsidP="00131C1A"/>
    <w:p w14:paraId="34FA4A77" w14:textId="7005FF12" w:rsidR="006325C3" w:rsidRDefault="006325C3" w:rsidP="00131C1A">
      <w:r>
        <w:t>Il existe peu d’autres bailleurs susceptibles de dispenser un appui aux institutions de contrôle, hormis les rares appuis indiqués ci-dessus</w:t>
      </w:r>
      <w:r w:rsidR="00B14AB9">
        <w:t xml:space="preserve">, et il est peu probable que cela évolue dans un futur proche comme le dialogue entre le gouvernement et les bailleurs n’a pas </w:t>
      </w:r>
      <w:r w:rsidR="00507F92">
        <w:t xml:space="preserve">réellement </w:t>
      </w:r>
      <w:r w:rsidR="00B14AB9">
        <w:t>repris</w:t>
      </w:r>
      <w:r>
        <w:t>.</w:t>
      </w:r>
      <w:r w:rsidR="00B14AB9">
        <w:t xml:space="preserve"> </w:t>
      </w:r>
    </w:p>
    <w:p w14:paraId="78703952" w14:textId="045401EB" w:rsidR="00B9075E" w:rsidRDefault="00B9075E" w:rsidP="00131C1A"/>
    <w:p w14:paraId="25DA430E" w14:textId="0CB3ED07" w:rsidR="00B9075E" w:rsidRDefault="00B9075E" w:rsidP="00131C1A">
      <w:r>
        <w:lastRenderedPageBreak/>
        <w:t>Au niveau organisationnel, on peut noter</w:t>
      </w:r>
      <w:r w:rsidR="006C6AAB">
        <w:t xml:space="preserve"> toutefois noter</w:t>
      </w:r>
      <w:r>
        <w:t xml:space="preserve"> certain</w:t>
      </w:r>
      <w:r w:rsidR="002663E4">
        <w:t>es dynamiques</w:t>
      </w:r>
      <w:r>
        <w:t xml:space="preserve"> susceptibles de contribuer à la durabilité</w:t>
      </w:r>
      <w:r w:rsidR="002663E4">
        <w:t>. Ainsi,</w:t>
      </w:r>
      <w:r w:rsidR="00825E67">
        <w:t xml:space="preserve"> des services d’inspection interne</w:t>
      </w:r>
      <w:r w:rsidR="00FF6D7B">
        <w:t xml:space="preserve"> ont été crée au sein de certains ministères, avec </w:t>
      </w:r>
      <w:r w:rsidR="00FF6D7B" w:rsidRPr="00ED2A67">
        <w:t>l’appui de l’IGE :</w:t>
      </w:r>
      <w:r w:rsidR="002E778B" w:rsidRPr="00ED2A67">
        <w:t xml:space="preserve"> au niveau du Ministère de la Santé et de l’Agriculture notamment</w:t>
      </w:r>
      <w:r w:rsidRPr="00ED2A67">
        <w:t>. La performance</w:t>
      </w:r>
      <w:r>
        <w:t xml:space="preserve"> de ces services de contrôle interne reste cependant méconnu</w:t>
      </w:r>
      <w:r w:rsidR="00825E67">
        <w:t>e</w:t>
      </w:r>
      <w:r>
        <w:t xml:space="preserve"> à ce stade.</w:t>
      </w:r>
      <w:r w:rsidR="00CD760B">
        <w:t xml:space="preserve"> Certains acteurs soulignent aussi les limites à ces systèmes de contrôle interne et les conflits d’intérêt afférents, avec aussi un potentiel transfert des audits externes via des audits internes, ce qui ne permettrait donc pas forcément de renforcer le contrôle indépendant des structures.</w:t>
      </w:r>
      <w:r w:rsidR="006C6AAB">
        <w:t xml:space="preserve"> Selon certains acteurs,</w:t>
      </w:r>
      <w:r w:rsidR="00600835">
        <w:t xml:space="preserve"> </w:t>
      </w:r>
      <w:r w:rsidR="006C6AAB">
        <w:t>i</w:t>
      </w:r>
      <w:r w:rsidR="00D7284A">
        <w:t xml:space="preserve">l y avait en effet dans le passé des appels d’offre pour la réalisation d’audits de structures étatiques, entreprises publiques notamment, par des </w:t>
      </w:r>
      <w:r w:rsidR="00B93A93">
        <w:t>cabinets externes</w:t>
      </w:r>
      <w:r w:rsidR="00D7284A">
        <w:t xml:space="preserve">. </w:t>
      </w:r>
      <w:r w:rsidR="00600835">
        <w:t>Des actions sont aussi régulièrement organisées dans les différentes villes du pays, par l’IGE notamment, pour former les structures locales et améliorer la gestion de la chose publique.</w:t>
      </w:r>
    </w:p>
    <w:p w14:paraId="4383EB9F" w14:textId="55AA6DBA" w:rsidR="002663E4" w:rsidRDefault="002663E4" w:rsidP="00131C1A">
      <w:r>
        <w:t xml:space="preserve">Le projet n’a pas inclus d’interventions directement liées à la durabilité, outre le soutien aux initiatives nationales sur la bonne gouvernance et lutte contre la corruption. Ainsi, les formations n’incluaient pas spécifiquement de formations de formateurs. Il existe toutefois des formateurs au sein des différentes institutions qui contribuent à la dissémination des connaissances et au renforcement des capacités d’autres </w:t>
      </w:r>
      <w:r w:rsidR="006C6AAB">
        <w:t>structures. Ils</w:t>
      </w:r>
      <w:r>
        <w:t xml:space="preserve"> constituent une ressource précieuse sur laquelle il serait intéressant de capitaliser.</w:t>
      </w:r>
      <w:r w:rsidR="00600835">
        <w:t xml:space="preserve"> </w:t>
      </w:r>
    </w:p>
    <w:p w14:paraId="6638F489" w14:textId="716D5FA1" w:rsidR="00122D90" w:rsidRDefault="00122D90" w:rsidP="00131C1A">
      <w:r>
        <w:t>Les dynamiques en cours en matière de décentralisation constituent aussi un potentiel de durabilité, puisque cela constitue un vecteur pour étendre le champ des acteurs impliqués et le traitement des problématiques de bonne gouvernance au niveau local.</w:t>
      </w:r>
    </w:p>
    <w:p w14:paraId="24AF55D8" w14:textId="757CFEDB" w:rsidR="00131C1A" w:rsidRDefault="00131C1A" w:rsidP="00131C1A"/>
    <w:p w14:paraId="574A0B06" w14:textId="31C3831C" w:rsidR="00131C1A" w:rsidRDefault="004209F7" w:rsidP="00131C1A">
      <w:r>
        <w:t xml:space="preserve">Des approches d’appui technique suivi plutôt que des formations ponctuelles n’ont pas vraiment été envisagées. Celles-ci sont cependant parfois couteuses. Des exemples de tutorat ou assistance technique ont lieu dans de nombreux pays via le PNUD, Afghanistan par exemple, où certains pays disponibilisent des experts pour appuyer des structures étatiques, certains ministères par exemple, ou autres institutions. Cette option pourrait être envisagée, notamment dans le cas de structures particulièrement faibles. Quand les institutions ont des résultats et produits relativement visibles (Cour des Comptes ou Cour Anti-corruption par exemple), cela ne semble pas forcément nécessaire et un appui aux acteurs en place peut être suffisant. </w:t>
      </w:r>
    </w:p>
    <w:p w14:paraId="3FEA0109" w14:textId="0F36810D" w:rsidR="004209F7" w:rsidRDefault="004209F7" w:rsidP="00131C1A"/>
    <w:p w14:paraId="39018DD7" w14:textId="77777777" w:rsidR="004209F7" w:rsidRDefault="004209F7" w:rsidP="00131C1A"/>
    <w:p w14:paraId="6149BA6F" w14:textId="648231D4" w:rsidR="00131C1A" w:rsidRDefault="00131C1A" w:rsidP="00131C1A"/>
    <w:p w14:paraId="2E4B7303" w14:textId="6A9CE1B5" w:rsidR="00131C1A" w:rsidRDefault="00131C1A" w:rsidP="00131C1A">
      <w:pPr>
        <w:pStyle w:val="Titre2"/>
      </w:pPr>
      <w:bookmarkStart w:id="35" w:name="_Toc525626856"/>
      <w:r>
        <w:t>Impact</w:t>
      </w:r>
      <w:bookmarkEnd w:id="35"/>
      <w:r>
        <w:t xml:space="preserve"> </w:t>
      </w:r>
    </w:p>
    <w:p w14:paraId="4C2FCB81" w14:textId="77777777" w:rsidR="00131C1A" w:rsidRDefault="00131C1A" w:rsidP="00117A2F"/>
    <w:p w14:paraId="26B85726" w14:textId="77777777" w:rsidR="00131C1A" w:rsidRPr="00131C1A" w:rsidRDefault="00131C1A" w:rsidP="00353A8C">
      <w:pPr>
        <w:numPr>
          <w:ilvl w:val="0"/>
          <w:numId w:val="5"/>
        </w:numPr>
        <w:shd w:val="clear" w:color="auto" w:fill="FFFFFF"/>
        <w:spacing w:after="120"/>
        <w:ind w:left="426"/>
        <w:rPr>
          <w:rFonts w:ascii="Times New Roman" w:eastAsia="Calibri" w:hAnsi="Times New Roman"/>
          <w:i/>
        </w:rPr>
      </w:pPr>
      <w:r w:rsidRPr="00131C1A">
        <w:rPr>
          <w:rFonts w:ascii="Times New Roman" w:eastAsia="Calibri" w:hAnsi="Times New Roman"/>
          <w:i/>
        </w:rPr>
        <w:t>Quels sont les changements induits par le projet dans la lutte contre la corruption au niveau des Institutions supérieures de lutte contre la corruption ?</w:t>
      </w:r>
    </w:p>
    <w:p w14:paraId="08F425F9" w14:textId="77777777" w:rsidR="00131C1A" w:rsidRPr="00131C1A" w:rsidRDefault="00131C1A" w:rsidP="00353A8C">
      <w:pPr>
        <w:numPr>
          <w:ilvl w:val="0"/>
          <w:numId w:val="5"/>
        </w:numPr>
        <w:shd w:val="clear" w:color="auto" w:fill="FFFFFF"/>
        <w:spacing w:after="120"/>
        <w:ind w:left="426"/>
        <w:rPr>
          <w:rFonts w:ascii="Times New Roman" w:eastAsia="Calibri" w:hAnsi="Times New Roman"/>
          <w:i/>
        </w:rPr>
      </w:pPr>
      <w:r w:rsidRPr="00131C1A">
        <w:rPr>
          <w:rFonts w:ascii="Times New Roman" w:eastAsia="Calibri" w:hAnsi="Times New Roman"/>
          <w:i/>
        </w:rPr>
        <w:t>Quel est l'impact global du Projet sur bonne gouvernance et la lutte contre la corruption au Burundi ?</w:t>
      </w:r>
    </w:p>
    <w:p w14:paraId="4DD52FC2" w14:textId="39415E64" w:rsidR="00131C1A" w:rsidRDefault="00131C1A" w:rsidP="00117A2F"/>
    <w:p w14:paraId="1BCF0443" w14:textId="29ED854E" w:rsidR="000E7F4F" w:rsidRDefault="007823D6" w:rsidP="00117A2F">
      <w:r>
        <w:t xml:space="preserve">Le projet a contribué au niveau des effets (outcomes) à la lutte contre la corruption en matière de renforcement des capacités des institutions de contrôle sur différents plans, y compris en finançant des activités opérationnelles.  </w:t>
      </w:r>
    </w:p>
    <w:p w14:paraId="7C4DF5D3" w14:textId="5C91C5B0" w:rsidR="000E7F4F" w:rsidRDefault="007823D6" w:rsidP="00117A2F">
      <w:r>
        <w:t>L’impact du projet sur le phénomène de la corruption est cependant difficilement appréciable compte tenu</w:t>
      </w:r>
      <w:r w:rsidR="004209F7">
        <w:t xml:space="preserve"> de l’absence de données,</w:t>
      </w:r>
      <w:r>
        <w:t xml:space="preserve"> du </w:t>
      </w:r>
      <w:r w:rsidR="004209F7">
        <w:t>contexte</w:t>
      </w:r>
      <w:r>
        <w:t xml:space="preserve"> du pays et les enjeux politiques</w:t>
      </w:r>
      <w:r w:rsidR="004209F7">
        <w:t xml:space="preserve"> afférents</w:t>
      </w:r>
      <w:r>
        <w:t>.</w:t>
      </w:r>
    </w:p>
    <w:p w14:paraId="6911759D" w14:textId="4D9CD270" w:rsidR="007823D6" w:rsidRDefault="007823D6" w:rsidP="00117A2F">
      <w:r>
        <w:t>L’absence d’appui à d’autres acteurs que les acteurs étatiques</w:t>
      </w:r>
      <w:r w:rsidR="00933C34">
        <w:t>, comme la société civile notamment, mais aussi les universi</w:t>
      </w:r>
      <w:r w:rsidR="006721E3">
        <w:t>²</w:t>
      </w:r>
      <w:r w:rsidR="00933C34">
        <w:t>tés, syndicats du secteur privé etc…,</w:t>
      </w:r>
      <w:r>
        <w:t xml:space="preserve"> peut contribuer à certains déséquilibres</w:t>
      </w:r>
      <w:r w:rsidR="00933C34">
        <w:t xml:space="preserve"> par monopole du traitement du phénomène sans contrepouvoir. Cela limite la transparence des évolutions en matière de corruption et de la réponse qui y est apportée par l’état, qui reste peu analysé</w:t>
      </w:r>
      <w:r w:rsidR="00750E2F">
        <w:t>e</w:t>
      </w:r>
      <w:r w:rsidR="00933C34">
        <w:t>.</w:t>
      </w:r>
      <w:r>
        <w:t xml:space="preserve"> </w:t>
      </w:r>
      <w:r w:rsidR="00933C34">
        <w:t xml:space="preserve">A ce titre, </w:t>
      </w:r>
      <w:r w:rsidR="00854B76">
        <w:t xml:space="preserve">il y a </w:t>
      </w:r>
      <w:r w:rsidR="00933C34">
        <w:t xml:space="preserve">des risques </w:t>
      </w:r>
      <w:r w:rsidR="00854B76">
        <w:t>à</w:t>
      </w:r>
      <w:r w:rsidR="00933C34">
        <w:t xml:space="preserve"> s’engager à des appuis uniquement aux institutions étatiques.</w:t>
      </w:r>
    </w:p>
    <w:p w14:paraId="19D5ACE3" w14:textId="3500843D" w:rsidR="00346683" w:rsidRDefault="00854B76" w:rsidP="00117A2F">
      <w:r>
        <w:t xml:space="preserve">L’absence d’actions sur les questions de la grande corruption limite aussi le potentiel d’impact puisque les cercles vicieux mis en place par ces pratiques, qui se répliquent à tous les niveaux de la société, perdurent voire se renforcent potentiellement. A ce titre, la recherche et l’identification des </w:t>
      </w:r>
      <w:r w:rsidR="006B2A29">
        <w:t xml:space="preserve">vecteurs potentiels pour </w:t>
      </w:r>
      <w:r w:rsidR="00B17379">
        <w:t xml:space="preserve">cibler ces questions, sur le plan politique via des structures africaines régionales (CIRGL, ECAS), continentales (Union Africaine), ou l’utilisation de cadres législatifs internationaux (lutte contre les biens mal acquis), </w:t>
      </w:r>
      <w:r w:rsidR="00E518E2">
        <w:t>pourrait être analysée davantage</w:t>
      </w:r>
      <w:r w:rsidR="00B17379">
        <w:t>.</w:t>
      </w:r>
    </w:p>
    <w:p w14:paraId="4918DEF2" w14:textId="3C89D9F9" w:rsidR="00346683" w:rsidRDefault="00F92D26" w:rsidP="00117A2F">
      <w:r>
        <w:lastRenderedPageBreak/>
        <w:t>Certains secteurs restent exempt</w:t>
      </w:r>
      <w:r w:rsidR="00B25512">
        <w:t>s</w:t>
      </w:r>
      <w:r>
        <w:t xml:space="preserve"> de cas identifiés,</w:t>
      </w:r>
      <w:r w:rsidR="00B25512">
        <w:t xml:space="preserve"> comme le secteur minier, dont la structuration et le développement se met en place,</w:t>
      </w:r>
      <w:r>
        <w:t xml:space="preserve"> alors qu</w:t>
      </w:r>
      <w:r w:rsidR="00B25512">
        <w:t>e les enjeux sont majeurs, en termes d’intérêts nationaux</w:t>
      </w:r>
      <w:r>
        <w:t xml:space="preserve"> </w:t>
      </w:r>
      <w:r w:rsidR="00B25512">
        <w:t xml:space="preserve">mais aussi par rapport aux normes internationales qui sont déjà bien avancées dans les pays frontaliers, en fonction de certains minerais, mais plus généralement sur un certain niveau de transparence des contrats, concessions et acteurs clés. Le Burundi n’est notamment pas encore membre de l’ITIE. </w:t>
      </w:r>
    </w:p>
    <w:p w14:paraId="5F03D88D" w14:textId="3197832C" w:rsidR="00B737D6" w:rsidRDefault="00B737D6" w:rsidP="00117A2F"/>
    <w:p w14:paraId="5BC3A2ED" w14:textId="572C2FBD" w:rsidR="00B737D6" w:rsidRDefault="00B737D6" w:rsidP="00B737D6">
      <w:r w:rsidRPr="00117A2F">
        <w:t xml:space="preserve">Il n’existe pas d’éléments </w:t>
      </w:r>
      <w:r>
        <w:t xml:space="preserve">fiables </w:t>
      </w:r>
      <w:r w:rsidRPr="00117A2F">
        <w:t xml:space="preserve">permettant </w:t>
      </w:r>
      <w:r>
        <w:t>d’indiquer une diminution du phénomène, et la pertinence d’actions en la matière est plus que jamais réelle. La perception sur l’évolution du phénomène varie en fonction de la fonction des acteurs interrogés, et tout positionnement à ce sujet est perçu aussi comme politique ou comme une critique ou approbation des actions du gouvernement. Certains mentionnent les effets de la baisse du budget de l’Etat qui conduit à une évolution des conditions de travail des agents de l’Etat. L’arrêt de l’appui aux institutions étatiques par les bailleurs internationaux, en premier chef l’Union Européenne a en effet conduit à une restriction des avantages accordés aux agents, policiers par exemple. Ceci peut influencer des comportements abusifs en matière de petite corruption et tracasserie auprès des populations.</w:t>
      </w:r>
    </w:p>
    <w:p w14:paraId="7B4E5681" w14:textId="77777777" w:rsidR="00B737D6" w:rsidRDefault="00B737D6" w:rsidP="00B737D6"/>
    <w:p w14:paraId="07598F19" w14:textId="2E224107" w:rsidR="00B737D6" w:rsidRDefault="00B737D6" w:rsidP="00B737D6">
      <w:r>
        <w:t xml:space="preserve">L’analyse IPC de Transparency International date de 2015, aucune </w:t>
      </w:r>
      <w:r w:rsidR="00B02695">
        <w:t>étude</w:t>
      </w:r>
      <w:r>
        <w:t xml:space="preserve"> n’a pu être réalisée en 2017 contrairement aux autres pays, illustr</w:t>
      </w:r>
      <w:r w:rsidR="00B02695">
        <w:t>ant</w:t>
      </w:r>
      <w:r>
        <w:t xml:space="preserve"> aussi les limites sur le suivi du phénomène. L’index de corruption aurait toutefois évolué de la façon suivante : </w:t>
      </w:r>
    </w:p>
    <w:p w14:paraId="11D36BDB" w14:textId="77777777" w:rsidR="00B737D6" w:rsidRDefault="00B737D6" w:rsidP="00B737D6"/>
    <w:tbl>
      <w:tblPr>
        <w:tblStyle w:val="Grilledutableau"/>
        <w:tblW w:w="8079" w:type="dxa"/>
        <w:tblLook w:val="04A0" w:firstRow="1" w:lastRow="0" w:firstColumn="1" w:lastColumn="0" w:noHBand="0" w:noVBand="1"/>
      </w:tblPr>
      <w:tblGrid>
        <w:gridCol w:w="3416"/>
        <w:gridCol w:w="851"/>
        <w:gridCol w:w="727"/>
        <w:gridCol w:w="745"/>
        <w:gridCol w:w="763"/>
        <w:gridCol w:w="780"/>
        <w:gridCol w:w="797"/>
      </w:tblGrid>
      <w:tr w:rsidR="00B737D6" w14:paraId="6846F548" w14:textId="77777777" w:rsidTr="00B02695">
        <w:tc>
          <w:tcPr>
            <w:tcW w:w="3416" w:type="dxa"/>
          </w:tcPr>
          <w:p w14:paraId="76DD65C1" w14:textId="77777777" w:rsidR="00B737D6" w:rsidRDefault="00B737D6" w:rsidP="001A45F5"/>
        </w:tc>
        <w:tc>
          <w:tcPr>
            <w:tcW w:w="851" w:type="dxa"/>
          </w:tcPr>
          <w:p w14:paraId="26959BF8" w14:textId="77777777" w:rsidR="00B737D6" w:rsidRDefault="00B737D6" w:rsidP="001A45F5">
            <w:r>
              <w:t>2012</w:t>
            </w:r>
          </w:p>
        </w:tc>
        <w:tc>
          <w:tcPr>
            <w:tcW w:w="727" w:type="dxa"/>
          </w:tcPr>
          <w:p w14:paraId="548D4080" w14:textId="77777777" w:rsidR="00B737D6" w:rsidRDefault="00B737D6" w:rsidP="001A45F5">
            <w:r>
              <w:t>2013</w:t>
            </w:r>
          </w:p>
        </w:tc>
        <w:tc>
          <w:tcPr>
            <w:tcW w:w="745" w:type="dxa"/>
          </w:tcPr>
          <w:p w14:paraId="49F04C4F" w14:textId="77777777" w:rsidR="00B737D6" w:rsidRDefault="00B737D6" w:rsidP="001A45F5">
            <w:r>
              <w:t>2014</w:t>
            </w:r>
          </w:p>
        </w:tc>
        <w:tc>
          <w:tcPr>
            <w:tcW w:w="763" w:type="dxa"/>
          </w:tcPr>
          <w:p w14:paraId="22AC5C6D" w14:textId="77777777" w:rsidR="00B737D6" w:rsidRDefault="00B737D6" w:rsidP="001A45F5">
            <w:r>
              <w:t>2015</w:t>
            </w:r>
          </w:p>
        </w:tc>
        <w:tc>
          <w:tcPr>
            <w:tcW w:w="780" w:type="dxa"/>
          </w:tcPr>
          <w:p w14:paraId="49628063" w14:textId="77777777" w:rsidR="00B737D6" w:rsidRDefault="00B737D6" w:rsidP="001A45F5">
            <w:r>
              <w:t>2016</w:t>
            </w:r>
          </w:p>
        </w:tc>
        <w:tc>
          <w:tcPr>
            <w:tcW w:w="797" w:type="dxa"/>
          </w:tcPr>
          <w:p w14:paraId="62E4380B" w14:textId="77777777" w:rsidR="00B737D6" w:rsidRDefault="00B737D6" w:rsidP="001A45F5">
            <w:r>
              <w:t>2017</w:t>
            </w:r>
          </w:p>
        </w:tc>
      </w:tr>
      <w:tr w:rsidR="00B737D6" w14:paraId="22B7D88F" w14:textId="77777777" w:rsidTr="00B02695">
        <w:tc>
          <w:tcPr>
            <w:tcW w:w="3416" w:type="dxa"/>
          </w:tcPr>
          <w:p w14:paraId="053CAB98" w14:textId="77777777" w:rsidR="00B737D6" w:rsidRDefault="00B737D6" w:rsidP="001A45F5">
            <w:r>
              <w:t>Burundi</w:t>
            </w:r>
          </w:p>
        </w:tc>
        <w:tc>
          <w:tcPr>
            <w:tcW w:w="851" w:type="dxa"/>
          </w:tcPr>
          <w:p w14:paraId="038F90EF" w14:textId="77777777" w:rsidR="00B737D6" w:rsidRDefault="00B737D6" w:rsidP="001A45F5">
            <w:r>
              <w:t>19</w:t>
            </w:r>
          </w:p>
        </w:tc>
        <w:tc>
          <w:tcPr>
            <w:tcW w:w="727" w:type="dxa"/>
          </w:tcPr>
          <w:p w14:paraId="35B7C278" w14:textId="77777777" w:rsidR="00B737D6" w:rsidRDefault="00B737D6" w:rsidP="001A45F5">
            <w:r>
              <w:t>21</w:t>
            </w:r>
          </w:p>
        </w:tc>
        <w:tc>
          <w:tcPr>
            <w:tcW w:w="745" w:type="dxa"/>
          </w:tcPr>
          <w:p w14:paraId="65AC3E6C" w14:textId="77777777" w:rsidR="00B737D6" w:rsidRDefault="00B737D6" w:rsidP="001A45F5">
            <w:r>
              <w:t>20</w:t>
            </w:r>
          </w:p>
        </w:tc>
        <w:tc>
          <w:tcPr>
            <w:tcW w:w="763" w:type="dxa"/>
          </w:tcPr>
          <w:p w14:paraId="1BE3A45B" w14:textId="77777777" w:rsidR="00B737D6" w:rsidRDefault="00B737D6" w:rsidP="001A45F5">
            <w:r>
              <w:t>21</w:t>
            </w:r>
          </w:p>
        </w:tc>
        <w:tc>
          <w:tcPr>
            <w:tcW w:w="780" w:type="dxa"/>
          </w:tcPr>
          <w:p w14:paraId="0724F8D9" w14:textId="77777777" w:rsidR="00B737D6" w:rsidRDefault="00B737D6" w:rsidP="001A45F5">
            <w:r>
              <w:t>20</w:t>
            </w:r>
          </w:p>
        </w:tc>
        <w:tc>
          <w:tcPr>
            <w:tcW w:w="797" w:type="dxa"/>
          </w:tcPr>
          <w:p w14:paraId="306B62BE" w14:textId="77777777" w:rsidR="00B737D6" w:rsidRDefault="00B737D6" w:rsidP="001A45F5">
            <w:r>
              <w:t>22</w:t>
            </w:r>
          </w:p>
        </w:tc>
      </w:tr>
      <w:tr w:rsidR="00B737D6" w14:paraId="37F1367C" w14:textId="77777777" w:rsidTr="00B02695">
        <w:tc>
          <w:tcPr>
            <w:tcW w:w="3416" w:type="dxa"/>
          </w:tcPr>
          <w:p w14:paraId="01FBAF02" w14:textId="77777777" w:rsidR="00B737D6" w:rsidRDefault="00B737D6" w:rsidP="001A45F5">
            <w:r>
              <w:t>Moyenne Afrique Sub-saharienne</w:t>
            </w:r>
          </w:p>
        </w:tc>
        <w:tc>
          <w:tcPr>
            <w:tcW w:w="851" w:type="dxa"/>
          </w:tcPr>
          <w:p w14:paraId="2F759706" w14:textId="77777777" w:rsidR="00B737D6" w:rsidRDefault="00B737D6" w:rsidP="001A45F5"/>
        </w:tc>
        <w:tc>
          <w:tcPr>
            <w:tcW w:w="727" w:type="dxa"/>
          </w:tcPr>
          <w:p w14:paraId="4D2F9CF8" w14:textId="57AC71F3" w:rsidR="00B737D6" w:rsidRDefault="00A177DF" w:rsidP="001A45F5">
            <w:r>
              <w:t>33</w:t>
            </w:r>
          </w:p>
        </w:tc>
        <w:tc>
          <w:tcPr>
            <w:tcW w:w="745" w:type="dxa"/>
          </w:tcPr>
          <w:p w14:paraId="36A5B421" w14:textId="77777777" w:rsidR="00B737D6" w:rsidRDefault="00B737D6" w:rsidP="001A45F5"/>
        </w:tc>
        <w:tc>
          <w:tcPr>
            <w:tcW w:w="763" w:type="dxa"/>
          </w:tcPr>
          <w:p w14:paraId="0DFC2E42" w14:textId="77777777" w:rsidR="00B737D6" w:rsidRDefault="00B737D6" w:rsidP="001A45F5"/>
        </w:tc>
        <w:tc>
          <w:tcPr>
            <w:tcW w:w="780" w:type="dxa"/>
          </w:tcPr>
          <w:p w14:paraId="1E874C68" w14:textId="77777777" w:rsidR="00B737D6" w:rsidRDefault="00B737D6" w:rsidP="001A45F5"/>
        </w:tc>
        <w:tc>
          <w:tcPr>
            <w:tcW w:w="797" w:type="dxa"/>
          </w:tcPr>
          <w:p w14:paraId="478AEE9F" w14:textId="0C116B10" w:rsidR="00B737D6" w:rsidRDefault="009E4832" w:rsidP="001A45F5">
            <w:r>
              <w:t>32</w:t>
            </w:r>
          </w:p>
        </w:tc>
      </w:tr>
    </w:tbl>
    <w:p w14:paraId="68A86F3C" w14:textId="77777777" w:rsidR="00B737D6" w:rsidRDefault="00B737D6" w:rsidP="00B737D6"/>
    <w:p w14:paraId="20C030B5" w14:textId="77777777" w:rsidR="00B737D6" w:rsidRDefault="00B737D6" w:rsidP="00B737D6">
      <w:r>
        <w:t xml:space="preserve">Alors que la moyenne en Afrique Sub-saharienne est de 32. Le Burundi se positionne ainsi derrière des pays comme le Nigéria ou la République Centrafricaine (mais devant la RD Congo qui est à la 161 place avec un score de 21 en 2017). </w:t>
      </w:r>
    </w:p>
    <w:p w14:paraId="1C9002AF" w14:textId="77777777" w:rsidR="00B737D6" w:rsidRDefault="00B737D6" w:rsidP="00117A2F"/>
    <w:p w14:paraId="7887A009" w14:textId="35BDCD3D" w:rsidR="00E269BD" w:rsidRDefault="00B737D6" w:rsidP="00E269BD">
      <w:r>
        <w:t>De façon générale, l</w:t>
      </w:r>
      <w:r w:rsidR="00E269BD">
        <w:t>e</w:t>
      </w:r>
      <w:r>
        <w:t xml:space="preserve">s indicateurs de gouvernance </w:t>
      </w:r>
      <w:r w:rsidR="00E269BD">
        <w:t>Mo Ibrahim, Banque Mondiale se sont détériorés depuis 2015, après des années de progrès</w:t>
      </w:r>
      <w:r w:rsidR="00E269BD">
        <w:rPr>
          <w:rStyle w:val="Appelnotedebasdep"/>
        </w:rPr>
        <w:footnoteReference w:id="11"/>
      </w:r>
      <w:r w:rsidR="00E269BD">
        <w:t>. De façon intéressante</w:t>
      </w:r>
      <w:r w:rsidR="00B02695">
        <w:t xml:space="preserve"> toutefois</w:t>
      </w:r>
      <w:r w:rsidR="00E269BD">
        <w:t>, selon la Banque Mondiale, seuls les indicateurs de gouvernance lié à la qualité de la régulation et au contrôle de la corruption se sont améliorés entre 2011 et 2016, indiquant les progrès de renforcement du cadre institutionnel.</w:t>
      </w:r>
    </w:p>
    <w:p w14:paraId="0613653F" w14:textId="77777777" w:rsidR="00E269BD" w:rsidRDefault="00E269BD" w:rsidP="00E269BD">
      <w:r>
        <w:rPr>
          <w:noProof/>
        </w:rPr>
        <w:lastRenderedPageBreak/>
        <w:drawing>
          <wp:inline distT="0" distB="0" distL="0" distR="0" wp14:anchorId="2BD37345" wp14:editId="69F9F61B">
            <wp:extent cx="5486400" cy="38504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483"/>
                    <a:stretch/>
                  </pic:blipFill>
                  <pic:spPr bwMode="auto">
                    <a:xfrm>
                      <a:off x="0" y="0"/>
                      <a:ext cx="5486400" cy="3850435"/>
                    </a:xfrm>
                    <a:prstGeom prst="rect">
                      <a:avLst/>
                    </a:prstGeom>
                    <a:ln>
                      <a:noFill/>
                    </a:ln>
                    <a:extLst>
                      <a:ext uri="{53640926-AAD7-44D8-BBD7-CCE9431645EC}">
                        <a14:shadowObscured xmlns:a14="http://schemas.microsoft.com/office/drawing/2010/main"/>
                      </a:ext>
                    </a:extLst>
                  </pic:spPr>
                </pic:pic>
              </a:graphicData>
            </a:graphic>
          </wp:inline>
        </w:drawing>
      </w:r>
    </w:p>
    <w:p w14:paraId="311FCB9F" w14:textId="77777777" w:rsidR="00E269BD" w:rsidRDefault="00E269BD" w:rsidP="00E269BD"/>
    <w:p w14:paraId="26BBEBCF" w14:textId="12521BE0" w:rsidR="00346683" w:rsidRDefault="00346683" w:rsidP="00117A2F"/>
    <w:p w14:paraId="7002EF12" w14:textId="4D7768B0" w:rsidR="00346683" w:rsidRDefault="00346683" w:rsidP="00117A2F"/>
    <w:p w14:paraId="78F8055F" w14:textId="77777777" w:rsidR="00B02695" w:rsidRDefault="00B02695" w:rsidP="00117A2F"/>
    <w:p w14:paraId="32A4D4CA" w14:textId="35B5337A" w:rsidR="00346683" w:rsidRDefault="00346683" w:rsidP="00346683">
      <w:pPr>
        <w:pStyle w:val="Titre1"/>
      </w:pPr>
      <w:bookmarkStart w:id="36" w:name="_Toc525626857"/>
      <w:r>
        <w:t>Leçons apprises et bonnes pratiques</w:t>
      </w:r>
      <w:bookmarkEnd w:id="36"/>
    </w:p>
    <w:p w14:paraId="0384B022" w14:textId="1465AF8B" w:rsidR="00346683" w:rsidRDefault="00346683" w:rsidP="00117A2F"/>
    <w:p w14:paraId="1C0C1AE6" w14:textId="3C19BD22" w:rsidR="00346683" w:rsidRDefault="00346683" w:rsidP="00117A2F"/>
    <w:p w14:paraId="42799293" w14:textId="4409AD6B" w:rsidR="00736E16" w:rsidRDefault="00736E16" w:rsidP="00353A8C">
      <w:pPr>
        <w:pStyle w:val="Paragraphedeliste"/>
        <w:numPr>
          <w:ilvl w:val="0"/>
          <w:numId w:val="13"/>
        </w:numPr>
      </w:pPr>
      <w:r>
        <w:t>Nécessit</w:t>
      </w:r>
      <w:r w:rsidR="00047760">
        <w:t>é</w:t>
      </w:r>
      <w:r>
        <w:t xml:space="preserve"> d’assurer un cadre de redevabilité que les institutions suivent et s’approprient pour l’exécution du projet.</w:t>
      </w:r>
    </w:p>
    <w:p w14:paraId="59C0257C" w14:textId="57219AD1" w:rsidR="00346683" w:rsidRDefault="00736E16" w:rsidP="00353A8C">
      <w:pPr>
        <w:pStyle w:val="Paragraphedeliste"/>
        <w:numPr>
          <w:ilvl w:val="0"/>
          <w:numId w:val="13"/>
        </w:numPr>
      </w:pPr>
      <w:r>
        <w:t xml:space="preserve">Enjeu de susciter et mesurer la volonté politique pour des interventions en matière de gouvernance démocratique. </w:t>
      </w:r>
    </w:p>
    <w:p w14:paraId="505BB036" w14:textId="55B524D5" w:rsidR="00346683" w:rsidRDefault="00A40B17" w:rsidP="00353A8C">
      <w:pPr>
        <w:pStyle w:val="Paragraphedeliste"/>
        <w:numPr>
          <w:ilvl w:val="0"/>
          <w:numId w:val="13"/>
        </w:numPr>
      </w:pPr>
      <w:r>
        <w:t>Besoin de démontrer l’i</w:t>
      </w:r>
      <w:r w:rsidR="00047760">
        <w:t>ntérêt</w:t>
      </w:r>
      <w:r>
        <w:t xml:space="preserve"> pour </w:t>
      </w:r>
      <w:r w:rsidR="00047760">
        <w:t>les institutions de communiquer sur leurs résultats afin de gagner l’intérêt et la confiance des bailleurs de fonds.</w:t>
      </w:r>
    </w:p>
    <w:p w14:paraId="2152E43C" w14:textId="040A9802" w:rsidR="009058FB" w:rsidRDefault="009058FB" w:rsidP="009058FB">
      <w:pPr>
        <w:pStyle w:val="Paragraphedeliste"/>
      </w:pPr>
    </w:p>
    <w:p w14:paraId="25763FC6" w14:textId="7D5C9917" w:rsidR="009058FB" w:rsidRDefault="009058FB" w:rsidP="009058FB">
      <w:pPr>
        <w:pStyle w:val="Paragraphedeliste"/>
      </w:pPr>
    </w:p>
    <w:p w14:paraId="646A157E" w14:textId="77777777" w:rsidR="009058FB" w:rsidRDefault="009058FB" w:rsidP="009058FB">
      <w:pPr>
        <w:pStyle w:val="Paragraphedeliste"/>
      </w:pPr>
    </w:p>
    <w:p w14:paraId="2DDCA0ED" w14:textId="1AFF2893" w:rsidR="00346683" w:rsidRDefault="00346683" w:rsidP="00346683">
      <w:pPr>
        <w:pStyle w:val="Titre1"/>
      </w:pPr>
      <w:bookmarkStart w:id="37" w:name="_Toc525626858"/>
      <w:r>
        <w:t>Conclusion</w:t>
      </w:r>
      <w:bookmarkEnd w:id="37"/>
      <w:r>
        <w:t xml:space="preserve"> </w:t>
      </w:r>
    </w:p>
    <w:p w14:paraId="49C45F20" w14:textId="0D8232A8" w:rsidR="00346683" w:rsidRDefault="00346683" w:rsidP="00FD5B84"/>
    <w:p w14:paraId="14819CA4" w14:textId="0EB29B60" w:rsidR="0042111C" w:rsidRDefault="00FD5B84" w:rsidP="00FD5B84">
      <w:r>
        <w:t xml:space="preserve">L’appui à la stratégie nationale de bonne gouvernance et lutte contre la corruption a permis de </w:t>
      </w:r>
      <w:r w:rsidR="003E167F">
        <w:t xml:space="preserve">renforcer les capacités des institutions de contrôle au niveau national dans un contexte </w:t>
      </w:r>
      <w:r w:rsidR="00397D02">
        <w:t>particulièrement complexe. Le projet a également financé directement le fonctionnement opérationnel des institutions. Le cadre institutionnel, qui souffre de nombreuses lacunes déjà identifiées dans le passé, n’a cependant pas évolué compte tenu du contexte.</w:t>
      </w:r>
    </w:p>
    <w:p w14:paraId="3988819C" w14:textId="77777777" w:rsidR="00397D02" w:rsidRDefault="00397D02" w:rsidP="00FD5B84"/>
    <w:p w14:paraId="32D63FAB" w14:textId="78DB624D" w:rsidR="00397D02" w:rsidRDefault="00397D02" w:rsidP="00FD5B84">
      <w:r>
        <w:t xml:space="preserve">Il importe de capitaliser sur les résultats déjà obtenus, </w:t>
      </w:r>
      <w:r w:rsidR="0042111C">
        <w:t>et de garantir aussi les compétences techniques des cadres de l’administration, conformément au mandat du PNUD, ainsi que de progresser. A ce titre, l’engagement du PNUD sur la thématique est pertinent, et doit s’accompagner d’une analyse précise du niveau de compétence, des objectifs à atteindre et des progrès accomplis.</w:t>
      </w:r>
    </w:p>
    <w:p w14:paraId="0C7A3E79" w14:textId="15A6390C" w:rsidR="00FD5B84" w:rsidRDefault="001B5F0B" w:rsidP="00FD5B84">
      <w:r>
        <w:lastRenderedPageBreak/>
        <w:t xml:space="preserve">L’enjeu est </w:t>
      </w:r>
      <w:r w:rsidR="00397D02">
        <w:t xml:space="preserve">en effet </w:t>
      </w:r>
      <w:r>
        <w:t>de créer des systèmes de redevabilité autour des principes de bonne gestion de la chose publique.</w:t>
      </w:r>
    </w:p>
    <w:p w14:paraId="4F90971F" w14:textId="362A967B" w:rsidR="00721188" w:rsidRPr="00721188" w:rsidRDefault="001B5F0B" w:rsidP="00721188">
      <w:pPr>
        <w:pStyle w:val="PrformatHTML"/>
        <w:rPr>
          <w:rFonts w:ascii="Arial" w:eastAsia="Times New Roman" w:hAnsi="Arial" w:cs="Arial"/>
          <w:sz w:val="21"/>
          <w:szCs w:val="21"/>
          <w:lang w:val="fr-FR" w:eastAsia="fr-FR"/>
        </w:rPr>
      </w:pPr>
      <w:r w:rsidRPr="003832AC">
        <w:rPr>
          <w:rFonts w:ascii="Arial" w:hAnsi="Arial" w:cs="Arial"/>
          <w:sz w:val="21"/>
          <w:szCs w:val="21"/>
          <w:lang w:val="fr-FR"/>
        </w:rPr>
        <w:t>Dans une certaine mesure, cette redevabilité est plus facile à exercer au niveau local, où les acteurs ont un pouvoir moindre et peuvent être plus facilement contrôlés, et sont aussi parfois – et essentiellement</w:t>
      </w:r>
      <w:r w:rsidR="00FD5B84" w:rsidRPr="003832AC">
        <w:rPr>
          <w:rFonts w:ascii="Arial" w:hAnsi="Arial" w:cs="Arial"/>
          <w:sz w:val="21"/>
          <w:szCs w:val="21"/>
          <w:lang w:val="fr-FR"/>
        </w:rPr>
        <w:t>,</w:t>
      </w:r>
      <w:r w:rsidRPr="003832AC">
        <w:rPr>
          <w:rFonts w:ascii="Arial" w:hAnsi="Arial" w:cs="Arial"/>
          <w:sz w:val="21"/>
          <w:szCs w:val="21"/>
          <w:lang w:val="fr-FR"/>
        </w:rPr>
        <w:t xml:space="preserve"> dans le cas des acteurs politiques </w:t>
      </w:r>
      <w:r w:rsidR="00FD5B84" w:rsidRPr="003832AC">
        <w:rPr>
          <w:rFonts w:ascii="Arial" w:hAnsi="Arial" w:cs="Arial"/>
          <w:sz w:val="21"/>
          <w:szCs w:val="21"/>
          <w:lang w:val="fr-FR"/>
        </w:rPr>
        <w:t>–</w:t>
      </w:r>
      <w:r w:rsidRPr="003832AC">
        <w:rPr>
          <w:rFonts w:ascii="Arial" w:hAnsi="Arial" w:cs="Arial"/>
          <w:sz w:val="21"/>
          <w:szCs w:val="21"/>
          <w:lang w:val="fr-FR"/>
        </w:rPr>
        <w:t xml:space="preserve"> </w:t>
      </w:r>
      <w:r w:rsidR="00FD5B84" w:rsidRPr="003832AC">
        <w:rPr>
          <w:rFonts w:ascii="Arial" w:hAnsi="Arial" w:cs="Arial"/>
          <w:sz w:val="21"/>
          <w:szCs w:val="21"/>
          <w:lang w:val="fr-FR"/>
        </w:rPr>
        <w:t>ancrés dans le tissu social local.</w:t>
      </w:r>
      <w:r w:rsidR="00772DE0" w:rsidRPr="003832AC">
        <w:rPr>
          <w:rFonts w:ascii="Arial" w:hAnsi="Arial" w:cs="Arial"/>
          <w:sz w:val="21"/>
          <w:szCs w:val="21"/>
          <w:lang w:val="fr-FR"/>
        </w:rPr>
        <w:t xml:space="preserve"> </w:t>
      </w:r>
      <w:r w:rsidR="00772DE0" w:rsidRPr="00721188">
        <w:rPr>
          <w:rFonts w:ascii="Arial" w:hAnsi="Arial" w:cs="Arial"/>
          <w:sz w:val="21"/>
          <w:szCs w:val="21"/>
          <w:lang w:val="fr-FR"/>
        </w:rPr>
        <w:t xml:space="preserve">Ce point rappelle le constat plus </w:t>
      </w:r>
      <w:r w:rsidR="005C05DE" w:rsidRPr="00721188">
        <w:rPr>
          <w:rFonts w:ascii="Arial" w:hAnsi="Arial" w:cs="Arial"/>
          <w:sz w:val="21"/>
          <w:szCs w:val="21"/>
          <w:lang w:val="fr-FR"/>
        </w:rPr>
        <w:t>général</w:t>
      </w:r>
      <w:r w:rsidR="00772DE0" w:rsidRPr="00721188">
        <w:rPr>
          <w:rFonts w:ascii="Arial" w:hAnsi="Arial" w:cs="Arial"/>
          <w:sz w:val="21"/>
          <w:szCs w:val="21"/>
          <w:lang w:val="fr-FR"/>
        </w:rPr>
        <w:t xml:space="preserve"> de l’évaluation</w:t>
      </w:r>
      <w:r w:rsidR="00FF0261">
        <w:rPr>
          <w:rFonts w:ascii="Arial" w:hAnsi="Arial" w:cs="Arial"/>
          <w:sz w:val="21"/>
          <w:szCs w:val="21"/>
          <w:lang w:val="fr-FR"/>
        </w:rPr>
        <w:t xml:space="preserve"> globale de la contribution du PNUD</w:t>
      </w:r>
      <w:r w:rsidR="00FF0261">
        <w:rPr>
          <w:rStyle w:val="Appelnotedebasdep"/>
          <w:rFonts w:ascii="Arial" w:hAnsi="Arial" w:cs="Arial"/>
          <w:sz w:val="21"/>
          <w:szCs w:val="21"/>
          <w:lang w:val="fr-FR"/>
        </w:rPr>
        <w:footnoteReference w:id="12"/>
      </w:r>
      <w:r w:rsidR="00772DE0" w:rsidRPr="00721188">
        <w:rPr>
          <w:rFonts w:ascii="Arial" w:hAnsi="Arial" w:cs="Arial"/>
          <w:sz w:val="21"/>
          <w:szCs w:val="21"/>
          <w:lang w:val="fr-FR"/>
        </w:rPr>
        <w:t xml:space="preserve"> :</w:t>
      </w:r>
      <w:r w:rsidR="00721188" w:rsidRPr="00721188">
        <w:rPr>
          <w:rFonts w:ascii="Arial" w:eastAsia="Times New Roman" w:hAnsi="Arial" w:cs="Arial"/>
          <w:sz w:val="21"/>
          <w:szCs w:val="21"/>
          <w:lang w:val="fr-FR" w:eastAsia="fr-FR"/>
        </w:rPr>
        <w:t xml:space="preserve"> </w:t>
      </w:r>
      <w:r w:rsidR="00721188" w:rsidRPr="00721188">
        <w:rPr>
          <w:rFonts w:ascii="Arial" w:eastAsia="Times New Roman" w:hAnsi="Arial" w:cs="Arial"/>
          <w:i/>
          <w:sz w:val="21"/>
          <w:szCs w:val="21"/>
          <w:lang w:val="fr-FR" w:eastAsia="fr-FR"/>
        </w:rPr>
        <w:t>Il y avait moins de résistance aux initiatives visant à renforcer la responsabilité et la transparence ou à lutter contre la corruption au niveau local, conformément au niveau national. Il y avait une plus grande appropriation au niveau infranational, en particulier des initiatives liant la responsabilité et la transparence en matière de prestation de services</w:t>
      </w:r>
      <w:r w:rsidR="00B9501A">
        <w:rPr>
          <w:rFonts w:ascii="Arial" w:eastAsia="Times New Roman" w:hAnsi="Arial" w:cs="Arial"/>
          <w:i/>
          <w:sz w:val="21"/>
          <w:szCs w:val="21"/>
          <w:lang w:val="fr-FR" w:eastAsia="fr-FR"/>
        </w:rPr>
        <w:t xml:space="preserve"> </w:t>
      </w:r>
      <w:r w:rsidR="00772DE0" w:rsidRPr="00B9501A">
        <w:rPr>
          <w:rFonts w:ascii="Arial" w:hAnsi="Arial" w:cs="Arial"/>
          <w:color w:val="211D1E"/>
          <w:sz w:val="21"/>
          <w:szCs w:val="21"/>
          <w:lang w:val="fr-FR"/>
        </w:rPr>
        <w:t xml:space="preserve">et Conclusion </w:t>
      </w:r>
      <w:proofErr w:type="gramStart"/>
      <w:r w:rsidR="00772DE0" w:rsidRPr="00B9501A">
        <w:rPr>
          <w:rFonts w:ascii="Arial" w:hAnsi="Arial" w:cs="Arial"/>
          <w:color w:val="211D1E"/>
          <w:sz w:val="21"/>
          <w:szCs w:val="21"/>
          <w:lang w:val="fr-FR"/>
        </w:rPr>
        <w:t>5:</w:t>
      </w:r>
      <w:proofErr w:type="gramEnd"/>
      <w:r w:rsidR="00772DE0" w:rsidRPr="00B9501A">
        <w:rPr>
          <w:rFonts w:ascii="Arial" w:hAnsi="Arial" w:cs="Arial"/>
          <w:color w:val="211D1E"/>
          <w:sz w:val="21"/>
          <w:szCs w:val="21"/>
          <w:lang w:val="fr-FR"/>
        </w:rPr>
        <w:t xml:space="preserve"> </w:t>
      </w:r>
      <w:r w:rsidR="00721188" w:rsidRPr="00B9501A">
        <w:rPr>
          <w:rFonts w:ascii="Arial" w:hAnsi="Arial" w:cs="Arial"/>
          <w:i/>
          <w:color w:val="211D1E"/>
          <w:sz w:val="21"/>
          <w:szCs w:val="21"/>
          <w:lang w:val="fr-FR"/>
        </w:rPr>
        <w:t>l</w:t>
      </w:r>
      <w:r w:rsidR="00721188" w:rsidRPr="00B9501A">
        <w:rPr>
          <w:rFonts w:ascii="Arial" w:eastAsia="Times New Roman" w:hAnsi="Arial" w:cs="Arial"/>
          <w:i/>
          <w:sz w:val="21"/>
          <w:szCs w:val="21"/>
          <w:lang w:val="fr-FR" w:eastAsia="fr-FR"/>
        </w:rPr>
        <w:t>e</w:t>
      </w:r>
      <w:r w:rsidR="00721188" w:rsidRPr="00721188">
        <w:rPr>
          <w:rFonts w:ascii="Arial" w:eastAsia="Times New Roman" w:hAnsi="Arial" w:cs="Arial"/>
          <w:i/>
          <w:sz w:val="21"/>
          <w:szCs w:val="21"/>
          <w:lang w:val="fr-FR" w:eastAsia="fr-FR"/>
        </w:rPr>
        <w:t xml:space="preserve"> PNUD a contribué à lutte contre la corruption et responsabilité au niveau local. Des résultats tangibles ont été observés là où Le PNUD a abordé la lutte contre la corruption et la responsabilisation à travers des initiatives de développement local </w:t>
      </w:r>
      <w:r w:rsidR="00721188">
        <w:rPr>
          <w:rFonts w:ascii="Arial" w:eastAsia="Times New Roman" w:hAnsi="Arial" w:cs="Arial"/>
          <w:i/>
          <w:sz w:val="21"/>
          <w:szCs w:val="21"/>
          <w:lang w:val="fr-FR" w:eastAsia="fr-FR"/>
        </w:rPr>
        <w:t xml:space="preserve">et </w:t>
      </w:r>
      <w:r w:rsidR="00721188" w:rsidRPr="00721188">
        <w:rPr>
          <w:rFonts w:ascii="Arial" w:eastAsia="Times New Roman" w:hAnsi="Arial" w:cs="Arial"/>
          <w:i/>
          <w:sz w:val="21"/>
          <w:szCs w:val="21"/>
          <w:lang w:val="fr-FR" w:eastAsia="fr-FR"/>
        </w:rPr>
        <w:t>gouvernance local</w:t>
      </w:r>
      <w:r w:rsidR="00721188">
        <w:rPr>
          <w:rFonts w:ascii="Arial" w:eastAsia="Times New Roman" w:hAnsi="Arial" w:cs="Arial"/>
          <w:i/>
          <w:sz w:val="21"/>
          <w:szCs w:val="21"/>
          <w:lang w:val="fr-FR" w:eastAsia="fr-FR"/>
        </w:rPr>
        <w:t>e</w:t>
      </w:r>
      <w:r w:rsidR="00721188" w:rsidRPr="00721188">
        <w:rPr>
          <w:rFonts w:ascii="Arial" w:eastAsia="Times New Roman" w:hAnsi="Arial" w:cs="Arial"/>
          <w:i/>
          <w:sz w:val="21"/>
          <w:szCs w:val="21"/>
          <w:lang w:val="fr-FR" w:eastAsia="fr-FR"/>
        </w:rPr>
        <w:t>.</w:t>
      </w:r>
      <w:r w:rsidR="00E0268C">
        <w:rPr>
          <w:rFonts w:ascii="Arial" w:eastAsia="Times New Roman" w:hAnsi="Arial" w:cs="Arial"/>
          <w:i/>
          <w:sz w:val="21"/>
          <w:szCs w:val="21"/>
          <w:lang w:val="fr-FR" w:eastAsia="fr-FR"/>
        </w:rPr>
        <w:t xml:space="preserve"> </w:t>
      </w:r>
      <w:r w:rsidR="00E0268C" w:rsidRPr="00E0268C">
        <w:rPr>
          <w:rFonts w:ascii="Arial" w:eastAsia="Times New Roman" w:hAnsi="Arial" w:cs="Arial"/>
          <w:sz w:val="21"/>
          <w:szCs w:val="21"/>
          <w:lang w:val="fr-FR" w:eastAsia="fr-FR"/>
        </w:rPr>
        <w:t xml:space="preserve">Ceci est aussi justifiable dans la mesure où le projet 2013-2017 a contribué au renforcement des capacités </w:t>
      </w:r>
      <w:r w:rsidR="00D32638">
        <w:rPr>
          <w:rFonts w:ascii="Arial" w:eastAsia="Times New Roman" w:hAnsi="Arial" w:cs="Arial"/>
          <w:sz w:val="21"/>
          <w:szCs w:val="21"/>
          <w:lang w:val="fr-FR" w:eastAsia="fr-FR"/>
        </w:rPr>
        <w:t xml:space="preserve">au niveau national avec une composante </w:t>
      </w:r>
      <w:r w:rsidR="00E0268C">
        <w:rPr>
          <w:rFonts w:ascii="Arial" w:eastAsia="Times New Roman" w:hAnsi="Arial" w:cs="Arial"/>
          <w:sz w:val="21"/>
          <w:szCs w:val="21"/>
          <w:lang w:val="fr-FR" w:eastAsia="fr-FR"/>
        </w:rPr>
        <w:t>de recouvrement des coûts</w:t>
      </w:r>
      <w:r w:rsidR="005156F2">
        <w:rPr>
          <w:rFonts w:ascii="Arial" w:eastAsia="Times New Roman" w:hAnsi="Arial" w:cs="Arial"/>
          <w:sz w:val="21"/>
          <w:szCs w:val="21"/>
          <w:lang w:val="fr-FR" w:eastAsia="fr-FR"/>
        </w:rPr>
        <w:t>, qui offre le potentiel de durabilité</w:t>
      </w:r>
      <w:r w:rsidR="00E0268C">
        <w:rPr>
          <w:rFonts w:ascii="Arial" w:eastAsia="Times New Roman" w:hAnsi="Arial" w:cs="Arial"/>
          <w:sz w:val="21"/>
          <w:szCs w:val="21"/>
          <w:lang w:val="fr-FR" w:eastAsia="fr-FR"/>
        </w:rPr>
        <w:t xml:space="preserve">.  </w:t>
      </w:r>
    </w:p>
    <w:p w14:paraId="264AE82B" w14:textId="791A2309" w:rsidR="003E1685" w:rsidRPr="00721188" w:rsidRDefault="003E1685" w:rsidP="00FD5B84"/>
    <w:p w14:paraId="09E4FF87" w14:textId="12D3A777" w:rsidR="00FD5B84" w:rsidRDefault="00FD5B84" w:rsidP="00FD5B84">
      <w:r>
        <w:t>Le PNUD ne peut pas financer des interventions sans vision claire et transparente des différents niveaux de résultats et effets, ainsi qu’un système de suivi de la gestion des risques adapté. A ce titre, les attentes doivent être renforcées et le système de suivi et de rapportage doit pouvoir donner ces garanties.</w:t>
      </w:r>
      <w:r w:rsidR="0042111C">
        <w:t xml:space="preserve"> Alors que la planification conjointe avec les acteurs pourrait être envisagée, cette collaboration</w:t>
      </w:r>
      <w:r w:rsidR="00BF6514">
        <w:t xml:space="preserve"> doit être </w:t>
      </w:r>
      <w:r w:rsidR="00597297">
        <w:t>soumise</w:t>
      </w:r>
      <w:r w:rsidR="000610E5">
        <w:t xml:space="preserve"> aux conditionnalités et au suivi de la performance et des risques.</w:t>
      </w:r>
      <w:r w:rsidR="0032554E">
        <w:t xml:space="preserve"> A ce stade plus précisément, la poursuite des appuis aux différentes institutions bénéficiaires doit dépendre de la fourniture des données requises sur leur niveau de performance et les résultats obtenus.</w:t>
      </w:r>
      <w:r w:rsidR="00571487">
        <w:t xml:space="preserve"> Ceci permettrait aussi de justifier la mobilisation des ressources au niveau du siège et potentiellement de bailleurs.</w:t>
      </w:r>
    </w:p>
    <w:p w14:paraId="6D6F5B84" w14:textId="77777777" w:rsidR="00FD5B84" w:rsidRDefault="00FD5B84" w:rsidP="00FD5B84"/>
    <w:p w14:paraId="6E36220D" w14:textId="0D3E2263" w:rsidR="00397D02" w:rsidRDefault="00FD5B84" w:rsidP="00FD5B84">
      <w:r>
        <w:t>Pour poursuivre un appui sur cette thématique au niveau centrale, il importe aussi d’avoir des signes politiques clairs de l’engagement pour le renforcement de la bonne gouvernance, de la transparence et d’une gestion adaptée des ressources humaines et financières, autour d’une approche gouvernementale adéquate. Ceci permet de légitimer les appuis techniques dispensés par le PNUD.</w:t>
      </w:r>
    </w:p>
    <w:p w14:paraId="23B9E145" w14:textId="46A99C8F" w:rsidR="00597297" w:rsidRDefault="00597297" w:rsidP="00FD5B84">
      <w:r>
        <w:t xml:space="preserve">La crise et la pauvreté affecte le tissu social ce qui contribue au cercle vicieux </w:t>
      </w:r>
      <w:r w:rsidR="00BC1ADE">
        <w:t>en matière de gouvernance et potentiellement à l’érosion du pays. Ces dynamiques doivent être contenues par la poursuite des efforts des acteurs concernés en matière de bonne gouvernance.</w:t>
      </w:r>
    </w:p>
    <w:p w14:paraId="5DD94B12" w14:textId="5DF2FAC1" w:rsidR="00346683" w:rsidRDefault="00346683" w:rsidP="00346683"/>
    <w:p w14:paraId="3FBA9CD2" w14:textId="58460CD3" w:rsidR="00346683" w:rsidRPr="00346683" w:rsidRDefault="00346683" w:rsidP="00346683">
      <w:pPr>
        <w:pStyle w:val="Titre1"/>
      </w:pPr>
      <w:bookmarkStart w:id="38" w:name="_Toc525626859"/>
      <w:r>
        <w:t>Recommandations</w:t>
      </w:r>
      <w:bookmarkEnd w:id="38"/>
      <w:r>
        <w:t xml:space="preserve"> </w:t>
      </w:r>
    </w:p>
    <w:p w14:paraId="33871570" w14:textId="604E3FEE" w:rsidR="00346683" w:rsidRDefault="00346683" w:rsidP="00117A2F"/>
    <w:p w14:paraId="34F769EC" w14:textId="12A7621F" w:rsidR="00346683" w:rsidRDefault="00346683" w:rsidP="00117A2F"/>
    <w:p w14:paraId="581FC3E4" w14:textId="3917F636" w:rsidR="00EE0FAE" w:rsidRDefault="00EE0FAE" w:rsidP="00353A8C">
      <w:pPr>
        <w:pStyle w:val="Paragraphedeliste"/>
        <w:numPr>
          <w:ilvl w:val="0"/>
          <w:numId w:val="11"/>
        </w:numPr>
        <w:ind w:left="284" w:hanging="284"/>
      </w:pPr>
      <w:r w:rsidRPr="00EE0FAE">
        <w:rPr>
          <w:b/>
          <w:bCs/>
        </w:rPr>
        <w:t xml:space="preserve">Continuer l’appui technique </w:t>
      </w:r>
      <w:r w:rsidRPr="00EE0FAE">
        <w:t>aux institutions jouant un rôle dans le renforcement de la gouvernance et la prévention / lutte contre la corruption en fonction des problématiques spécifiques rencontrées</w:t>
      </w:r>
      <w:r w:rsidR="00D32638">
        <w:t xml:space="preserve">, en ciblant les questions qui touchent directement la population et l’accès aux services au niveau local, et </w:t>
      </w:r>
      <w:r w:rsidR="007C37CD">
        <w:t>d</w:t>
      </w:r>
      <w:r w:rsidR="00D32638">
        <w:t xml:space="preserve">es opportunités </w:t>
      </w:r>
      <w:r w:rsidR="007C37CD">
        <w:t>spécifiques</w:t>
      </w:r>
      <w:r w:rsidR="002B01F6">
        <w:t xml:space="preserve"> sur l’environnement des affaires et le traitement des cas les plus </w:t>
      </w:r>
      <w:r w:rsidR="00F9057A">
        <w:t>significatifs</w:t>
      </w:r>
      <w:r>
        <w:t>.</w:t>
      </w:r>
    </w:p>
    <w:p w14:paraId="32380A01" w14:textId="77777777" w:rsidR="00EE0FAE" w:rsidRPr="00EE0FAE" w:rsidRDefault="00EE0FAE" w:rsidP="00EE0FAE">
      <w:pPr>
        <w:pStyle w:val="Paragraphedeliste"/>
        <w:ind w:left="284"/>
      </w:pPr>
    </w:p>
    <w:p w14:paraId="55AAEEB3" w14:textId="77777777" w:rsidR="00EE0FAE" w:rsidRPr="00EE0FAE" w:rsidRDefault="00EE0FAE" w:rsidP="00EE0FAE">
      <w:r w:rsidRPr="00EE0FAE">
        <w:t xml:space="preserve">2) </w:t>
      </w:r>
      <w:r w:rsidRPr="00EE0FAE">
        <w:rPr>
          <w:b/>
          <w:bCs/>
        </w:rPr>
        <w:t>Capitaliser sur les progrès entrepris</w:t>
      </w:r>
    </w:p>
    <w:p w14:paraId="19941FF2" w14:textId="77777777" w:rsidR="00221EF4" w:rsidRPr="00EE0FAE" w:rsidRDefault="00221EF4" w:rsidP="00353A8C">
      <w:pPr>
        <w:numPr>
          <w:ilvl w:val="0"/>
          <w:numId w:val="9"/>
        </w:numPr>
      </w:pPr>
      <w:r w:rsidRPr="00EE0FAE">
        <w:t>Faire le point des évolutions par rapport aux recommandations des premières études sur les institutions (ateliers internes).</w:t>
      </w:r>
    </w:p>
    <w:p w14:paraId="629A555D" w14:textId="0EA104E1" w:rsidR="00221EF4" w:rsidRPr="00EE0FAE" w:rsidRDefault="00221EF4" w:rsidP="00353A8C">
      <w:pPr>
        <w:numPr>
          <w:ilvl w:val="0"/>
          <w:numId w:val="9"/>
        </w:numPr>
      </w:pPr>
      <w:r w:rsidRPr="00EE0FAE">
        <w:t xml:space="preserve">Suivre la réalisation de certaines activités non mises en </w:t>
      </w:r>
      <w:proofErr w:type="gramStart"/>
      <w:r w:rsidRPr="00EE0FAE">
        <w:t>œuvre:</w:t>
      </w:r>
      <w:proofErr w:type="gramEnd"/>
      <w:r w:rsidRPr="00EE0FAE">
        <w:t xml:space="preserve"> mise en place d’un </w:t>
      </w:r>
      <w:r w:rsidR="00D32638">
        <w:t>m</w:t>
      </w:r>
      <w:r w:rsidRPr="00EE0FAE">
        <w:t>écanisme de concertation et de suivi des recommandations formulées dans les rapports de contrôle, évaluation du Système National d’Intégrité</w:t>
      </w:r>
      <w:r w:rsidR="00D32638">
        <w:t xml:space="preserve">, appui à la formalisation de la gestion des cas via </w:t>
      </w:r>
      <w:r w:rsidR="002B01F6">
        <w:t>une informatisation des procédures</w:t>
      </w:r>
      <w:r w:rsidR="00D32638">
        <w:t xml:space="preserve">, qui soit </w:t>
      </w:r>
      <w:r w:rsidR="002B01F6">
        <w:t>commune et intégrée aux différentes ISC en fonction de leur mandat</w:t>
      </w:r>
      <w:r w:rsidRPr="00EE0FAE">
        <w:t>.</w:t>
      </w:r>
    </w:p>
    <w:p w14:paraId="55C9B171" w14:textId="4378B4CA" w:rsidR="00221EF4" w:rsidRPr="00EE0FAE" w:rsidRDefault="00221EF4" w:rsidP="00353A8C">
      <w:pPr>
        <w:numPr>
          <w:ilvl w:val="0"/>
          <w:numId w:val="9"/>
        </w:numPr>
      </w:pPr>
      <w:r w:rsidRPr="00EE0FAE">
        <w:t>Renforcer le plaidoyer pour la réforme du cadre légal (sur base du document de référence de la retraite de Gitega et de consultations</w:t>
      </w:r>
      <w:r w:rsidR="00D32638">
        <w:t xml:space="preserve"> ultérieures</w:t>
      </w:r>
      <w:r w:rsidRPr="00EE0FAE">
        <w:t xml:space="preserve">). </w:t>
      </w:r>
    </w:p>
    <w:p w14:paraId="79E45253" w14:textId="77777777" w:rsidR="005C05DE" w:rsidRDefault="005C05DE" w:rsidP="00EE0FAE">
      <w:pPr>
        <w:rPr>
          <w:b/>
          <w:bCs/>
        </w:rPr>
      </w:pPr>
    </w:p>
    <w:p w14:paraId="4939109C" w14:textId="2A12CD02" w:rsidR="00EE0FAE" w:rsidRPr="00EE0FAE" w:rsidRDefault="00EE0FAE" w:rsidP="00EE0FAE">
      <w:r w:rsidRPr="00EE0FAE">
        <w:rPr>
          <w:b/>
          <w:bCs/>
        </w:rPr>
        <w:t>3) Renforcer le suivi et l’articulation opérationnelle</w:t>
      </w:r>
      <w:r w:rsidR="003B4C1F">
        <w:rPr>
          <w:b/>
          <w:bCs/>
        </w:rPr>
        <w:t xml:space="preserve"> pour les interventions futures</w:t>
      </w:r>
    </w:p>
    <w:p w14:paraId="66DF111F" w14:textId="153B81F0" w:rsidR="00221EF4" w:rsidRPr="00EE0FAE" w:rsidRDefault="00221EF4" w:rsidP="00353A8C">
      <w:pPr>
        <w:numPr>
          <w:ilvl w:val="0"/>
          <w:numId w:val="10"/>
        </w:numPr>
      </w:pPr>
      <w:r w:rsidRPr="00EE0FAE">
        <w:t xml:space="preserve">Renforcer le </w:t>
      </w:r>
      <w:r w:rsidRPr="002B01F6">
        <w:rPr>
          <w:b/>
        </w:rPr>
        <w:t>suivi du projet</w:t>
      </w:r>
      <w:r w:rsidRPr="00EE0FAE">
        <w:t xml:space="preserve"> : rapports réguliers en définissant le format et les contributions attendues des institutions dans ce suivi, et l</w:t>
      </w:r>
      <w:r w:rsidR="002B01F6">
        <w:t>a collecte de données sur</w:t>
      </w:r>
      <w:r w:rsidRPr="00EE0FAE">
        <w:t xml:space="preserve"> </w:t>
      </w:r>
      <w:r w:rsidR="002B01F6">
        <w:t>l</w:t>
      </w:r>
      <w:r w:rsidRPr="00EE0FAE">
        <w:t xml:space="preserve">es différents niveaux d’effets des interventions. </w:t>
      </w:r>
      <w:r w:rsidR="002B01F6" w:rsidRPr="00EE0FAE">
        <w:t>A</w:t>
      </w:r>
      <w:r w:rsidR="002B01F6">
        <w:t>ssurer un a</w:t>
      </w:r>
      <w:r w:rsidR="002B01F6" w:rsidRPr="00EE0FAE">
        <w:t>ppui orienté sur les résultats,</w:t>
      </w:r>
      <w:r w:rsidR="002B01F6">
        <w:t xml:space="preserve"> et faire le</w:t>
      </w:r>
      <w:r w:rsidR="002B01F6" w:rsidRPr="00EE0FAE">
        <w:t xml:space="preserve"> suivi des recommandations</w:t>
      </w:r>
      <w:r w:rsidR="002B01F6">
        <w:t>.</w:t>
      </w:r>
    </w:p>
    <w:p w14:paraId="16A0C13C" w14:textId="19422F83" w:rsidR="00221EF4" w:rsidRPr="00EE0FAE" w:rsidRDefault="00221EF4" w:rsidP="00353A8C">
      <w:pPr>
        <w:numPr>
          <w:ilvl w:val="0"/>
          <w:numId w:val="10"/>
        </w:numPr>
      </w:pPr>
      <w:r w:rsidRPr="00EE0FAE">
        <w:t xml:space="preserve">Mettre en place un système de </w:t>
      </w:r>
      <w:r w:rsidRPr="002B01F6">
        <w:rPr>
          <w:b/>
        </w:rPr>
        <w:t>suivi</w:t>
      </w:r>
      <w:r w:rsidR="002B01F6">
        <w:rPr>
          <w:b/>
        </w:rPr>
        <w:t xml:space="preserve"> et gestion</w:t>
      </w:r>
      <w:r w:rsidRPr="002B01F6">
        <w:rPr>
          <w:b/>
        </w:rPr>
        <w:t xml:space="preserve"> des cas</w:t>
      </w:r>
      <w:r w:rsidRPr="00EE0FAE">
        <w:t xml:space="preserve"> entre les institutions de contrôle, au moins police / justice. </w:t>
      </w:r>
      <w:r w:rsidR="002B01F6">
        <w:t>Un l</w:t>
      </w:r>
      <w:r w:rsidRPr="00EE0FAE">
        <w:t>ien possible avec un projet qui ciblerait toute la chaîne pénale</w:t>
      </w:r>
      <w:r w:rsidR="002B01F6">
        <w:t xml:space="preserve"> serait à ce titre justifié</w:t>
      </w:r>
      <w:r w:rsidRPr="00EE0FAE">
        <w:t>.</w:t>
      </w:r>
    </w:p>
    <w:p w14:paraId="7A296296" w14:textId="77777777" w:rsidR="007C37CD" w:rsidRPr="00EE0FAE" w:rsidRDefault="007C37CD" w:rsidP="00353A8C">
      <w:pPr>
        <w:numPr>
          <w:ilvl w:val="0"/>
          <w:numId w:val="10"/>
        </w:numPr>
      </w:pPr>
      <w:r w:rsidRPr="00EE0FAE">
        <w:t>Renforcer la</w:t>
      </w:r>
      <w:r>
        <w:t xml:space="preserve"> </w:t>
      </w:r>
      <w:r w:rsidRPr="002B01F6">
        <w:rPr>
          <w:b/>
        </w:rPr>
        <w:t>gestion des ressources humaines</w:t>
      </w:r>
      <w:r>
        <w:t xml:space="preserve"> dans les institutions étatiques et entreprises publiques, en lien avec le projet de réforme de l’Etat.</w:t>
      </w:r>
      <w:r w:rsidRPr="00EE0FAE">
        <w:t xml:space="preserve"> </w:t>
      </w:r>
    </w:p>
    <w:p w14:paraId="27F6F28D" w14:textId="77777777" w:rsidR="002B01F6" w:rsidRPr="00EE0FAE" w:rsidRDefault="002B01F6" w:rsidP="00353A8C">
      <w:pPr>
        <w:numPr>
          <w:ilvl w:val="0"/>
          <w:numId w:val="10"/>
        </w:numPr>
      </w:pPr>
      <w:r w:rsidRPr="00EE0FAE">
        <w:t xml:space="preserve">Soutenir les </w:t>
      </w:r>
      <w:r w:rsidRPr="007C37CD">
        <w:rPr>
          <w:b/>
        </w:rPr>
        <w:t>synergies avec la décentralisation</w:t>
      </w:r>
      <w:r w:rsidRPr="00EE0FAE">
        <w:t>. Mettre en place des dynamiques locales pour l’identification des problématiques prioritaires et les solutions pour le</w:t>
      </w:r>
      <w:r>
        <w:t>ur</w:t>
      </w:r>
      <w:r w:rsidRPr="00EE0FAE">
        <w:t xml:space="preserve"> traitement</w:t>
      </w:r>
      <w:r>
        <w:t>, en lien avec les comités de gouvernance locale</w:t>
      </w:r>
      <w:r w:rsidRPr="00EE0FAE">
        <w:t>.</w:t>
      </w:r>
    </w:p>
    <w:p w14:paraId="1815ECB6" w14:textId="68D5CB2F" w:rsidR="007A3BE6" w:rsidRPr="00EE0FAE" w:rsidRDefault="007A3BE6" w:rsidP="00353A8C">
      <w:pPr>
        <w:numPr>
          <w:ilvl w:val="0"/>
          <w:numId w:val="10"/>
        </w:numPr>
      </w:pPr>
      <w:r w:rsidRPr="00EE0FAE">
        <w:t>S</w:t>
      </w:r>
      <w:r>
        <w:t xml:space="preserve">ur base de l’analyse </w:t>
      </w:r>
      <w:r w:rsidR="0011680A">
        <w:t>du niveau de suivi des recommandations émises par les ILS, considérer le financement des formations avec une composante opérationnelle et des activités opérationnelles</w:t>
      </w:r>
      <w:r w:rsidRPr="00EE0FAE">
        <w:t xml:space="preserve">. </w:t>
      </w:r>
    </w:p>
    <w:p w14:paraId="7AE7540F" w14:textId="77777777" w:rsidR="00EE0FAE" w:rsidRDefault="00EE0FAE" w:rsidP="00117A2F"/>
    <w:p w14:paraId="276B1D5C" w14:textId="6C8C383D" w:rsidR="00EE0FAE" w:rsidRPr="00EE0FAE" w:rsidRDefault="00EE0FAE" w:rsidP="00EE0FAE">
      <w:r w:rsidRPr="00EE0FAE">
        <w:rPr>
          <w:b/>
          <w:bCs/>
        </w:rPr>
        <w:t xml:space="preserve">4) </w:t>
      </w:r>
      <w:r w:rsidR="007C37CD">
        <w:rPr>
          <w:b/>
          <w:bCs/>
        </w:rPr>
        <w:t>Soutenir les approches sectorielles</w:t>
      </w:r>
      <w:r w:rsidR="002B01F6">
        <w:rPr>
          <w:b/>
          <w:bCs/>
        </w:rPr>
        <w:t xml:space="preserve"> </w:t>
      </w:r>
      <w:r w:rsidR="007C37CD">
        <w:rPr>
          <w:b/>
          <w:bCs/>
        </w:rPr>
        <w:t xml:space="preserve">et l’engagement des différents types d’acteur </w:t>
      </w:r>
    </w:p>
    <w:p w14:paraId="54D0B5AC" w14:textId="77777777" w:rsidR="002B01F6" w:rsidRPr="00EE0FAE" w:rsidRDefault="00221EF4" w:rsidP="002B01F6">
      <w:pPr>
        <w:ind w:left="720"/>
      </w:pPr>
      <w:r w:rsidRPr="00EE0FAE">
        <w:t xml:space="preserve">Faire l’analyse des </w:t>
      </w:r>
      <w:r w:rsidRPr="007C37CD">
        <w:rPr>
          <w:b/>
        </w:rPr>
        <w:t>problématiques spécifiques par secteur</w:t>
      </w:r>
      <w:r w:rsidRPr="00EE0FAE">
        <w:t xml:space="preserve"> pour développer des solutions adaptées </w:t>
      </w:r>
      <w:r w:rsidR="00D32638">
        <w:t xml:space="preserve">et spécifiques </w:t>
      </w:r>
      <w:r w:rsidRPr="00EE0FAE">
        <w:t>avec les acteurs</w:t>
      </w:r>
      <w:r w:rsidR="007C37CD">
        <w:t xml:space="preserve"> concernés</w:t>
      </w:r>
      <w:r w:rsidRPr="00EE0FAE">
        <w:t>.</w:t>
      </w:r>
      <w:r w:rsidR="00994C89">
        <w:t xml:space="preserve"> </w:t>
      </w:r>
      <w:r w:rsidR="007C37CD">
        <w:t xml:space="preserve">Ceci implique un rôle des organisations professionnelles et des entreprises, ainsi que des autorités correspondantes. </w:t>
      </w:r>
      <w:r w:rsidR="002B01F6">
        <w:t xml:space="preserve">L’implication du secteur privé pourrait aussi passer par des audits d’entreprises étatiques réalisés par des cabinets privés par exemple. </w:t>
      </w:r>
    </w:p>
    <w:p w14:paraId="535213FC" w14:textId="12A033EF" w:rsidR="00221EF4" w:rsidRDefault="007C37CD" w:rsidP="00353A8C">
      <w:pPr>
        <w:numPr>
          <w:ilvl w:val="0"/>
          <w:numId w:val="12"/>
        </w:numPr>
      </w:pPr>
      <w:r>
        <w:t xml:space="preserve">Une </w:t>
      </w:r>
      <w:r w:rsidRPr="002B01F6">
        <w:rPr>
          <w:b/>
        </w:rPr>
        <w:t>intégration transversale</w:t>
      </w:r>
      <w:r>
        <w:t xml:space="preserve"> de la dimension « prévention de la corruption » pourrait être établie avec les différents projets financés par l’assistance internationale.</w:t>
      </w:r>
    </w:p>
    <w:p w14:paraId="7479FBC7" w14:textId="3B51845D" w:rsidR="007C37CD" w:rsidRPr="00EE0FAE" w:rsidRDefault="007C37CD" w:rsidP="00353A8C">
      <w:pPr>
        <w:numPr>
          <w:ilvl w:val="0"/>
          <w:numId w:val="12"/>
        </w:numPr>
      </w:pPr>
      <w:r w:rsidRPr="00EE0FAE">
        <w:t xml:space="preserve">Renforcer la </w:t>
      </w:r>
      <w:r w:rsidRPr="007C37CD">
        <w:rPr>
          <w:b/>
        </w:rPr>
        <w:t>coordination avec les</w:t>
      </w:r>
      <w:r w:rsidRPr="00EE0FAE">
        <w:t xml:space="preserve"> </w:t>
      </w:r>
      <w:r w:rsidRPr="007C37CD">
        <w:rPr>
          <w:b/>
        </w:rPr>
        <w:t>différents bailleurs et organisations</w:t>
      </w:r>
      <w:r w:rsidRPr="00EE0FAE">
        <w:t xml:space="preserve"> impliqués dans la gouvernance et l’appui institutionne</w:t>
      </w:r>
      <w:r>
        <w:t>l</w:t>
      </w:r>
      <w:r w:rsidRPr="00EE0FAE">
        <w:t>, et la dissémination des résultats / besoins prioritaires</w:t>
      </w:r>
      <w:r>
        <w:t xml:space="preserve"> auprès des partenaires potentiels et bailleurs pour témoigner des efforts entrepris. Le PNUD pourrait avantageusement se positionner comme intermédiaire pour favoriser les interactions entre les différents types d’organisation.</w:t>
      </w:r>
    </w:p>
    <w:p w14:paraId="1BFFEF37" w14:textId="06650267" w:rsidR="00221EF4" w:rsidRPr="00EE0FAE" w:rsidRDefault="00221EF4" w:rsidP="00353A8C">
      <w:pPr>
        <w:numPr>
          <w:ilvl w:val="0"/>
          <w:numId w:val="12"/>
        </w:numPr>
      </w:pPr>
      <w:r w:rsidRPr="00EE0FAE">
        <w:t xml:space="preserve">Continuer la </w:t>
      </w:r>
      <w:r w:rsidRPr="007C37CD">
        <w:rPr>
          <w:b/>
        </w:rPr>
        <w:t>sensibilisation des acteurs clés</w:t>
      </w:r>
      <w:r w:rsidRPr="00EE0FAE">
        <w:t>, du secteur privé et des communautés,</w:t>
      </w:r>
      <w:r w:rsidR="007C37CD">
        <w:t xml:space="preserve"> en utilisant les structures communautaires et moyens de communication comme </w:t>
      </w:r>
      <w:proofErr w:type="gramStart"/>
      <w:r w:rsidR="007C37CD">
        <w:t>les</w:t>
      </w:r>
      <w:r w:rsidRPr="00EE0FAE">
        <w:t xml:space="preserve"> rôle</w:t>
      </w:r>
      <w:proofErr w:type="gramEnd"/>
      <w:r w:rsidRPr="00EE0FAE">
        <w:t xml:space="preserve"> des radios. </w:t>
      </w:r>
      <w:r w:rsidR="00994C89">
        <w:t>Ceci devrait inclure l’i</w:t>
      </w:r>
      <w:r w:rsidRPr="00EE0FAE">
        <w:t>nformation sur les coûts officiels</w:t>
      </w:r>
      <w:r w:rsidR="00994C89">
        <w:t>, procédures pour contrecarrer</w:t>
      </w:r>
      <w:r w:rsidR="00AD2544">
        <w:t xml:space="preserve"> les fausses informations ou requêtes en paiement infondées</w:t>
      </w:r>
      <w:r w:rsidRPr="00EE0FAE">
        <w:t xml:space="preserve"> etc…</w:t>
      </w:r>
      <w:r w:rsidR="00AD2544">
        <w:t xml:space="preserve"> A ce titre, dans le cas des dénonciations, le r</w:t>
      </w:r>
      <w:r w:rsidRPr="00EE0FAE">
        <w:t>ôle des intermédiaires /</w:t>
      </w:r>
      <w:r w:rsidR="00AD2544">
        <w:t xml:space="preserve"> structures</w:t>
      </w:r>
      <w:r w:rsidRPr="00EE0FAE">
        <w:t xml:space="preserve"> ombrelles</w:t>
      </w:r>
      <w:r w:rsidR="00AD2544">
        <w:t>, en termes d’assistance légale notamment,</w:t>
      </w:r>
      <w:r w:rsidRPr="00EE0FAE">
        <w:t xml:space="preserve"> pour</w:t>
      </w:r>
      <w:r w:rsidR="00AD2544">
        <w:t>rait être accru</w:t>
      </w:r>
      <w:r w:rsidRPr="00EE0FAE">
        <w:t>.</w:t>
      </w:r>
    </w:p>
    <w:p w14:paraId="4488D2D8" w14:textId="0FF25C80" w:rsidR="00221EF4" w:rsidRPr="00EE0FAE" w:rsidRDefault="00221EF4" w:rsidP="00353A8C">
      <w:pPr>
        <w:numPr>
          <w:ilvl w:val="0"/>
          <w:numId w:val="12"/>
        </w:numPr>
      </w:pPr>
      <w:r w:rsidRPr="00EE0FAE">
        <w:t xml:space="preserve">Soutenir l’intégration dans les </w:t>
      </w:r>
      <w:r w:rsidRPr="007C37CD">
        <w:rPr>
          <w:b/>
        </w:rPr>
        <w:t>dynamiques internationales</w:t>
      </w:r>
      <w:r w:rsidRPr="00EE0FAE">
        <w:t xml:space="preserve"> (lien avec organisations internationales, échanges </w:t>
      </w:r>
      <w:proofErr w:type="gramStart"/>
      <w:r w:rsidRPr="00EE0FAE">
        <w:t>etc...</w:t>
      </w:r>
      <w:proofErr w:type="gramEnd"/>
      <w:r w:rsidRPr="00EE0FAE">
        <w:t>)</w:t>
      </w:r>
      <w:r w:rsidR="00AD2544">
        <w:t xml:space="preserve"> notamment s’agissant du traitement de la grande corruption ou des nouvelles formes émergentes, en lien avec la fraude fiscale, le blanchiment, le système bancaire international etc..</w:t>
      </w:r>
      <w:r w:rsidRPr="00EE0FAE">
        <w:t xml:space="preserve">. </w:t>
      </w:r>
      <w:r w:rsidR="007C37CD">
        <w:t>Le lien avec la démarche de l’Union Africaine pour 2018 pourrait notamment être établi.</w:t>
      </w:r>
      <w:r w:rsidRPr="00EE0FAE">
        <w:t xml:space="preserve"> </w:t>
      </w:r>
    </w:p>
    <w:p w14:paraId="2F5B98BF" w14:textId="69FA4D37" w:rsidR="00221EF4" w:rsidRPr="00EE0FAE" w:rsidRDefault="00AD2544" w:rsidP="00353A8C">
      <w:pPr>
        <w:numPr>
          <w:ilvl w:val="0"/>
          <w:numId w:val="12"/>
        </w:numPr>
      </w:pPr>
      <w:r>
        <w:t>Soutenir le l</w:t>
      </w:r>
      <w:r w:rsidR="00221EF4" w:rsidRPr="00EE0FAE">
        <w:t>ien avec les universités</w:t>
      </w:r>
      <w:r>
        <w:t xml:space="preserve"> et structures de recherche locales </w:t>
      </w:r>
      <w:r w:rsidR="00221EF4" w:rsidRPr="00EE0FAE">
        <w:t>pour</w:t>
      </w:r>
      <w:r>
        <w:t xml:space="preserve"> contribuer à la dissémination des acquis et à </w:t>
      </w:r>
      <w:r w:rsidR="00221EF4" w:rsidRPr="00EE0FAE">
        <w:t>la durabilité</w:t>
      </w:r>
      <w:r>
        <w:t xml:space="preserve"> des effets</w:t>
      </w:r>
      <w:r w:rsidR="00221EF4" w:rsidRPr="00EE0FAE">
        <w:t>.</w:t>
      </w:r>
    </w:p>
    <w:p w14:paraId="18FD117B" w14:textId="3F944904" w:rsidR="00346683" w:rsidRDefault="00346683" w:rsidP="00117A2F"/>
    <w:p w14:paraId="36C1F42C" w14:textId="49C10E08" w:rsidR="00346683" w:rsidRDefault="00346683" w:rsidP="00117A2F"/>
    <w:p w14:paraId="58AC31E7" w14:textId="6103553D" w:rsidR="000E7F4F" w:rsidRDefault="000E7F4F" w:rsidP="00117A2F"/>
    <w:p w14:paraId="57E9FBB2" w14:textId="4669C324" w:rsidR="000E7F4F" w:rsidRDefault="000E7F4F" w:rsidP="00117A2F"/>
    <w:p w14:paraId="62700FFF" w14:textId="00229444" w:rsidR="000E7F4F" w:rsidRDefault="000E7F4F" w:rsidP="00117A2F"/>
    <w:p w14:paraId="499E9406" w14:textId="3AA38DCB" w:rsidR="000E7F4F" w:rsidRDefault="000E7F4F" w:rsidP="00117A2F"/>
    <w:p w14:paraId="2F83682F" w14:textId="5F40A44B" w:rsidR="002B01F6" w:rsidRDefault="002B01F6" w:rsidP="00117A2F"/>
    <w:p w14:paraId="5ADA8ACD" w14:textId="311880AE" w:rsidR="00F11225" w:rsidRDefault="002B01F6" w:rsidP="002B01F6">
      <w:pPr>
        <w:jc w:val="left"/>
      </w:pPr>
      <w:r>
        <w:br w:type="page"/>
      </w:r>
    </w:p>
    <w:p w14:paraId="033DD79C" w14:textId="3FA62111" w:rsidR="00B02695" w:rsidRPr="00B02695" w:rsidRDefault="00B02695" w:rsidP="004A64DA">
      <w:pPr>
        <w:pStyle w:val="Titre1"/>
        <w:numPr>
          <w:ilvl w:val="0"/>
          <w:numId w:val="0"/>
        </w:numPr>
        <w:ind w:left="432"/>
      </w:pPr>
      <w:bookmarkStart w:id="39" w:name="_Toc525626860"/>
      <w:r>
        <w:lastRenderedPageBreak/>
        <w:t>Annexes</w:t>
      </w:r>
      <w:bookmarkEnd w:id="39"/>
      <w:r w:rsidR="00FE1F8E">
        <w:t xml:space="preserve"> - Bibliographie</w:t>
      </w:r>
    </w:p>
    <w:p w14:paraId="61006FD0" w14:textId="180E1AC5" w:rsidR="007606B5" w:rsidRDefault="007606B5" w:rsidP="00FE1F8E"/>
    <w:p w14:paraId="572F5177" w14:textId="1004F818" w:rsidR="00FE1F8E" w:rsidRDefault="00FE1F8E" w:rsidP="004A64DA">
      <w:r>
        <w:t>2013, UNDP, Stratégie Nationale de Lutte contre la Corruption</w:t>
      </w:r>
    </w:p>
    <w:p w14:paraId="7025C81D" w14:textId="45227D57" w:rsidR="00FE1F8E" w:rsidRDefault="00FE1F8E" w:rsidP="004A64DA">
      <w:r>
        <w:t>2013, UNDP, Document de Projet d’Appui à la SNBG</w:t>
      </w:r>
    </w:p>
    <w:p w14:paraId="3E24E904" w14:textId="3B5B856E" w:rsidR="00FE1F8E" w:rsidRDefault="00FE1F8E" w:rsidP="004A64DA">
      <w:r>
        <w:t>2014, UNDP, Country Programme Document 2014-2016</w:t>
      </w:r>
    </w:p>
    <w:p w14:paraId="44F0508F" w14:textId="4D1BCA18" w:rsidR="00FE1F8E" w:rsidRDefault="00FE1F8E" w:rsidP="004A64DA">
      <w:r>
        <w:t>2017, Cellule du Projet, Rapport Annuel du Projet</w:t>
      </w:r>
    </w:p>
    <w:p w14:paraId="78989027" w14:textId="50AF7210" w:rsidR="00FE1F8E" w:rsidRDefault="00FE1F8E" w:rsidP="004A64DA">
      <w:r>
        <w:t>2016, Cellule du Projet, Bilan 2013-2016</w:t>
      </w:r>
    </w:p>
    <w:p w14:paraId="1598617F" w14:textId="7EAE70B4" w:rsidR="00FF0261" w:rsidRPr="004A64DA" w:rsidRDefault="00FF0261" w:rsidP="004A64DA">
      <w:pPr>
        <w:rPr>
          <w:lang w:val="en-GB"/>
        </w:rPr>
      </w:pPr>
      <w:r w:rsidRPr="00364841">
        <w:rPr>
          <w:lang w:val="en-GB"/>
        </w:rPr>
        <w:t>2016, UNDP, Evaluation of UNDP Contribution to Anti-corruption and addressing Drivers of Corruption.</w:t>
      </w:r>
    </w:p>
    <w:p w14:paraId="1AD9304F" w14:textId="701CA2A4" w:rsidR="00FF0261" w:rsidRPr="001E6B69" w:rsidRDefault="00FF0261" w:rsidP="004A64DA">
      <w:pPr>
        <w:rPr>
          <w:sz w:val="22"/>
          <w:szCs w:val="22"/>
        </w:rPr>
      </w:pPr>
      <w:r w:rsidRPr="001E6B69">
        <w:rPr>
          <w:sz w:val="22"/>
          <w:szCs w:val="22"/>
        </w:rPr>
        <w:t xml:space="preserve">2016, Examen par l’Egypte et la République Bolivarienne du Vénézuela de l’application par le Burundi des articles 15 à 42 du Chapitre III </w:t>
      </w:r>
      <w:proofErr w:type="gramStart"/>
      <w:r w:rsidRPr="001E6B69">
        <w:rPr>
          <w:sz w:val="22"/>
          <w:szCs w:val="22"/>
        </w:rPr>
        <w:t>(«Incrimination</w:t>
      </w:r>
      <w:proofErr w:type="gramEnd"/>
      <w:r w:rsidRPr="001E6B69">
        <w:rPr>
          <w:sz w:val="22"/>
          <w:szCs w:val="22"/>
        </w:rPr>
        <w:t>, détection et répression ») et des articles 44 à 50 du Chapitre IV («Coopération internationale») de la Convention des Nations Unies contre la corruption pour le cycle d’examen 2010 – 2015</w:t>
      </w:r>
    </w:p>
    <w:p w14:paraId="47F0156C" w14:textId="411AAD52" w:rsidR="00FE1F8E" w:rsidRDefault="00FE1F8E" w:rsidP="004A64DA">
      <w:r>
        <w:t>2017, UNDP, Combined Delivery Report</w:t>
      </w:r>
    </w:p>
    <w:p w14:paraId="3777ECE5" w14:textId="3F5EF45E" w:rsidR="00FE1F8E" w:rsidRDefault="00FE1F8E" w:rsidP="004A64DA">
      <w:r>
        <w:t xml:space="preserve">2018, </w:t>
      </w:r>
      <w:r w:rsidR="00FF0261">
        <w:t>République</w:t>
      </w:r>
      <w:r>
        <w:t xml:space="preserve"> du Burundi, Constitution</w:t>
      </w:r>
    </w:p>
    <w:p w14:paraId="00C647EB" w14:textId="53E888E9" w:rsidR="00FF0261" w:rsidRPr="004A64DA" w:rsidRDefault="00FF0261" w:rsidP="004A64DA">
      <w:pPr>
        <w:rPr>
          <w:sz w:val="22"/>
          <w:szCs w:val="22"/>
        </w:rPr>
      </w:pPr>
    </w:p>
    <w:sectPr w:rsidR="00FF0261" w:rsidRPr="004A64DA" w:rsidSect="00D73FD6">
      <w:head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DBA5E" w14:textId="77777777" w:rsidR="006546B1" w:rsidRDefault="006546B1" w:rsidP="00117A2F">
      <w:r>
        <w:separator/>
      </w:r>
    </w:p>
  </w:endnote>
  <w:endnote w:type="continuationSeparator" w:id="0">
    <w:p w14:paraId="684DCF95" w14:textId="77777777" w:rsidR="006546B1" w:rsidRDefault="006546B1" w:rsidP="0011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F">
    <w:altName w:val="Times New Roman"/>
    <w:panose1 w:val="00000000000000000000"/>
    <w:charset w:val="00"/>
    <w:family w:val="auto"/>
    <w:notTrueType/>
    <w:pitch w:val="variable"/>
    <w:sig w:usb0="00000003" w:usb1="00000000" w:usb2="00000000" w:usb3="00000000" w:csb0="00000001" w:csb1="00000000"/>
  </w:font>
  <w:font w:name="Chaparral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421E9" w14:textId="77777777" w:rsidR="00DC459F" w:rsidRDefault="00DC459F" w:rsidP="00117A2F">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685CC46" w14:textId="77777777" w:rsidR="00DC459F" w:rsidRDefault="00DC459F" w:rsidP="00117A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4735D" w14:textId="5933BC3F" w:rsidR="00DC459F" w:rsidRPr="009821D4" w:rsidRDefault="00DC459F" w:rsidP="00117A2F">
    <w:pPr>
      <w:pStyle w:val="Pieddepage"/>
      <w:rPr>
        <w:rStyle w:val="Numrodepage"/>
        <w:sz w:val="18"/>
        <w:szCs w:val="18"/>
      </w:rPr>
    </w:pPr>
    <w:r w:rsidRPr="009821D4">
      <w:rPr>
        <w:rStyle w:val="Numrodepage"/>
        <w:sz w:val="18"/>
        <w:szCs w:val="18"/>
      </w:rPr>
      <w:fldChar w:fldCharType="begin"/>
    </w:r>
    <w:r w:rsidRPr="009821D4">
      <w:rPr>
        <w:rStyle w:val="Numrodepage"/>
        <w:sz w:val="18"/>
        <w:szCs w:val="18"/>
      </w:rPr>
      <w:instrText xml:space="preserve">PAGE  </w:instrText>
    </w:r>
    <w:r w:rsidRPr="009821D4">
      <w:rPr>
        <w:rStyle w:val="Numrodepage"/>
        <w:sz w:val="18"/>
        <w:szCs w:val="18"/>
      </w:rPr>
      <w:fldChar w:fldCharType="separate"/>
    </w:r>
    <w:r>
      <w:rPr>
        <w:rStyle w:val="Numrodepage"/>
        <w:noProof/>
        <w:sz w:val="18"/>
        <w:szCs w:val="18"/>
      </w:rPr>
      <w:t>14</w:t>
    </w:r>
    <w:r w:rsidRPr="009821D4">
      <w:rPr>
        <w:rStyle w:val="Numrodepage"/>
        <w:sz w:val="18"/>
        <w:szCs w:val="18"/>
      </w:rPr>
      <w:fldChar w:fldCharType="end"/>
    </w:r>
  </w:p>
  <w:p w14:paraId="285A6A43" w14:textId="77777777" w:rsidR="00DC459F" w:rsidRDefault="00DC459F" w:rsidP="00117A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DF756" w14:textId="77777777" w:rsidR="006546B1" w:rsidRDefault="006546B1" w:rsidP="00117A2F">
      <w:r>
        <w:separator/>
      </w:r>
    </w:p>
  </w:footnote>
  <w:footnote w:type="continuationSeparator" w:id="0">
    <w:p w14:paraId="0A7F7A8E" w14:textId="77777777" w:rsidR="006546B1" w:rsidRDefault="006546B1" w:rsidP="00117A2F">
      <w:r>
        <w:continuationSeparator/>
      </w:r>
    </w:p>
  </w:footnote>
  <w:footnote w:id="1">
    <w:p w14:paraId="17945BA0" w14:textId="77777777" w:rsidR="00DC459F" w:rsidRPr="007E7C72" w:rsidRDefault="00DC459F" w:rsidP="001D0EF2">
      <w:pPr>
        <w:pStyle w:val="Notedebasdepage"/>
        <w:rPr>
          <w:sz w:val="18"/>
          <w:szCs w:val="18"/>
        </w:rPr>
      </w:pPr>
      <w:r w:rsidRPr="007E7C72">
        <w:rPr>
          <w:rStyle w:val="Appelnotedebasdep"/>
          <w:sz w:val="18"/>
          <w:szCs w:val="18"/>
        </w:rPr>
        <w:footnoteRef/>
      </w:r>
      <w:r w:rsidRPr="007E7C72">
        <w:rPr>
          <w:sz w:val="18"/>
          <w:szCs w:val="18"/>
        </w:rPr>
        <w:t xml:space="preserve"> http://hdr.undp.org/en/composite/trends</w:t>
      </w:r>
    </w:p>
  </w:footnote>
  <w:footnote w:id="2">
    <w:p w14:paraId="00462F41" w14:textId="77777777" w:rsidR="00DC459F" w:rsidRPr="00D81F9A" w:rsidRDefault="00DC459F" w:rsidP="007000BC">
      <w:pPr>
        <w:pStyle w:val="Notedebasdepage"/>
        <w:rPr>
          <w:sz w:val="18"/>
          <w:szCs w:val="18"/>
        </w:rPr>
      </w:pPr>
      <w:r w:rsidRPr="00D81F9A">
        <w:rPr>
          <w:rStyle w:val="Appelnotedebasdep"/>
          <w:sz w:val="18"/>
          <w:szCs w:val="18"/>
        </w:rPr>
        <w:footnoteRef/>
      </w:r>
      <w:r w:rsidRPr="00D81F9A">
        <w:rPr>
          <w:sz w:val="18"/>
          <w:szCs w:val="18"/>
        </w:rPr>
        <w:t xml:space="preserve"> Le PBF existe depuis 2007 au Burundi </w:t>
      </w:r>
      <w:r>
        <w:rPr>
          <w:sz w:val="18"/>
          <w:szCs w:val="18"/>
        </w:rPr>
        <w:t>et a fournit près de 65 millions USD d’assistance. Seule la première tranche la plus significative, a appuyé directement la gouvernance et la justice.</w:t>
      </w:r>
    </w:p>
  </w:footnote>
  <w:footnote w:id="3">
    <w:p w14:paraId="5C7E1E0D" w14:textId="45E00221" w:rsidR="00DC459F" w:rsidRPr="007000BC" w:rsidRDefault="00DC459F" w:rsidP="007000BC">
      <w:pPr>
        <w:pStyle w:val="Default"/>
        <w:rPr>
          <w:sz w:val="18"/>
          <w:szCs w:val="18"/>
        </w:rPr>
      </w:pPr>
      <w:r w:rsidRPr="007000BC">
        <w:rPr>
          <w:rStyle w:val="Appelnotedebasdep"/>
          <w:sz w:val="18"/>
          <w:szCs w:val="18"/>
        </w:rPr>
        <w:footnoteRef/>
      </w:r>
      <w:r>
        <w:rPr>
          <w:sz w:val="18"/>
          <w:szCs w:val="18"/>
        </w:rPr>
        <w:t xml:space="preserve"> Ideaborn,</w:t>
      </w:r>
      <w:r w:rsidRPr="007000BC">
        <w:rPr>
          <w:sz w:val="18"/>
          <w:szCs w:val="18"/>
        </w:rPr>
        <w:t xml:space="preserve"> </w:t>
      </w:r>
      <w:r w:rsidRPr="007000BC">
        <w:rPr>
          <w:bCs/>
          <w:sz w:val="18"/>
          <w:szCs w:val="18"/>
        </w:rPr>
        <w:t xml:space="preserve">Evaluation externe de la mise en oeuvre de la Stratégie nationale de bonne gouvernance et de lutte contre la corruption </w:t>
      </w:r>
      <w:r w:rsidRPr="007000BC">
        <w:rPr>
          <w:sz w:val="18"/>
          <w:szCs w:val="18"/>
        </w:rPr>
        <w:t>C.S.C. N° BDI/733 du 16 octobre 2014</w:t>
      </w:r>
      <w:r>
        <w:rPr>
          <w:sz w:val="18"/>
          <w:szCs w:val="18"/>
        </w:rPr>
        <w:t>.</w:t>
      </w:r>
      <w:r w:rsidRPr="007000BC">
        <w:rPr>
          <w:sz w:val="18"/>
          <w:szCs w:val="18"/>
        </w:rPr>
        <w:t xml:space="preserve"> </w:t>
      </w:r>
    </w:p>
  </w:footnote>
  <w:footnote w:id="4">
    <w:p w14:paraId="587BB828" w14:textId="6B170894" w:rsidR="00DC459F" w:rsidRPr="0045413B" w:rsidRDefault="00DC459F" w:rsidP="0045413B">
      <w:pPr>
        <w:pStyle w:val="PrformatHTML"/>
        <w:rPr>
          <w:rFonts w:eastAsia="Times New Roman"/>
          <w:lang w:val="fr-FR" w:eastAsia="fr-FR"/>
        </w:rPr>
      </w:pPr>
      <w:r w:rsidRPr="0045413B">
        <w:rPr>
          <w:rStyle w:val="Appelnotedebasdep"/>
          <w:rFonts w:ascii="Arial" w:hAnsi="Arial" w:cs="Arial"/>
          <w:sz w:val="16"/>
          <w:szCs w:val="16"/>
        </w:rPr>
        <w:footnoteRef/>
      </w:r>
      <w:r>
        <w:rPr>
          <w:rFonts w:ascii="Arial" w:hAnsi="Arial" w:cs="Arial"/>
          <w:sz w:val="16"/>
          <w:szCs w:val="16"/>
          <w:lang w:val="fr-FR"/>
        </w:rPr>
        <w:t xml:space="preserve"> Selon l’organisation « </w:t>
      </w:r>
      <w:r w:rsidRPr="0045413B">
        <w:rPr>
          <w:rFonts w:ascii="Arial" w:eastAsia="Times New Roman" w:hAnsi="Arial" w:cs="Arial"/>
          <w:sz w:val="16"/>
          <w:szCs w:val="16"/>
          <w:lang w:val="fr-FR" w:eastAsia="fr-FR"/>
        </w:rPr>
        <w:t>L'ingrédient clé que les pays africains les plus performants ont en commun est le leadership politique qui est constamment attaché à la lutte contre la corruption. Alors que la majorité des pays disposent déjà de lois et d’institutions anti-corruption, ces pays de premier plan font un pas de plus pour assurer la mise en œuvre.</w:t>
      </w:r>
    </w:p>
    <w:p w14:paraId="5FBDA796" w14:textId="5B04F4D0" w:rsidR="00DC459F" w:rsidRPr="0045413B" w:rsidRDefault="00DC459F" w:rsidP="0045413B">
      <w:pPr>
        <w:pStyle w:val="PrformatHTML"/>
        <w:rPr>
          <w:rFonts w:ascii="Arial" w:eastAsia="Times New Roman" w:hAnsi="Arial" w:cs="Arial"/>
          <w:sz w:val="16"/>
          <w:szCs w:val="16"/>
          <w:lang w:val="fr-FR" w:eastAsia="fr-FR"/>
        </w:rPr>
      </w:pPr>
      <w:r w:rsidRPr="0045413B">
        <w:rPr>
          <w:rFonts w:ascii="Arial" w:eastAsia="Times New Roman" w:hAnsi="Arial" w:cs="Arial"/>
          <w:sz w:val="16"/>
          <w:szCs w:val="16"/>
          <w:lang w:val="fr-FR" w:eastAsia="fr-FR"/>
        </w:rPr>
        <w:t>De l'application stricte du code de leadership au Rwanda par le président Paul Kagame, à la promotion ouverte de la transparence institutionnelle par le président Jorge Fonseca dans l'approche novatrice du Cabo Verde ou du président Ian Khama visant à</w:t>
      </w:r>
      <w:proofErr w:type="gramStart"/>
      <w:r w:rsidRPr="0045413B">
        <w:rPr>
          <w:rFonts w:ascii="Arial" w:eastAsia="Times New Roman" w:hAnsi="Arial" w:cs="Arial"/>
          <w:sz w:val="16"/>
          <w:szCs w:val="16"/>
          <w:lang w:val="fr-FR" w:eastAsia="fr-FR"/>
        </w:rPr>
        <w:t xml:space="preserve"> «intégrer</w:t>
      </w:r>
      <w:proofErr w:type="gramEnd"/>
      <w:r w:rsidRPr="0045413B">
        <w:rPr>
          <w:rFonts w:ascii="Arial" w:eastAsia="Times New Roman" w:hAnsi="Arial" w:cs="Arial"/>
          <w:sz w:val="16"/>
          <w:szCs w:val="16"/>
          <w:lang w:val="fr-FR" w:eastAsia="fr-FR"/>
        </w:rPr>
        <w:t xml:space="preserve"> la lutte contre la corruption» dans les ministères du Botswana, mieux dans leurs communautés et ont poursuivi ces tactiques avec engagement. Ces pays obtiennent respectivement 55, 55 et 61 points sur l'IPC.</w:t>
      </w:r>
    </w:p>
    <w:p w14:paraId="5F6AC26C" w14:textId="45EF8FB9" w:rsidR="00DC459F" w:rsidRPr="0045413B" w:rsidRDefault="00DC459F" w:rsidP="00454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eastAsia="Times New Roman" w:hAnsi="Courier New" w:cs="Courier New"/>
          <w:sz w:val="20"/>
          <w:szCs w:val="20"/>
          <w:lang w:eastAsia="fr-FR"/>
        </w:rPr>
      </w:pPr>
      <w:r w:rsidRPr="0045413B">
        <w:rPr>
          <w:rFonts w:eastAsia="Times New Roman"/>
          <w:sz w:val="16"/>
          <w:szCs w:val="16"/>
          <w:lang w:eastAsia="fr-FR"/>
        </w:rPr>
        <w:t>Tout aussi positif, à Maurice, qui a obtenu une note de 50 sur l’indice, le Premier ministre Pravind Jugnauth a courageusement lancé un programme visant à améliorer son score de 16 points dans les dix prochaines années</w:t>
      </w:r>
      <w:r>
        <w:rPr>
          <w:rFonts w:eastAsia="Times New Roman"/>
          <w:sz w:val="16"/>
          <w:szCs w:val="16"/>
          <w:lang w:eastAsia="fr-FR"/>
        </w:rPr>
        <w:t> ».</w:t>
      </w:r>
    </w:p>
  </w:footnote>
  <w:footnote w:id="5">
    <w:p w14:paraId="423881E9" w14:textId="3893D889" w:rsidR="00DC459F" w:rsidRPr="00603A31" w:rsidRDefault="00DC459F">
      <w:pPr>
        <w:pStyle w:val="Notedebasdepage"/>
        <w:rPr>
          <w:sz w:val="16"/>
          <w:szCs w:val="16"/>
        </w:rPr>
      </w:pPr>
      <w:r w:rsidRPr="00603A31">
        <w:rPr>
          <w:rStyle w:val="Appelnotedebasdep"/>
          <w:sz w:val="16"/>
          <w:szCs w:val="16"/>
        </w:rPr>
        <w:footnoteRef/>
      </w:r>
      <w:r w:rsidRPr="00603A31">
        <w:rPr>
          <w:sz w:val="16"/>
          <w:szCs w:val="16"/>
        </w:rPr>
        <w:t xml:space="preserve"> www.armp.bi</w:t>
      </w:r>
    </w:p>
  </w:footnote>
  <w:footnote w:id="6">
    <w:p w14:paraId="55D10FEE" w14:textId="77777777" w:rsidR="00DC459F" w:rsidRDefault="00DC459F">
      <w:pPr>
        <w:pStyle w:val="Notedebasdepage"/>
        <w:rPr>
          <w:sz w:val="18"/>
          <w:szCs w:val="18"/>
        </w:rPr>
      </w:pPr>
      <w:r w:rsidRPr="005F757C">
        <w:rPr>
          <w:rStyle w:val="Appelnotedebasdep"/>
          <w:sz w:val="18"/>
          <w:szCs w:val="18"/>
        </w:rPr>
        <w:footnoteRef/>
      </w:r>
      <w:r w:rsidRPr="005F757C">
        <w:rPr>
          <w:sz w:val="18"/>
          <w:szCs w:val="18"/>
        </w:rPr>
        <w:t xml:space="preserve"> Selon l’Observatoire de l’Action Gouvernementale, http://www.oag.bi/spip.php?article1681 </w:t>
      </w:r>
    </w:p>
    <w:p w14:paraId="340A6ED4" w14:textId="330805BE" w:rsidR="00DC459F" w:rsidRPr="005F757C" w:rsidRDefault="00DC459F">
      <w:pPr>
        <w:pStyle w:val="Notedebasdepage"/>
        <w:rPr>
          <w:sz w:val="18"/>
          <w:szCs w:val="18"/>
        </w:rPr>
      </w:pPr>
      <w:r w:rsidRPr="005F757C">
        <w:rPr>
          <w:sz w:val="18"/>
          <w:szCs w:val="18"/>
        </w:rPr>
        <w:t>« De mai 2012 à décembre 2012, la Brigade Spéciale Anti-corruption a instruit et transmis au Parquet Général de la Cour Anti-corruption 111 dossiers de cas de corruption ou infractions connexes totalisant un montant de 16.824.280.464 Fbu comme préjudice évité au trésor public, montant qui ne peut être recouvré qu’après les jugements définitifs sur ces dossiers ; tandis qu’un montant de 273.254.374 Fbu a été recouvré et versé au Trésor public sans nécessiter de jugements (infractions reconnues par les coupables lors de l’instruction de dossiers). • De janvier 2013 à mai 2013, 136 dossiers sur les cas de corruption ont été traités et transmis au Parquet Général près la Cour anti-corruption, totalisant un montant de 5.960.030.456 FBU comme préjudice causé au trésor public, tandis qu’un montant de 1.009.065.002 FBU a été directement recouvré par la BSAC et versé au trésor public. • Du 30 juin 2012 au 30 juin 2013, la Cour anti-corruption a rendu 219 jugements dont 46 ont été exécutés à ce niveau, permettant ainsi un recouvrement de 97.402.393 Fbu. • Du 30 juin 2012 au 30 juin 2013, l’Inspection Générale de l’Etat a produit 49 rapports définitifs mettant en jeu le montant global à recouvrer de 14.031.600.204 FBU avec comme montant recouvré de 95.537.678 FBU. »</w:t>
      </w:r>
    </w:p>
  </w:footnote>
  <w:footnote w:id="7">
    <w:p w14:paraId="10E91C56" w14:textId="439A48F3" w:rsidR="00DC459F" w:rsidRDefault="00DC459F" w:rsidP="00E71915">
      <w:pPr>
        <w:pStyle w:val="Notedebasdepage"/>
        <w:tabs>
          <w:tab w:val="left" w:pos="284"/>
          <w:tab w:val="left" w:pos="426"/>
        </w:tabs>
        <w:jc w:val="left"/>
      </w:pPr>
      <w:r>
        <w:rPr>
          <w:rStyle w:val="Appelnotedebasdep"/>
        </w:rPr>
        <w:footnoteRef/>
      </w:r>
      <w:r>
        <w:t xml:space="preserve"> </w:t>
      </w:r>
      <w:r w:rsidRPr="00E71915">
        <w:rPr>
          <w:sz w:val="18"/>
          <w:szCs w:val="18"/>
        </w:rPr>
        <w:t>https://www.burundi-forum.org/breves/burundi-cour-parquet-general-anti-corruption-ont-recouvre-plus-12-millions-us-dollars-1er-semestre-2018/</w:t>
      </w:r>
    </w:p>
  </w:footnote>
  <w:footnote w:id="8">
    <w:p w14:paraId="0ABAF0D4" w14:textId="77777777" w:rsidR="00DC459F" w:rsidRPr="003C12C1" w:rsidRDefault="00DC459F" w:rsidP="006A1282">
      <w:pPr>
        <w:autoSpaceDE w:val="0"/>
        <w:autoSpaceDN w:val="0"/>
        <w:adjustRightInd w:val="0"/>
        <w:rPr>
          <w:sz w:val="18"/>
          <w:szCs w:val="18"/>
        </w:rPr>
      </w:pPr>
      <w:r>
        <w:rPr>
          <w:rStyle w:val="Appelnotedebasdep"/>
        </w:rPr>
        <w:footnoteRef/>
      </w:r>
      <w:r>
        <w:t xml:space="preserve"> </w:t>
      </w:r>
      <w:r w:rsidRPr="003C12C1">
        <w:rPr>
          <w:sz w:val="18"/>
          <w:szCs w:val="18"/>
        </w:rPr>
        <w:t>Examen par l’Egypte et la République Bolivarienne du</w:t>
      </w:r>
      <w:r>
        <w:rPr>
          <w:sz w:val="18"/>
          <w:szCs w:val="18"/>
        </w:rPr>
        <w:t xml:space="preserve"> </w:t>
      </w:r>
      <w:r w:rsidRPr="003C12C1">
        <w:rPr>
          <w:sz w:val="18"/>
          <w:szCs w:val="18"/>
        </w:rPr>
        <w:t>Vénézuela de l’application par le Burundi des articles 15 à 42</w:t>
      </w:r>
      <w:r>
        <w:rPr>
          <w:sz w:val="18"/>
          <w:szCs w:val="18"/>
        </w:rPr>
        <w:t xml:space="preserve"> </w:t>
      </w:r>
      <w:r w:rsidRPr="003C12C1">
        <w:rPr>
          <w:sz w:val="18"/>
          <w:szCs w:val="18"/>
        </w:rPr>
        <w:t xml:space="preserve">du Chapitre III </w:t>
      </w:r>
      <w:proofErr w:type="gramStart"/>
      <w:r w:rsidRPr="003C12C1">
        <w:rPr>
          <w:sz w:val="18"/>
          <w:szCs w:val="18"/>
        </w:rPr>
        <w:t>(«Incrimination</w:t>
      </w:r>
      <w:proofErr w:type="gramEnd"/>
      <w:r w:rsidRPr="003C12C1">
        <w:rPr>
          <w:sz w:val="18"/>
          <w:szCs w:val="18"/>
        </w:rPr>
        <w:t>, détection et répression ») et</w:t>
      </w:r>
      <w:r>
        <w:rPr>
          <w:sz w:val="18"/>
          <w:szCs w:val="18"/>
        </w:rPr>
        <w:t xml:space="preserve"> </w:t>
      </w:r>
      <w:r w:rsidRPr="003C12C1">
        <w:rPr>
          <w:sz w:val="18"/>
          <w:szCs w:val="18"/>
        </w:rPr>
        <w:t>des articles 44 à 50 du Chapitre IV («Coopération</w:t>
      </w:r>
      <w:r>
        <w:rPr>
          <w:sz w:val="18"/>
          <w:szCs w:val="18"/>
        </w:rPr>
        <w:t xml:space="preserve"> </w:t>
      </w:r>
      <w:r w:rsidRPr="003C12C1">
        <w:rPr>
          <w:sz w:val="18"/>
          <w:szCs w:val="18"/>
        </w:rPr>
        <w:t>internationale») de la Convention des Nations Unies contre la</w:t>
      </w:r>
      <w:r>
        <w:rPr>
          <w:sz w:val="18"/>
          <w:szCs w:val="18"/>
        </w:rPr>
        <w:t xml:space="preserve"> </w:t>
      </w:r>
      <w:r w:rsidRPr="003C12C1">
        <w:rPr>
          <w:sz w:val="18"/>
          <w:szCs w:val="18"/>
        </w:rPr>
        <w:t>corruption pour le cycle d’examen</w:t>
      </w:r>
      <w:r>
        <w:rPr>
          <w:sz w:val="18"/>
          <w:szCs w:val="18"/>
        </w:rPr>
        <w:t xml:space="preserve"> </w:t>
      </w:r>
      <w:r w:rsidRPr="003C12C1">
        <w:rPr>
          <w:sz w:val="18"/>
          <w:szCs w:val="18"/>
        </w:rPr>
        <w:t>2010 – 2015</w:t>
      </w:r>
    </w:p>
    <w:p w14:paraId="74298095" w14:textId="67A9CA8E" w:rsidR="00DC459F" w:rsidRPr="0002211C" w:rsidRDefault="00DC459F" w:rsidP="006A1282">
      <w:pPr>
        <w:autoSpaceDE w:val="0"/>
        <w:autoSpaceDN w:val="0"/>
        <w:adjustRightInd w:val="0"/>
        <w:rPr>
          <w:b/>
          <w:bCs/>
          <w:i/>
          <w:iCs/>
          <w:sz w:val="16"/>
          <w:szCs w:val="16"/>
        </w:rPr>
      </w:pPr>
      <w:r w:rsidRPr="003C12C1">
        <w:rPr>
          <w:b/>
          <w:bCs/>
          <w:i/>
          <w:iCs/>
          <w:sz w:val="16"/>
          <w:szCs w:val="16"/>
        </w:rPr>
        <w:t xml:space="preserve">Chapitre </w:t>
      </w:r>
      <w:proofErr w:type="gramStart"/>
      <w:r w:rsidRPr="003C12C1">
        <w:rPr>
          <w:b/>
          <w:bCs/>
          <w:i/>
          <w:iCs/>
          <w:sz w:val="16"/>
          <w:szCs w:val="16"/>
        </w:rPr>
        <w:t>III:</w:t>
      </w:r>
      <w:proofErr w:type="gramEnd"/>
      <w:r w:rsidRPr="003C12C1">
        <w:rPr>
          <w:b/>
          <w:bCs/>
          <w:i/>
          <w:iCs/>
          <w:sz w:val="16"/>
          <w:szCs w:val="16"/>
        </w:rPr>
        <w:t xml:space="preserve"> Incrimination, détection et répression</w:t>
      </w:r>
      <w:r>
        <w:rPr>
          <w:b/>
          <w:bCs/>
          <w:i/>
          <w:iCs/>
          <w:sz w:val="16"/>
          <w:szCs w:val="16"/>
        </w:rPr>
        <w:t xml:space="preserve"> - </w:t>
      </w:r>
      <w:r w:rsidRPr="003C12C1">
        <w:rPr>
          <w:b/>
          <w:bCs/>
          <w:i/>
          <w:iCs/>
          <w:sz w:val="16"/>
          <w:szCs w:val="16"/>
        </w:rPr>
        <w:t>2.1. Incrimination (art. 15 à 25)</w:t>
      </w:r>
      <w:r>
        <w:rPr>
          <w:b/>
          <w:bCs/>
          <w:i/>
          <w:iCs/>
          <w:sz w:val="16"/>
          <w:szCs w:val="16"/>
        </w:rPr>
        <w:t xml:space="preserve"> - </w:t>
      </w:r>
      <w:r w:rsidRPr="003C12C1">
        <w:rPr>
          <w:b/>
          <w:bCs/>
          <w:i/>
          <w:iCs/>
          <w:sz w:val="16"/>
          <w:szCs w:val="16"/>
        </w:rPr>
        <w:t>2.1.1. Observations sur l’application des articles examinés</w:t>
      </w:r>
      <w:r>
        <w:rPr>
          <w:b/>
          <w:bCs/>
          <w:i/>
          <w:iCs/>
          <w:sz w:val="16"/>
          <w:szCs w:val="16"/>
        </w:rPr>
        <w:t xml:space="preserve">. </w:t>
      </w:r>
      <w:r w:rsidRPr="003C12C1">
        <w:rPr>
          <w:i/>
          <w:iCs/>
          <w:sz w:val="16"/>
          <w:szCs w:val="16"/>
        </w:rPr>
        <w:t>Les articles 48 et 49 de la loi n° 1/12 de 2006 contiennent les incriminations visées à l’article 15 de la Convention (corruption d’agents publics nationaux).</w:t>
      </w:r>
    </w:p>
    <w:p w14:paraId="7736D899" w14:textId="37AC9467" w:rsidR="00DC459F" w:rsidRPr="003C12C1" w:rsidRDefault="00DC459F" w:rsidP="006A1282">
      <w:pPr>
        <w:autoSpaceDE w:val="0"/>
        <w:autoSpaceDN w:val="0"/>
        <w:adjustRightInd w:val="0"/>
        <w:rPr>
          <w:i/>
          <w:iCs/>
          <w:sz w:val="16"/>
          <w:szCs w:val="16"/>
        </w:rPr>
      </w:pPr>
      <w:r w:rsidRPr="003C12C1">
        <w:rPr>
          <w:i/>
          <w:iCs/>
          <w:sz w:val="16"/>
          <w:szCs w:val="16"/>
        </w:rPr>
        <w:t>La définition d’agent public est large. L’article 48 ne contient pas de référence à un avantage indu pour un tiers ou une entité. Les autorités du Burundi ont indiqué qu’une partie des cas pouvait être résolue en se référant aux avantages pour les tiers comme pour ceux de la personne ou en appliquant l’infraction de trafic d’influence (art. 51 à 54).</w:t>
      </w:r>
    </w:p>
    <w:p w14:paraId="3A3184B0" w14:textId="5F0AAD70" w:rsidR="00DC459F" w:rsidRPr="003C12C1" w:rsidRDefault="00DC459F" w:rsidP="006A1282">
      <w:pPr>
        <w:autoSpaceDE w:val="0"/>
        <w:autoSpaceDN w:val="0"/>
        <w:adjustRightInd w:val="0"/>
        <w:rPr>
          <w:i/>
          <w:iCs/>
          <w:sz w:val="16"/>
          <w:szCs w:val="16"/>
        </w:rPr>
      </w:pPr>
      <w:r w:rsidRPr="003C12C1">
        <w:rPr>
          <w:i/>
          <w:iCs/>
          <w:sz w:val="16"/>
          <w:szCs w:val="16"/>
        </w:rPr>
        <w:t>Les articles 42 à 47 de la loi n° 1/12 de 2006 contiennent l’infraction de corruption passive des agents publics nationaux. L’article 42 fait référence à la corruption simple pour laquelle l’ag ent public accomplit ou s’abstient</w:t>
      </w:r>
      <w:r>
        <w:rPr>
          <w:i/>
          <w:iCs/>
          <w:sz w:val="16"/>
          <w:szCs w:val="16"/>
        </w:rPr>
        <w:t xml:space="preserve"> </w:t>
      </w:r>
      <w:r w:rsidRPr="003C12C1">
        <w:rPr>
          <w:i/>
          <w:iCs/>
          <w:sz w:val="16"/>
          <w:szCs w:val="16"/>
        </w:rPr>
        <w:t>d’accomplir un acte relevant de ses fonctions, tandis que l’article 43 fait référence à la réalisation d’un acte injuste de la part de l’agent, et l’article 44 traite du cas où le but de la corruption est que l’agent commette une</w:t>
      </w:r>
      <w:r>
        <w:rPr>
          <w:i/>
          <w:iCs/>
          <w:sz w:val="16"/>
          <w:szCs w:val="16"/>
        </w:rPr>
        <w:t xml:space="preserve"> </w:t>
      </w:r>
      <w:r w:rsidRPr="003C12C1">
        <w:rPr>
          <w:i/>
          <w:iCs/>
          <w:sz w:val="16"/>
          <w:szCs w:val="16"/>
        </w:rPr>
        <w:t>infraction. L’article 45 prévoit des sanctions sévères pour les agents de l’ordre judiciaire, le Ministère public et la police judiciaire.</w:t>
      </w:r>
    </w:p>
    <w:p w14:paraId="571B74B8" w14:textId="2D9EC8A9" w:rsidR="00DC459F" w:rsidRPr="003C12C1" w:rsidRDefault="00DC459F" w:rsidP="006A1282">
      <w:pPr>
        <w:autoSpaceDE w:val="0"/>
        <w:autoSpaceDN w:val="0"/>
        <w:adjustRightInd w:val="0"/>
        <w:rPr>
          <w:i/>
          <w:iCs/>
          <w:sz w:val="16"/>
          <w:szCs w:val="16"/>
        </w:rPr>
      </w:pPr>
      <w:r w:rsidRPr="003C12C1">
        <w:rPr>
          <w:i/>
          <w:iCs/>
          <w:sz w:val="16"/>
          <w:szCs w:val="16"/>
        </w:rPr>
        <w:t>L’article 63 de la loi n° 1/12 de 2006 contient la plus grande partie des éléments prévus dans l’article 16, paragraphe 1 de la Convention (corruption active des agents publics étrangers et des fonctionnaires</w:t>
      </w:r>
      <w:r>
        <w:rPr>
          <w:i/>
          <w:iCs/>
          <w:sz w:val="16"/>
          <w:szCs w:val="16"/>
        </w:rPr>
        <w:t xml:space="preserve"> </w:t>
      </w:r>
      <w:r w:rsidRPr="003C12C1">
        <w:rPr>
          <w:i/>
          <w:iCs/>
          <w:sz w:val="16"/>
          <w:szCs w:val="16"/>
        </w:rPr>
        <w:t>d’organisations internationales publiques). Cependant l’élément d’avantage indu pour une autre personne ou entité n’apparaît pas.</w:t>
      </w:r>
      <w:r>
        <w:rPr>
          <w:i/>
          <w:iCs/>
          <w:sz w:val="16"/>
          <w:szCs w:val="16"/>
        </w:rPr>
        <w:t xml:space="preserve"> </w:t>
      </w:r>
      <w:r w:rsidRPr="003C12C1">
        <w:rPr>
          <w:i/>
          <w:iCs/>
          <w:sz w:val="16"/>
          <w:szCs w:val="16"/>
        </w:rPr>
        <w:t>Le Burundi n’a pas mis en oeuvre l’article 16, paragraphe 2 de la Convention (corruption passive d’agents publics étrangers et de fonctionnaires d’organisations internationales publiques).</w:t>
      </w:r>
    </w:p>
    <w:p w14:paraId="535996E7" w14:textId="77777777" w:rsidR="00DC459F" w:rsidRPr="003C12C1" w:rsidRDefault="00DC459F" w:rsidP="006A1282">
      <w:pPr>
        <w:autoSpaceDE w:val="0"/>
        <w:autoSpaceDN w:val="0"/>
        <w:adjustRightInd w:val="0"/>
        <w:rPr>
          <w:i/>
          <w:iCs/>
          <w:sz w:val="16"/>
          <w:szCs w:val="16"/>
        </w:rPr>
      </w:pPr>
      <w:r w:rsidRPr="003C12C1">
        <w:rPr>
          <w:i/>
          <w:iCs/>
          <w:sz w:val="16"/>
          <w:szCs w:val="16"/>
        </w:rPr>
        <w:t>La loi n° 1/12, articles 55 et 56, contient la classification des infractions prévues à l’article 17 de la Convention (soustraction, détournement et autre usage illicite). L’élément d’avantage pour des tiers n’apparaît pas dans ces articles.</w:t>
      </w:r>
    </w:p>
    <w:p w14:paraId="055DAE35" w14:textId="5BD3D6F9" w:rsidR="00DC459F" w:rsidRPr="003C12C1" w:rsidRDefault="00DC459F" w:rsidP="006A1282">
      <w:pPr>
        <w:autoSpaceDE w:val="0"/>
        <w:autoSpaceDN w:val="0"/>
        <w:adjustRightInd w:val="0"/>
        <w:rPr>
          <w:i/>
          <w:iCs/>
          <w:sz w:val="16"/>
          <w:szCs w:val="16"/>
        </w:rPr>
      </w:pPr>
      <w:r w:rsidRPr="003C12C1">
        <w:rPr>
          <w:i/>
          <w:iCs/>
          <w:sz w:val="16"/>
          <w:szCs w:val="16"/>
        </w:rPr>
        <w:t>L’article 54, paragraphe 2 de la loi n° 1/12 de 2006 contient la plus grande partie de l’incrimination d écrite dans l’article 18 de la Convention (trafic d’influence). L’élément des avantages indus pour des tiers</w:t>
      </w:r>
      <w:r>
        <w:rPr>
          <w:i/>
          <w:iCs/>
          <w:sz w:val="16"/>
          <w:szCs w:val="16"/>
        </w:rPr>
        <w:t xml:space="preserve"> </w:t>
      </w:r>
      <w:r w:rsidRPr="003C12C1">
        <w:rPr>
          <w:i/>
          <w:iCs/>
          <w:sz w:val="16"/>
          <w:szCs w:val="16"/>
        </w:rPr>
        <w:t>n’apparaît pas dans les articles 52, 53 et 54, alors qu’il est envisagé à l’article 51.</w:t>
      </w:r>
    </w:p>
    <w:p w14:paraId="312FAA32" w14:textId="649C3FFC" w:rsidR="00DC459F" w:rsidRPr="003C12C1" w:rsidRDefault="00DC459F" w:rsidP="003007E6">
      <w:pPr>
        <w:autoSpaceDE w:val="0"/>
        <w:autoSpaceDN w:val="0"/>
        <w:adjustRightInd w:val="0"/>
        <w:rPr>
          <w:i/>
          <w:iCs/>
          <w:sz w:val="16"/>
          <w:szCs w:val="16"/>
        </w:rPr>
      </w:pPr>
      <w:r w:rsidRPr="003C12C1">
        <w:rPr>
          <w:i/>
          <w:iCs/>
          <w:sz w:val="16"/>
          <w:szCs w:val="16"/>
        </w:rPr>
        <w:t>La loi n° 1/12 contient l’infraction prévue à l’article 19 de la Convention (abus de fonctions) aux articles 43, 44 et 47. Les articles 43, 44 et 47 contiennent les éléments de sollicitation ou d’acceptation d’un avantage</w:t>
      </w:r>
      <w:r>
        <w:rPr>
          <w:i/>
          <w:iCs/>
          <w:sz w:val="16"/>
          <w:szCs w:val="16"/>
        </w:rPr>
        <w:t xml:space="preserve"> </w:t>
      </w:r>
      <w:r w:rsidRPr="003C12C1">
        <w:rPr>
          <w:i/>
          <w:iCs/>
          <w:sz w:val="16"/>
          <w:szCs w:val="16"/>
        </w:rPr>
        <w:t>indu alors que l’article 19 de la Convention prévoit seulement l’obtention d’un tel avantage indu. Il a été précisé que l’article 43 s’appliquait à la Commission d’un “acte injuste” et non pas un acte en violation des lois, alors que l’article 44 vise la commission d’une infraction.</w:t>
      </w:r>
    </w:p>
    <w:p w14:paraId="0CA11C67" w14:textId="77777777" w:rsidR="00DC459F" w:rsidRPr="003C12C1" w:rsidRDefault="00DC459F" w:rsidP="003007E6">
      <w:pPr>
        <w:autoSpaceDE w:val="0"/>
        <w:autoSpaceDN w:val="0"/>
        <w:adjustRightInd w:val="0"/>
        <w:rPr>
          <w:i/>
          <w:iCs/>
          <w:sz w:val="16"/>
          <w:szCs w:val="16"/>
        </w:rPr>
      </w:pPr>
      <w:r w:rsidRPr="003C12C1">
        <w:rPr>
          <w:i/>
          <w:iCs/>
          <w:sz w:val="16"/>
          <w:szCs w:val="16"/>
        </w:rPr>
        <w:t>L’article 58 de la loi n° 1/12 de 2006 contient l’infraction prévue à l’article 20 de la Convention (enrichissement illicite). Cependant, la loi contient une erreur de rédaction ou de reproduction qui ne permet pas le plein examen de la disposition en question. La Brigade anticorruption a évoqué le problème posé par le cadre légal, dans la mesure où l’origine illicite devait être établie par décision judiciaire, ce qui retardait les procédures. La Brigade avait ouvert des dossiers invitant les juridictions à se prononcer directement sur les bases des conventions internationales (CNUCC et Union Africaine). De plus, le système de réception des déclarations des biens fut considéré inefficace, dans la mesure où différentes structures étaient chargées de les recevoir et utilisaient diverses méthodes de traitement. Pour cette raison, il était utile d’envisager un système unique de réception et de suivi de ces déclarations.</w:t>
      </w:r>
    </w:p>
    <w:p w14:paraId="1BCB65E6" w14:textId="77777777" w:rsidR="00DC459F" w:rsidRPr="003C12C1" w:rsidRDefault="00DC459F" w:rsidP="003007E6">
      <w:pPr>
        <w:autoSpaceDE w:val="0"/>
        <w:autoSpaceDN w:val="0"/>
        <w:adjustRightInd w:val="0"/>
        <w:rPr>
          <w:i/>
          <w:iCs/>
          <w:sz w:val="16"/>
          <w:szCs w:val="16"/>
        </w:rPr>
      </w:pPr>
      <w:r w:rsidRPr="003C12C1">
        <w:rPr>
          <w:i/>
          <w:iCs/>
          <w:sz w:val="16"/>
          <w:szCs w:val="16"/>
        </w:rPr>
        <w:t>Le Burundi a inclus les articles 427 à 429 dans son Code pénal, qui mettent en oeuvre l’article 21 de la Convention (corruption dans le secteur privé). En ce qui concerne l’article 22 (soustraction dans le secteur privé), la loi n° 1/12 de 2006 classe l’usage de biens contraire aux intérêts de la société, dans son article 61, cependant, elle n’englobe pas la soustraction de biens.</w:t>
      </w:r>
    </w:p>
  </w:footnote>
  <w:footnote w:id="9">
    <w:p w14:paraId="74802B36" w14:textId="77777777" w:rsidR="00DC459F" w:rsidRDefault="00DC459F" w:rsidP="006D391B">
      <w:pPr>
        <w:pStyle w:val="Notedebasdepage"/>
      </w:pPr>
      <w:r w:rsidRPr="004A64DA">
        <w:rPr>
          <w:rStyle w:val="Appelnotedebasdep"/>
          <w:sz w:val="18"/>
          <w:szCs w:val="18"/>
        </w:rPr>
        <w:footnoteRef/>
      </w:r>
      <w:r w:rsidRPr="004A64DA">
        <w:rPr>
          <w:sz w:val="18"/>
          <w:szCs w:val="18"/>
        </w:rPr>
        <w:t xml:space="preserve"> </w:t>
      </w:r>
      <w:r w:rsidRPr="006D391B">
        <w:rPr>
          <w:sz w:val="16"/>
          <w:szCs w:val="16"/>
        </w:rPr>
        <w:t>https://www.transparency.org/news/pressrelease/corruption_perceptions_index_2017_shows_high_corruption_burden_in_more_than</w:t>
      </w:r>
    </w:p>
  </w:footnote>
  <w:footnote w:id="10">
    <w:p w14:paraId="4EE7774F" w14:textId="2A6DAF39" w:rsidR="00DC459F" w:rsidRPr="004A64DA" w:rsidRDefault="00DC459F">
      <w:pPr>
        <w:pStyle w:val="Notedebasdepage"/>
        <w:rPr>
          <w:sz w:val="16"/>
          <w:szCs w:val="16"/>
        </w:rPr>
      </w:pPr>
      <w:r w:rsidRPr="004A64DA">
        <w:rPr>
          <w:rStyle w:val="Appelnotedebasdep"/>
          <w:sz w:val="16"/>
          <w:szCs w:val="16"/>
        </w:rPr>
        <w:footnoteRef/>
      </w:r>
      <w:r w:rsidRPr="004A64DA">
        <w:rPr>
          <w:sz w:val="16"/>
          <w:szCs w:val="16"/>
        </w:rPr>
        <w:t xml:space="preserve"> PV de la réunion du Comité de Pilotage du projet d’appui à la SNBG, 6 avril 2016.</w:t>
      </w:r>
    </w:p>
  </w:footnote>
  <w:footnote w:id="11">
    <w:p w14:paraId="3563540F" w14:textId="77777777" w:rsidR="00DC459F" w:rsidRPr="00131C1A" w:rsidRDefault="00DC459F" w:rsidP="00E269BD">
      <w:pPr>
        <w:pStyle w:val="Notedebasdepage"/>
        <w:rPr>
          <w:sz w:val="16"/>
          <w:szCs w:val="16"/>
        </w:rPr>
      </w:pPr>
      <w:r w:rsidRPr="00131C1A">
        <w:rPr>
          <w:rStyle w:val="Appelnotedebasdep"/>
          <w:sz w:val="16"/>
          <w:szCs w:val="16"/>
        </w:rPr>
        <w:footnoteRef/>
      </w:r>
      <w:r w:rsidRPr="00131C1A">
        <w:rPr>
          <w:sz w:val="16"/>
          <w:szCs w:val="16"/>
        </w:rPr>
        <w:t xml:space="preserve"> http://info.worldbank.org/governance/wgi/index.aspx#reports</w:t>
      </w:r>
    </w:p>
    <w:p w14:paraId="3E9C8CA8" w14:textId="77777777" w:rsidR="00DC459F" w:rsidRPr="0085061D" w:rsidRDefault="00DC459F" w:rsidP="00E269BD">
      <w:pPr>
        <w:pStyle w:val="Notedebasdepage"/>
      </w:pPr>
      <w:r w:rsidRPr="00131C1A">
        <w:rPr>
          <w:sz w:val="16"/>
          <w:szCs w:val="16"/>
        </w:rPr>
        <w:t>http://s.mo.ibrahim.foundation/u/2017/03/08200108/Burundi-Insights-2016-IIAG.pdf</w:t>
      </w:r>
    </w:p>
  </w:footnote>
  <w:footnote w:id="12">
    <w:p w14:paraId="1ADBB345" w14:textId="40770C44" w:rsidR="00FF0261" w:rsidRPr="004A64DA" w:rsidRDefault="00FF0261">
      <w:pPr>
        <w:pStyle w:val="Notedebasdepage"/>
        <w:rPr>
          <w:sz w:val="16"/>
          <w:szCs w:val="16"/>
          <w:lang w:val="en-GB"/>
        </w:rPr>
      </w:pPr>
      <w:r w:rsidRPr="004A64DA">
        <w:rPr>
          <w:rStyle w:val="Appelnotedebasdep"/>
          <w:sz w:val="16"/>
          <w:szCs w:val="16"/>
        </w:rPr>
        <w:footnoteRef/>
      </w:r>
      <w:r w:rsidRPr="004A64DA">
        <w:rPr>
          <w:sz w:val="16"/>
          <w:szCs w:val="16"/>
          <w:lang w:val="en-GB"/>
        </w:rPr>
        <w:t xml:space="preserve"> 2016, UNDP, Evaluation of UNDP Contribution to Anti-corruption and addressing Drivers of Corruption.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10E77" w14:textId="77777777" w:rsidR="00DC459F" w:rsidRDefault="00DC459F" w:rsidP="00117A2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A775A"/>
    <w:multiLevelType w:val="hybridMultilevel"/>
    <w:tmpl w:val="288CC78C"/>
    <w:lvl w:ilvl="0" w:tplc="CD60641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926C10"/>
    <w:multiLevelType w:val="hybridMultilevel"/>
    <w:tmpl w:val="D23825B0"/>
    <w:lvl w:ilvl="0" w:tplc="CD60641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0C4676"/>
    <w:multiLevelType w:val="hybridMultilevel"/>
    <w:tmpl w:val="A554F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01557"/>
    <w:multiLevelType w:val="hybridMultilevel"/>
    <w:tmpl w:val="66007B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D5660E"/>
    <w:multiLevelType w:val="hybridMultilevel"/>
    <w:tmpl w:val="1B224694"/>
    <w:lvl w:ilvl="0" w:tplc="76AE6946">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AE4F3C"/>
    <w:multiLevelType w:val="hybridMultilevel"/>
    <w:tmpl w:val="064E3A82"/>
    <w:lvl w:ilvl="0" w:tplc="CD60641E">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7325FC"/>
    <w:multiLevelType w:val="hybridMultilevel"/>
    <w:tmpl w:val="4FEED272"/>
    <w:lvl w:ilvl="0" w:tplc="040C0001">
      <w:start w:val="1"/>
      <w:numFmt w:val="bullet"/>
      <w:lvlText w:val=""/>
      <w:lvlJc w:val="left"/>
      <w:pPr>
        <w:ind w:left="720" w:hanging="360"/>
      </w:pPr>
      <w:rPr>
        <w:rFonts w:ascii="Symbol" w:hAnsi="Symbol"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27F518A8"/>
    <w:multiLevelType w:val="hybridMultilevel"/>
    <w:tmpl w:val="3D64772A"/>
    <w:lvl w:ilvl="0" w:tplc="6FDCD6F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C05A48"/>
    <w:multiLevelType w:val="hybridMultilevel"/>
    <w:tmpl w:val="694E62A8"/>
    <w:lvl w:ilvl="0" w:tplc="5AF6FE44">
      <w:start w:val="1"/>
      <w:numFmt w:val="bullet"/>
      <w:lvlText w:val="•"/>
      <w:lvlJc w:val="left"/>
      <w:pPr>
        <w:tabs>
          <w:tab w:val="num" w:pos="720"/>
        </w:tabs>
        <w:ind w:left="720" w:hanging="360"/>
      </w:pPr>
      <w:rPr>
        <w:rFonts w:ascii="Arial" w:hAnsi="Arial" w:hint="default"/>
      </w:rPr>
    </w:lvl>
    <w:lvl w:ilvl="1" w:tplc="FA00991C" w:tentative="1">
      <w:start w:val="1"/>
      <w:numFmt w:val="bullet"/>
      <w:lvlText w:val="•"/>
      <w:lvlJc w:val="left"/>
      <w:pPr>
        <w:tabs>
          <w:tab w:val="num" w:pos="1440"/>
        </w:tabs>
        <w:ind w:left="1440" w:hanging="360"/>
      </w:pPr>
      <w:rPr>
        <w:rFonts w:ascii="Arial" w:hAnsi="Arial" w:hint="default"/>
      </w:rPr>
    </w:lvl>
    <w:lvl w:ilvl="2" w:tplc="69F40FBE" w:tentative="1">
      <w:start w:val="1"/>
      <w:numFmt w:val="bullet"/>
      <w:lvlText w:val="•"/>
      <w:lvlJc w:val="left"/>
      <w:pPr>
        <w:tabs>
          <w:tab w:val="num" w:pos="2160"/>
        </w:tabs>
        <w:ind w:left="2160" w:hanging="360"/>
      </w:pPr>
      <w:rPr>
        <w:rFonts w:ascii="Arial" w:hAnsi="Arial" w:hint="default"/>
      </w:rPr>
    </w:lvl>
    <w:lvl w:ilvl="3" w:tplc="471C817A" w:tentative="1">
      <w:start w:val="1"/>
      <w:numFmt w:val="bullet"/>
      <w:lvlText w:val="•"/>
      <w:lvlJc w:val="left"/>
      <w:pPr>
        <w:tabs>
          <w:tab w:val="num" w:pos="2880"/>
        </w:tabs>
        <w:ind w:left="2880" w:hanging="360"/>
      </w:pPr>
      <w:rPr>
        <w:rFonts w:ascii="Arial" w:hAnsi="Arial" w:hint="default"/>
      </w:rPr>
    </w:lvl>
    <w:lvl w:ilvl="4" w:tplc="9452B68E" w:tentative="1">
      <w:start w:val="1"/>
      <w:numFmt w:val="bullet"/>
      <w:lvlText w:val="•"/>
      <w:lvlJc w:val="left"/>
      <w:pPr>
        <w:tabs>
          <w:tab w:val="num" w:pos="3600"/>
        </w:tabs>
        <w:ind w:left="3600" w:hanging="360"/>
      </w:pPr>
      <w:rPr>
        <w:rFonts w:ascii="Arial" w:hAnsi="Arial" w:hint="default"/>
      </w:rPr>
    </w:lvl>
    <w:lvl w:ilvl="5" w:tplc="F0CC62D8" w:tentative="1">
      <w:start w:val="1"/>
      <w:numFmt w:val="bullet"/>
      <w:lvlText w:val="•"/>
      <w:lvlJc w:val="left"/>
      <w:pPr>
        <w:tabs>
          <w:tab w:val="num" w:pos="4320"/>
        </w:tabs>
        <w:ind w:left="4320" w:hanging="360"/>
      </w:pPr>
      <w:rPr>
        <w:rFonts w:ascii="Arial" w:hAnsi="Arial" w:hint="default"/>
      </w:rPr>
    </w:lvl>
    <w:lvl w:ilvl="6" w:tplc="52B6718A" w:tentative="1">
      <w:start w:val="1"/>
      <w:numFmt w:val="bullet"/>
      <w:lvlText w:val="•"/>
      <w:lvlJc w:val="left"/>
      <w:pPr>
        <w:tabs>
          <w:tab w:val="num" w:pos="5040"/>
        </w:tabs>
        <w:ind w:left="5040" w:hanging="360"/>
      </w:pPr>
      <w:rPr>
        <w:rFonts w:ascii="Arial" w:hAnsi="Arial" w:hint="default"/>
      </w:rPr>
    </w:lvl>
    <w:lvl w:ilvl="7" w:tplc="4C106226" w:tentative="1">
      <w:start w:val="1"/>
      <w:numFmt w:val="bullet"/>
      <w:lvlText w:val="•"/>
      <w:lvlJc w:val="left"/>
      <w:pPr>
        <w:tabs>
          <w:tab w:val="num" w:pos="5760"/>
        </w:tabs>
        <w:ind w:left="5760" w:hanging="360"/>
      </w:pPr>
      <w:rPr>
        <w:rFonts w:ascii="Arial" w:hAnsi="Arial" w:hint="default"/>
      </w:rPr>
    </w:lvl>
    <w:lvl w:ilvl="8" w:tplc="CDF01C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4E7736"/>
    <w:multiLevelType w:val="hybridMultilevel"/>
    <w:tmpl w:val="56CAD70C"/>
    <w:lvl w:ilvl="0" w:tplc="F9F2421C">
      <w:start w:val="2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45869"/>
    <w:multiLevelType w:val="multilevel"/>
    <w:tmpl w:val="6E7E5042"/>
    <w:lvl w:ilvl="0">
      <w:start w:val="1"/>
      <w:numFmt w:val="decimal"/>
      <w:pStyle w:val="Titre1"/>
      <w:lvlText w:val="%1"/>
      <w:lvlJc w:val="left"/>
      <w:pPr>
        <w:ind w:left="432" w:hanging="432"/>
      </w:p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413837CD"/>
    <w:multiLevelType w:val="hybridMultilevel"/>
    <w:tmpl w:val="CEDC701E"/>
    <w:lvl w:ilvl="0" w:tplc="CD60641E">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630035"/>
    <w:multiLevelType w:val="hybridMultilevel"/>
    <w:tmpl w:val="50AEBDEE"/>
    <w:lvl w:ilvl="0" w:tplc="FD16EF8A">
      <w:start w:val="1"/>
      <w:numFmt w:val="bullet"/>
      <w:lvlText w:val="•"/>
      <w:lvlJc w:val="left"/>
      <w:pPr>
        <w:tabs>
          <w:tab w:val="num" w:pos="720"/>
        </w:tabs>
        <w:ind w:left="720" w:hanging="360"/>
      </w:pPr>
      <w:rPr>
        <w:rFonts w:ascii="Arial" w:hAnsi="Arial" w:hint="default"/>
      </w:rPr>
    </w:lvl>
    <w:lvl w:ilvl="1" w:tplc="3ADA0E70" w:tentative="1">
      <w:start w:val="1"/>
      <w:numFmt w:val="bullet"/>
      <w:lvlText w:val="•"/>
      <w:lvlJc w:val="left"/>
      <w:pPr>
        <w:tabs>
          <w:tab w:val="num" w:pos="1440"/>
        </w:tabs>
        <w:ind w:left="1440" w:hanging="360"/>
      </w:pPr>
      <w:rPr>
        <w:rFonts w:ascii="Arial" w:hAnsi="Arial" w:hint="default"/>
      </w:rPr>
    </w:lvl>
    <w:lvl w:ilvl="2" w:tplc="21065146" w:tentative="1">
      <w:start w:val="1"/>
      <w:numFmt w:val="bullet"/>
      <w:lvlText w:val="•"/>
      <w:lvlJc w:val="left"/>
      <w:pPr>
        <w:tabs>
          <w:tab w:val="num" w:pos="2160"/>
        </w:tabs>
        <w:ind w:left="2160" w:hanging="360"/>
      </w:pPr>
      <w:rPr>
        <w:rFonts w:ascii="Arial" w:hAnsi="Arial" w:hint="default"/>
      </w:rPr>
    </w:lvl>
    <w:lvl w:ilvl="3" w:tplc="4C3AB6AE" w:tentative="1">
      <w:start w:val="1"/>
      <w:numFmt w:val="bullet"/>
      <w:lvlText w:val="•"/>
      <w:lvlJc w:val="left"/>
      <w:pPr>
        <w:tabs>
          <w:tab w:val="num" w:pos="2880"/>
        </w:tabs>
        <w:ind w:left="2880" w:hanging="360"/>
      </w:pPr>
      <w:rPr>
        <w:rFonts w:ascii="Arial" w:hAnsi="Arial" w:hint="default"/>
      </w:rPr>
    </w:lvl>
    <w:lvl w:ilvl="4" w:tplc="A78C102E" w:tentative="1">
      <w:start w:val="1"/>
      <w:numFmt w:val="bullet"/>
      <w:lvlText w:val="•"/>
      <w:lvlJc w:val="left"/>
      <w:pPr>
        <w:tabs>
          <w:tab w:val="num" w:pos="3600"/>
        </w:tabs>
        <w:ind w:left="3600" w:hanging="360"/>
      </w:pPr>
      <w:rPr>
        <w:rFonts w:ascii="Arial" w:hAnsi="Arial" w:hint="default"/>
      </w:rPr>
    </w:lvl>
    <w:lvl w:ilvl="5" w:tplc="3222883C" w:tentative="1">
      <w:start w:val="1"/>
      <w:numFmt w:val="bullet"/>
      <w:lvlText w:val="•"/>
      <w:lvlJc w:val="left"/>
      <w:pPr>
        <w:tabs>
          <w:tab w:val="num" w:pos="4320"/>
        </w:tabs>
        <w:ind w:left="4320" w:hanging="360"/>
      </w:pPr>
      <w:rPr>
        <w:rFonts w:ascii="Arial" w:hAnsi="Arial" w:hint="default"/>
      </w:rPr>
    </w:lvl>
    <w:lvl w:ilvl="6" w:tplc="EA42A932" w:tentative="1">
      <w:start w:val="1"/>
      <w:numFmt w:val="bullet"/>
      <w:lvlText w:val="•"/>
      <w:lvlJc w:val="left"/>
      <w:pPr>
        <w:tabs>
          <w:tab w:val="num" w:pos="5040"/>
        </w:tabs>
        <w:ind w:left="5040" w:hanging="360"/>
      </w:pPr>
      <w:rPr>
        <w:rFonts w:ascii="Arial" w:hAnsi="Arial" w:hint="default"/>
      </w:rPr>
    </w:lvl>
    <w:lvl w:ilvl="7" w:tplc="58F64710" w:tentative="1">
      <w:start w:val="1"/>
      <w:numFmt w:val="bullet"/>
      <w:lvlText w:val="•"/>
      <w:lvlJc w:val="left"/>
      <w:pPr>
        <w:tabs>
          <w:tab w:val="num" w:pos="5760"/>
        </w:tabs>
        <w:ind w:left="5760" w:hanging="360"/>
      </w:pPr>
      <w:rPr>
        <w:rFonts w:ascii="Arial" w:hAnsi="Arial" w:hint="default"/>
      </w:rPr>
    </w:lvl>
    <w:lvl w:ilvl="8" w:tplc="B246C8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A76F51"/>
    <w:multiLevelType w:val="hybridMultilevel"/>
    <w:tmpl w:val="A710848C"/>
    <w:lvl w:ilvl="0" w:tplc="CD60641E">
      <w:start w:val="1"/>
      <w:numFmt w:val="bullet"/>
      <w:lvlText w:val="-"/>
      <w:lvlJc w:val="left"/>
      <w:pPr>
        <w:ind w:left="720" w:hanging="360"/>
      </w:pPr>
      <w:rPr>
        <w:rFonts w:ascii="Arial" w:hAnsi="Arial" w:hint="default"/>
      </w:rPr>
    </w:lvl>
    <w:lvl w:ilvl="1" w:tplc="CD60641E">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4F3F5C"/>
    <w:multiLevelType w:val="hybridMultilevel"/>
    <w:tmpl w:val="F00A47F8"/>
    <w:lvl w:ilvl="0" w:tplc="CD60641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B62FE7"/>
    <w:multiLevelType w:val="hybridMultilevel"/>
    <w:tmpl w:val="CB762A8E"/>
    <w:lvl w:ilvl="0" w:tplc="047083A8">
      <w:start w:val="1"/>
      <w:numFmt w:val="bullet"/>
      <w:lvlText w:val="•"/>
      <w:lvlJc w:val="left"/>
      <w:pPr>
        <w:tabs>
          <w:tab w:val="num" w:pos="720"/>
        </w:tabs>
        <w:ind w:left="720" w:hanging="360"/>
      </w:pPr>
      <w:rPr>
        <w:rFonts w:ascii="Arial" w:hAnsi="Arial" w:hint="default"/>
      </w:rPr>
    </w:lvl>
    <w:lvl w:ilvl="1" w:tplc="6B400DBA" w:tentative="1">
      <w:start w:val="1"/>
      <w:numFmt w:val="bullet"/>
      <w:lvlText w:val="•"/>
      <w:lvlJc w:val="left"/>
      <w:pPr>
        <w:tabs>
          <w:tab w:val="num" w:pos="1440"/>
        </w:tabs>
        <w:ind w:left="1440" w:hanging="360"/>
      </w:pPr>
      <w:rPr>
        <w:rFonts w:ascii="Arial" w:hAnsi="Arial" w:hint="default"/>
      </w:rPr>
    </w:lvl>
    <w:lvl w:ilvl="2" w:tplc="FADA3E68" w:tentative="1">
      <w:start w:val="1"/>
      <w:numFmt w:val="bullet"/>
      <w:lvlText w:val="•"/>
      <w:lvlJc w:val="left"/>
      <w:pPr>
        <w:tabs>
          <w:tab w:val="num" w:pos="2160"/>
        </w:tabs>
        <w:ind w:left="2160" w:hanging="360"/>
      </w:pPr>
      <w:rPr>
        <w:rFonts w:ascii="Arial" w:hAnsi="Arial" w:hint="default"/>
      </w:rPr>
    </w:lvl>
    <w:lvl w:ilvl="3" w:tplc="804A2C9E" w:tentative="1">
      <w:start w:val="1"/>
      <w:numFmt w:val="bullet"/>
      <w:lvlText w:val="•"/>
      <w:lvlJc w:val="left"/>
      <w:pPr>
        <w:tabs>
          <w:tab w:val="num" w:pos="2880"/>
        </w:tabs>
        <w:ind w:left="2880" w:hanging="360"/>
      </w:pPr>
      <w:rPr>
        <w:rFonts w:ascii="Arial" w:hAnsi="Arial" w:hint="default"/>
      </w:rPr>
    </w:lvl>
    <w:lvl w:ilvl="4" w:tplc="F676947C" w:tentative="1">
      <w:start w:val="1"/>
      <w:numFmt w:val="bullet"/>
      <w:lvlText w:val="•"/>
      <w:lvlJc w:val="left"/>
      <w:pPr>
        <w:tabs>
          <w:tab w:val="num" w:pos="3600"/>
        </w:tabs>
        <w:ind w:left="3600" w:hanging="360"/>
      </w:pPr>
      <w:rPr>
        <w:rFonts w:ascii="Arial" w:hAnsi="Arial" w:hint="default"/>
      </w:rPr>
    </w:lvl>
    <w:lvl w:ilvl="5" w:tplc="E1E81E4E" w:tentative="1">
      <w:start w:val="1"/>
      <w:numFmt w:val="bullet"/>
      <w:lvlText w:val="•"/>
      <w:lvlJc w:val="left"/>
      <w:pPr>
        <w:tabs>
          <w:tab w:val="num" w:pos="4320"/>
        </w:tabs>
        <w:ind w:left="4320" w:hanging="360"/>
      </w:pPr>
      <w:rPr>
        <w:rFonts w:ascii="Arial" w:hAnsi="Arial" w:hint="default"/>
      </w:rPr>
    </w:lvl>
    <w:lvl w:ilvl="6" w:tplc="E5B00CB4" w:tentative="1">
      <w:start w:val="1"/>
      <w:numFmt w:val="bullet"/>
      <w:lvlText w:val="•"/>
      <w:lvlJc w:val="left"/>
      <w:pPr>
        <w:tabs>
          <w:tab w:val="num" w:pos="5040"/>
        </w:tabs>
        <w:ind w:left="5040" w:hanging="360"/>
      </w:pPr>
      <w:rPr>
        <w:rFonts w:ascii="Arial" w:hAnsi="Arial" w:hint="default"/>
      </w:rPr>
    </w:lvl>
    <w:lvl w:ilvl="7" w:tplc="BBBA7424" w:tentative="1">
      <w:start w:val="1"/>
      <w:numFmt w:val="bullet"/>
      <w:lvlText w:val="•"/>
      <w:lvlJc w:val="left"/>
      <w:pPr>
        <w:tabs>
          <w:tab w:val="num" w:pos="5760"/>
        </w:tabs>
        <w:ind w:left="5760" w:hanging="360"/>
      </w:pPr>
      <w:rPr>
        <w:rFonts w:ascii="Arial" w:hAnsi="Arial" w:hint="default"/>
      </w:rPr>
    </w:lvl>
    <w:lvl w:ilvl="8" w:tplc="23B097E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2E6CA9"/>
    <w:multiLevelType w:val="hybridMultilevel"/>
    <w:tmpl w:val="C7AEE924"/>
    <w:lvl w:ilvl="0" w:tplc="CD60641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8B6F26"/>
    <w:multiLevelType w:val="hybridMultilevel"/>
    <w:tmpl w:val="8D8CDEA0"/>
    <w:lvl w:ilvl="0" w:tplc="7FBA86E8">
      <w:start w:val="1"/>
      <w:numFmt w:val="decimal"/>
      <w:lvlText w:val="%1."/>
      <w:lvlJc w:val="left"/>
      <w:pPr>
        <w:ind w:left="1080" w:hanging="360"/>
      </w:pPr>
      <w:rPr>
        <w:b w:val="0"/>
      </w:rPr>
    </w:lvl>
    <w:lvl w:ilvl="1" w:tplc="544AF67C">
      <w:start w:val="1"/>
      <w:numFmt w:val="decimal"/>
      <w:lvlText w:val="%2)"/>
      <w:lvlJc w:val="left"/>
      <w:pPr>
        <w:ind w:left="1800" w:hanging="360"/>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6FB37FA9"/>
    <w:multiLevelType w:val="hybridMultilevel"/>
    <w:tmpl w:val="7522100E"/>
    <w:lvl w:ilvl="0" w:tplc="CD60641E">
      <w:start w:val="1"/>
      <w:numFmt w:val="bullet"/>
      <w:lvlText w:val="-"/>
      <w:lvlJc w:val="left"/>
      <w:pPr>
        <w:ind w:left="720" w:hanging="360"/>
      </w:pPr>
      <w:rPr>
        <w:rFonts w:ascii="Arial" w:hAnsi="Arial" w:hint="default"/>
      </w:rPr>
    </w:lvl>
    <w:lvl w:ilvl="1" w:tplc="CD60641E">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1362A8"/>
    <w:multiLevelType w:val="hybridMultilevel"/>
    <w:tmpl w:val="23DE6DD8"/>
    <w:lvl w:ilvl="0" w:tplc="92B48E66">
      <w:start w:val="1"/>
      <w:numFmt w:val="bullet"/>
      <w:lvlText w:val="•"/>
      <w:lvlJc w:val="left"/>
      <w:pPr>
        <w:tabs>
          <w:tab w:val="num" w:pos="720"/>
        </w:tabs>
        <w:ind w:left="720" w:hanging="360"/>
      </w:pPr>
      <w:rPr>
        <w:rFonts w:ascii="Arial" w:hAnsi="Arial" w:hint="default"/>
      </w:rPr>
    </w:lvl>
    <w:lvl w:ilvl="1" w:tplc="5D88997A" w:tentative="1">
      <w:start w:val="1"/>
      <w:numFmt w:val="bullet"/>
      <w:lvlText w:val="•"/>
      <w:lvlJc w:val="left"/>
      <w:pPr>
        <w:tabs>
          <w:tab w:val="num" w:pos="1440"/>
        </w:tabs>
        <w:ind w:left="1440" w:hanging="360"/>
      </w:pPr>
      <w:rPr>
        <w:rFonts w:ascii="Arial" w:hAnsi="Arial" w:hint="default"/>
      </w:rPr>
    </w:lvl>
    <w:lvl w:ilvl="2" w:tplc="49F0031E" w:tentative="1">
      <w:start w:val="1"/>
      <w:numFmt w:val="bullet"/>
      <w:lvlText w:val="•"/>
      <w:lvlJc w:val="left"/>
      <w:pPr>
        <w:tabs>
          <w:tab w:val="num" w:pos="2160"/>
        </w:tabs>
        <w:ind w:left="2160" w:hanging="360"/>
      </w:pPr>
      <w:rPr>
        <w:rFonts w:ascii="Arial" w:hAnsi="Arial" w:hint="default"/>
      </w:rPr>
    </w:lvl>
    <w:lvl w:ilvl="3" w:tplc="F620F0EA" w:tentative="1">
      <w:start w:val="1"/>
      <w:numFmt w:val="bullet"/>
      <w:lvlText w:val="•"/>
      <w:lvlJc w:val="left"/>
      <w:pPr>
        <w:tabs>
          <w:tab w:val="num" w:pos="2880"/>
        </w:tabs>
        <w:ind w:left="2880" w:hanging="360"/>
      </w:pPr>
      <w:rPr>
        <w:rFonts w:ascii="Arial" w:hAnsi="Arial" w:hint="default"/>
      </w:rPr>
    </w:lvl>
    <w:lvl w:ilvl="4" w:tplc="D94CEF5E" w:tentative="1">
      <w:start w:val="1"/>
      <w:numFmt w:val="bullet"/>
      <w:lvlText w:val="•"/>
      <w:lvlJc w:val="left"/>
      <w:pPr>
        <w:tabs>
          <w:tab w:val="num" w:pos="3600"/>
        </w:tabs>
        <w:ind w:left="3600" w:hanging="360"/>
      </w:pPr>
      <w:rPr>
        <w:rFonts w:ascii="Arial" w:hAnsi="Arial" w:hint="default"/>
      </w:rPr>
    </w:lvl>
    <w:lvl w:ilvl="5" w:tplc="8B664A0E" w:tentative="1">
      <w:start w:val="1"/>
      <w:numFmt w:val="bullet"/>
      <w:lvlText w:val="•"/>
      <w:lvlJc w:val="left"/>
      <w:pPr>
        <w:tabs>
          <w:tab w:val="num" w:pos="4320"/>
        </w:tabs>
        <w:ind w:left="4320" w:hanging="360"/>
      </w:pPr>
      <w:rPr>
        <w:rFonts w:ascii="Arial" w:hAnsi="Arial" w:hint="default"/>
      </w:rPr>
    </w:lvl>
    <w:lvl w:ilvl="6" w:tplc="7A42D95C" w:tentative="1">
      <w:start w:val="1"/>
      <w:numFmt w:val="bullet"/>
      <w:lvlText w:val="•"/>
      <w:lvlJc w:val="left"/>
      <w:pPr>
        <w:tabs>
          <w:tab w:val="num" w:pos="5040"/>
        </w:tabs>
        <w:ind w:left="5040" w:hanging="360"/>
      </w:pPr>
      <w:rPr>
        <w:rFonts w:ascii="Arial" w:hAnsi="Arial" w:hint="default"/>
      </w:rPr>
    </w:lvl>
    <w:lvl w:ilvl="7" w:tplc="24B6D062" w:tentative="1">
      <w:start w:val="1"/>
      <w:numFmt w:val="bullet"/>
      <w:lvlText w:val="•"/>
      <w:lvlJc w:val="left"/>
      <w:pPr>
        <w:tabs>
          <w:tab w:val="num" w:pos="5760"/>
        </w:tabs>
        <w:ind w:left="5760" w:hanging="360"/>
      </w:pPr>
      <w:rPr>
        <w:rFonts w:ascii="Arial" w:hAnsi="Arial" w:hint="default"/>
      </w:rPr>
    </w:lvl>
    <w:lvl w:ilvl="8" w:tplc="E348EE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861229"/>
    <w:multiLevelType w:val="hybridMultilevel"/>
    <w:tmpl w:val="C22C8912"/>
    <w:lvl w:ilvl="0" w:tplc="516C1FB8">
      <w:start w:val="1"/>
      <w:numFmt w:val="bullet"/>
      <w:lvlText w:val="-"/>
      <w:lvlJc w:val="left"/>
      <w:pPr>
        <w:ind w:left="720" w:hanging="360"/>
      </w:pPr>
      <w:rPr>
        <w:rFonts w:ascii="Arial Narrow" w:eastAsia="MS Mincho" w:hAnsi="Arial Narrow"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4A14A5"/>
    <w:multiLevelType w:val="hybridMultilevel"/>
    <w:tmpl w:val="C0249D4A"/>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4C16109"/>
    <w:multiLevelType w:val="hybridMultilevel"/>
    <w:tmpl w:val="9FC4B170"/>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0A19A6"/>
    <w:multiLevelType w:val="hybridMultilevel"/>
    <w:tmpl w:val="40D0EAA2"/>
    <w:lvl w:ilvl="0" w:tplc="CD60641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21"/>
  </w:num>
  <w:num w:numId="5">
    <w:abstractNumId w:val="6"/>
  </w:num>
  <w:num w:numId="6">
    <w:abstractNumId w:val="17"/>
  </w:num>
  <w:num w:numId="7">
    <w:abstractNumId w:val="7"/>
  </w:num>
  <w:num w:numId="8">
    <w:abstractNumId w:val="15"/>
  </w:num>
  <w:num w:numId="9">
    <w:abstractNumId w:val="12"/>
  </w:num>
  <w:num w:numId="10">
    <w:abstractNumId w:val="8"/>
  </w:num>
  <w:num w:numId="11">
    <w:abstractNumId w:val="3"/>
  </w:num>
  <w:num w:numId="12">
    <w:abstractNumId w:val="19"/>
  </w:num>
  <w:num w:numId="13">
    <w:abstractNumId w:val="20"/>
  </w:num>
  <w:num w:numId="14">
    <w:abstractNumId w:val="16"/>
  </w:num>
  <w:num w:numId="15">
    <w:abstractNumId w:val="1"/>
  </w:num>
  <w:num w:numId="16">
    <w:abstractNumId w:val="22"/>
  </w:num>
  <w:num w:numId="17">
    <w:abstractNumId w:val="5"/>
  </w:num>
  <w:num w:numId="18">
    <w:abstractNumId w:val="13"/>
  </w:num>
  <w:num w:numId="19">
    <w:abstractNumId w:val="11"/>
  </w:num>
  <w:num w:numId="20">
    <w:abstractNumId w:val="18"/>
  </w:num>
  <w:num w:numId="21">
    <w:abstractNumId w:val="23"/>
  </w:num>
  <w:num w:numId="22">
    <w:abstractNumId w:val="14"/>
  </w:num>
  <w:num w:numId="23">
    <w:abstractNumId w:val="4"/>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8FF"/>
    <w:rsid w:val="00000FFA"/>
    <w:rsid w:val="00006A1D"/>
    <w:rsid w:val="00010470"/>
    <w:rsid w:val="00011259"/>
    <w:rsid w:val="000167B1"/>
    <w:rsid w:val="00017E67"/>
    <w:rsid w:val="0002211C"/>
    <w:rsid w:val="00023D4E"/>
    <w:rsid w:val="00024A4C"/>
    <w:rsid w:val="0003016A"/>
    <w:rsid w:val="000328D3"/>
    <w:rsid w:val="00033066"/>
    <w:rsid w:val="00033548"/>
    <w:rsid w:val="00040414"/>
    <w:rsid w:val="00043314"/>
    <w:rsid w:val="00043A26"/>
    <w:rsid w:val="00043AA7"/>
    <w:rsid w:val="00044597"/>
    <w:rsid w:val="00045A5D"/>
    <w:rsid w:val="00046EC3"/>
    <w:rsid w:val="00047760"/>
    <w:rsid w:val="0005065B"/>
    <w:rsid w:val="000509CA"/>
    <w:rsid w:val="000538A0"/>
    <w:rsid w:val="00053BF7"/>
    <w:rsid w:val="00054137"/>
    <w:rsid w:val="0005573B"/>
    <w:rsid w:val="000557C4"/>
    <w:rsid w:val="00057454"/>
    <w:rsid w:val="000610E5"/>
    <w:rsid w:val="000646AE"/>
    <w:rsid w:val="00070FAB"/>
    <w:rsid w:val="00073038"/>
    <w:rsid w:val="00073D23"/>
    <w:rsid w:val="000765CA"/>
    <w:rsid w:val="00080DFE"/>
    <w:rsid w:val="000854C6"/>
    <w:rsid w:val="0009288D"/>
    <w:rsid w:val="0009573E"/>
    <w:rsid w:val="000A151A"/>
    <w:rsid w:val="000A1757"/>
    <w:rsid w:val="000A3579"/>
    <w:rsid w:val="000A7A70"/>
    <w:rsid w:val="000B0296"/>
    <w:rsid w:val="000B33AD"/>
    <w:rsid w:val="000B4CF5"/>
    <w:rsid w:val="000C206B"/>
    <w:rsid w:val="000C24F5"/>
    <w:rsid w:val="000C3FC9"/>
    <w:rsid w:val="000C5C5E"/>
    <w:rsid w:val="000D08A7"/>
    <w:rsid w:val="000D0E1D"/>
    <w:rsid w:val="000D5014"/>
    <w:rsid w:val="000D5B48"/>
    <w:rsid w:val="000E2D08"/>
    <w:rsid w:val="000E3DA8"/>
    <w:rsid w:val="000E482F"/>
    <w:rsid w:val="000E7051"/>
    <w:rsid w:val="000E76BC"/>
    <w:rsid w:val="000E7F4F"/>
    <w:rsid w:val="000F3CED"/>
    <w:rsid w:val="000F4CBC"/>
    <w:rsid w:val="001030AB"/>
    <w:rsid w:val="001101E5"/>
    <w:rsid w:val="001109E6"/>
    <w:rsid w:val="00112B30"/>
    <w:rsid w:val="00114CF4"/>
    <w:rsid w:val="0011680A"/>
    <w:rsid w:val="00117A2F"/>
    <w:rsid w:val="0012206B"/>
    <w:rsid w:val="001227AF"/>
    <w:rsid w:val="00122D90"/>
    <w:rsid w:val="0012329A"/>
    <w:rsid w:val="00131C1A"/>
    <w:rsid w:val="00131E08"/>
    <w:rsid w:val="0013791D"/>
    <w:rsid w:val="00141590"/>
    <w:rsid w:val="00152232"/>
    <w:rsid w:val="00152418"/>
    <w:rsid w:val="00152477"/>
    <w:rsid w:val="00154DD3"/>
    <w:rsid w:val="001618E5"/>
    <w:rsid w:val="0016271B"/>
    <w:rsid w:val="001658FE"/>
    <w:rsid w:val="0016609E"/>
    <w:rsid w:val="00173157"/>
    <w:rsid w:val="0018070B"/>
    <w:rsid w:val="00187B21"/>
    <w:rsid w:val="00190539"/>
    <w:rsid w:val="00190661"/>
    <w:rsid w:val="001A0936"/>
    <w:rsid w:val="001A31F3"/>
    <w:rsid w:val="001A45F5"/>
    <w:rsid w:val="001A727D"/>
    <w:rsid w:val="001B216E"/>
    <w:rsid w:val="001B4FC0"/>
    <w:rsid w:val="001B5F0B"/>
    <w:rsid w:val="001C19A9"/>
    <w:rsid w:val="001C1D5A"/>
    <w:rsid w:val="001C28DE"/>
    <w:rsid w:val="001C703B"/>
    <w:rsid w:val="001D0EF2"/>
    <w:rsid w:val="001D2920"/>
    <w:rsid w:val="001D58D0"/>
    <w:rsid w:val="001D6BBD"/>
    <w:rsid w:val="001E273B"/>
    <w:rsid w:val="001E2B08"/>
    <w:rsid w:val="001E4954"/>
    <w:rsid w:val="001E4DB6"/>
    <w:rsid w:val="001E67CB"/>
    <w:rsid w:val="001E6A1F"/>
    <w:rsid w:val="0020545A"/>
    <w:rsid w:val="00207342"/>
    <w:rsid w:val="00212785"/>
    <w:rsid w:val="0021297E"/>
    <w:rsid w:val="00212CFD"/>
    <w:rsid w:val="00213CE0"/>
    <w:rsid w:val="002156AE"/>
    <w:rsid w:val="00220650"/>
    <w:rsid w:val="00221EF4"/>
    <w:rsid w:val="00222C3E"/>
    <w:rsid w:val="00223CA7"/>
    <w:rsid w:val="00227AAA"/>
    <w:rsid w:val="00230D75"/>
    <w:rsid w:val="00234C5B"/>
    <w:rsid w:val="002356CD"/>
    <w:rsid w:val="0023675A"/>
    <w:rsid w:val="00237304"/>
    <w:rsid w:val="00240B64"/>
    <w:rsid w:val="002419FB"/>
    <w:rsid w:val="00244526"/>
    <w:rsid w:val="00253C21"/>
    <w:rsid w:val="00255A23"/>
    <w:rsid w:val="00257E1C"/>
    <w:rsid w:val="00261973"/>
    <w:rsid w:val="0026502A"/>
    <w:rsid w:val="00265CA9"/>
    <w:rsid w:val="002663E4"/>
    <w:rsid w:val="00276627"/>
    <w:rsid w:val="00280DCA"/>
    <w:rsid w:val="0028449C"/>
    <w:rsid w:val="00284CB5"/>
    <w:rsid w:val="0028785A"/>
    <w:rsid w:val="00291CB2"/>
    <w:rsid w:val="00292D1F"/>
    <w:rsid w:val="002A0537"/>
    <w:rsid w:val="002A1B0B"/>
    <w:rsid w:val="002A20FF"/>
    <w:rsid w:val="002A716F"/>
    <w:rsid w:val="002B01F6"/>
    <w:rsid w:val="002B25D6"/>
    <w:rsid w:val="002C02F2"/>
    <w:rsid w:val="002C103C"/>
    <w:rsid w:val="002C7171"/>
    <w:rsid w:val="002D3B50"/>
    <w:rsid w:val="002D5C4B"/>
    <w:rsid w:val="002D5C7D"/>
    <w:rsid w:val="002E087A"/>
    <w:rsid w:val="002E26F8"/>
    <w:rsid w:val="002E2EF5"/>
    <w:rsid w:val="002E778B"/>
    <w:rsid w:val="002F1891"/>
    <w:rsid w:val="002F1B5B"/>
    <w:rsid w:val="002F449C"/>
    <w:rsid w:val="002F49FF"/>
    <w:rsid w:val="002F5864"/>
    <w:rsid w:val="003007E6"/>
    <w:rsid w:val="00301339"/>
    <w:rsid w:val="00302781"/>
    <w:rsid w:val="00303983"/>
    <w:rsid w:val="00305F4F"/>
    <w:rsid w:val="00314582"/>
    <w:rsid w:val="0031740F"/>
    <w:rsid w:val="003177F6"/>
    <w:rsid w:val="00317DD6"/>
    <w:rsid w:val="00320D49"/>
    <w:rsid w:val="00323063"/>
    <w:rsid w:val="0032554E"/>
    <w:rsid w:val="003358DB"/>
    <w:rsid w:val="00346683"/>
    <w:rsid w:val="00346870"/>
    <w:rsid w:val="00350188"/>
    <w:rsid w:val="003536A3"/>
    <w:rsid w:val="00353A8C"/>
    <w:rsid w:val="00353E3B"/>
    <w:rsid w:val="003546DE"/>
    <w:rsid w:val="00361A09"/>
    <w:rsid w:val="00363403"/>
    <w:rsid w:val="0036343D"/>
    <w:rsid w:val="003654AC"/>
    <w:rsid w:val="003707EA"/>
    <w:rsid w:val="00370E68"/>
    <w:rsid w:val="003832AC"/>
    <w:rsid w:val="0039141D"/>
    <w:rsid w:val="00394993"/>
    <w:rsid w:val="00396118"/>
    <w:rsid w:val="00397D02"/>
    <w:rsid w:val="003A204A"/>
    <w:rsid w:val="003A31F3"/>
    <w:rsid w:val="003A5CD2"/>
    <w:rsid w:val="003A6A29"/>
    <w:rsid w:val="003B4C1F"/>
    <w:rsid w:val="003C0FA3"/>
    <w:rsid w:val="003C12C1"/>
    <w:rsid w:val="003C64D3"/>
    <w:rsid w:val="003C6743"/>
    <w:rsid w:val="003C70E2"/>
    <w:rsid w:val="003D35DD"/>
    <w:rsid w:val="003E0C80"/>
    <w:rsid w:val="003E167F"/>
    <w:rsid w:val="003E1685"/>
    <w:rsid w:val="003E2D85"/>
    <w:rsid w:val="003E39D8"/>
    <w:rsid w:val="003E7AAE"/>
    <w:rsid w:val="003F368E"/>
    <w:rsid w:val="003F3FA7"/>
    <w:rsid w:val="003F61DD"/>
    <w:rsid w:val="0040048D"/>
    <w:rsid w:val="00400EB5"/>
    <w:rsid w:val="00400F4C"/>
    <w:rsid w:val="00403297"/>
    <w:rsid w:val="0040458C"/>
    <w:rsid w:val="004063F5"/>
    <w:rsid w:val="004106BD"/>
    <w:rsid w:val="004209F7"/>
    <w:rsid w:val="0042111C"/>
    <w:rsid w:val="004245F9"/>
    <w:rsid w:val="00434F64"/>
    <w:rsid w:val="00434F7B"/>
    <w:rsid w:val="00435DD1"/>
    <w:rsid w:val="004410F6"/>
    <w:rsid w:val="004412E5"/>
    <w:rsid w:val="00442F27"/>
    <w:rsid w:val="00445DE7"/>
    <w:rsid w:val="00446E6E"/>
    <w:rsid w:val="00447680"/>
    <w:rsid w:val="0045296B"/>
    <w:rsid w:val="0045311B"/>
    <w:rsid w:val="0045413B"/>
    <w:rsid w:val="00466B0A"/>
    <w:rsid w:val="004702AB"/>
    <w:rsid w:val="004710F1"/>
    <w:rsid w:val="00475B26"/>
    <w:rsid w:val="0047601A"/>
    <w:rsid w:val="00476638"/>
    <w:rsid w:val="00481454"/>
    <w:rsid w:val="00482FFF"/>
    <w:rsid w:val="00490379"/>
    <w:rsid w:val="00493353"/>
    <w:rsid w:val="004A64DA"/>
    <w:rsid w:val="004B0E2A"/>
    <w:rsid w:val="004B66D9"/>
    <w:rsid w:val="004C0B52"/>
    <w:rsid w:val="004D2CC7"/>
    <w:rsid w:val="004D3462"/>
    <w:rsid w:val="004D4A10"/>
    <w:rsid w:val="004D7A96"/>
    <w:rsid w:val="004E050E"/>
    <w:rsid w:val="004E0D2D"/>
    <w:rsid w:val="004E1117"/>
    <w:rsid w:val="004E2677"/>
    <w:rsid w:val="004E5076"/>
    <w:rsid w:val="004E6461"/>
    <w:rsid w:val="004E6809"/>
    <w:rsid w:val="004F18FE"/>
    <w:rsid w:val="004F4A96"/>
    <w:rsid w:val="005007D3"/>
    <w:rsid w:val="00507066"/>
    <w:rsid w:val="00507F92"/>
    <w:rsid w:val="00510679"/>
    <w:rsid w:val="0051091F"/>
    <w:rsid w:val="00510F63"/>
    <w:rsid w:val="005110FF"/>
    <w:rsid w:val="00512CB5"/>
    <w:rsid w:val="005156F2"/>
    <w:rsid w:val="00515741"/>
    <w:rsid w:val="0051604C"/>
    <w:rsid w:val="005171D3"/>
    <w:rsid w:val="005206D8"/>
    <w:rsid w:val="00533FD7"/>
    <w:rsid w:val="00534A5B"/>
    <w:rsid w:val="00535752"/>
    <w:rsid w:val="00535F3B"/>
    <w:rsid w:val="00541106"/>
    <w:rsid w:val="005418DF"/>
    <w:rsid w:val="00546443"/>
    <w:rsid w:val="005470E6"/>
    <w:rsid w:val="0054716C"/>
    <w:rsid w:val="0055697F"/>
    <w:rsid w:val="00571487"/>
    <w:rsid w:val="00576C47"/>
    <w:rsid w:val="005803D3"/>
    <w:rsid w:val="00584E9E"/>
    <w:rsid w:val="00586674"/>
    <w:rsid w:val="005868B1"/>
    <w:rsid w:val="00587908"/>
    <w:rsid w:val="00587C12"/>
    <w:rsid w:val="00590D4B"/>
    <w:rsid w:val="00593A35"/>
    <w:rsid w:val="00593C87"/>
    <w:rsid w:val="00593F45"/>
    <w:rsid w:val="00594983"/>
    <w:rsid w:val="005960A4"/>
    <w:rsid w:val="00597297"/>
    <w:rsid w:val="005A2FFC"/>
    <w:rsid w:val="005A3192"/>
    <w:rsid w:val="005A427C"/>
    <w:rsid w:val="005B3ABB"/>
    <w:rsid w:val="005B5B7A"/>
    <w:rsid w:val="005B6749"/>
    <w:rsid w:val="005B6EC3"/>
    <w:rsid w:val="005B7137"/>
    <w:rsid w:val="005C0432"/>
    <w:rsid w:val="005C05DE"/>
    <w:rsid w:val="005C30DF"/>
    <w:rsid w:val="005C35FC"/>
    <w:rsid w:val="005C3A4E"/>
    <w:rsid w:val="005C6059"/>
    <w:rsid w:val="005D1AD5"/>
    <w:rsid w:val="005D2BD1"/>
    <w:rsid w:val="005D71E7"/>
    <w:rsid w:val="005E4603"/>
    <w:rsid w:val="005E7CF2"/>
    <w:rsid w:val="005F173D"/>
    <w:rsid w:val="005F2BF7"/>
    <w:rsid w:val="005F4709"/>
    <w:rsid w:val="005F5D64"/>
    <w:rsid w:val="005F631E"/>
    <w:rsid w:val="005F757C"/>
    <w:rsid w:val="005F7A48"/>
    <w:rsid w:val="00600835"/>
    <w:rsid w:val="006025F4"/>
    <w:rsid w:val="006038E2"/>
    <w:rsid w:val="00603A31"/>
    <w:rsid w:val="00603DA3"/>
    <w:rsid w:val="00604202"/>
    <w:rsid w:val="00604916"/>
    <w:rsid w:val="00604B9A"/>
    <w:rsid w:val="006116B3"/>
    <w:rsid w:val="00616209"/>
    <w:rsid w:val="00616CDE"/>
    <w:rsid w:val="006235C1"/>
    <w:rsid w:val="006239AE"/>
    <w:rsid w:val="00631F1B"/>
    <w:rsid w:val="006325C3"/>
    <w:rsid w:val="00635336"/>
    <w:rsid w:val="00640BD2"/>
    <w:rsid w:val="00640DC3"/>
    <w:rsid w:val="00640FCA"/>
    <w:rsid w:val="0064677D"/>
    <w:rsid w:val="006501B2"/>
    <w:rsid w:val="00650788"/>
    <w:rsid w:val="006534DA"/>
    <w:rsid w:val="006546B1"/>
    <w:rsid w:val="00655A1C"/>
    <w:rsid w:val="00657DAB"/>
    <w:rsid w:val="00660E46"/>
    <w:rsid w:val="006614B8"/>
    <w:rsid w:val="006641C0"/>
    <w:rsid w:val="00666001"/>
    <w:rsid w:val="00666972"/>
    <w:rsid w:val="0066719B"/>
    <w:rsid w:val="006721E3"/>
    <w:rsid w:val="0067733A"/>
    <w:rsid w:val="00680C01"/>
    <w:rsid w:val="00684139"/>
    <w:rsid w:val="00684CCC"/>
    <w:rsid w:val="00685497"/>
    <w:rsid w:val="006878BF"/>
    <w:rsid w:val="0069128B"/>
    <w:rsid w:val="006A0E94"/>
    <w:rsid w:val="006A1282"/>
    <w:rsid w:val="006A49BD"/>
    <w:rsid w:val="006A60C8"/>
    <w:rsid w:val="006B0E38"/>
    <w:rsid w:val="006B2A29"/>
    <w:rsid w:val="006B3254"/>
    <w:rsid w:val="006B6A7D"/>
    <w:rsid w:val="006B7749"/>
    <w:rsid w:val="006C38C0"/>
    <w:rsid w:val="006C3FA5"/>
    <w:rsid w:val="006C6AAB"/>
    <w:rsid w:val="006D0B00"/>
    <w:rsid w:val="006D185F"/>
    <w:rsid w:val="006D391B"/>
    <w:rsid w:val="006E380D"/>
    <w:rsid w:val="006E48C0"/>
    <w:rsid w:val="006F02CE"/>
    <w:rsid w:val="006F2054"/>
    <w:rsid w:val="006F24D5"/>
    <w:rsid w:val="006F45FF"/>
    <w:rsid w:val="006F5EC7"/>
    <w:rsid w:val="006F711B"/>
    <w:rsid w:val="006F79B8"/>
    <w:rsid w:val="007000BC"/>
    <w:rsid w:val="0071121F"/>
    <w:rsid w:val="00711B4F"/>
    <w:rsid w:val="00714B69"/>
    <w:rsid w:val="00714E9E"/>
    <w:rsid w:val="007207F2"/>
    <w:rsid w:val="00721188"/>
    <w:rsid w:val="0072231C"/>
    <w:rsid w:val="0072297E"/>
    <w:rsid w:val="0073338D"/>
    <w:rsid w:val="007347B3"/>
    <w:rsid w:val="00735830"/>
    <w:rsid w:val="00735CFC"/>
    <w:rsid w:val="00736E16"/>
    <w:rsid w:val="00737FEC"/>
    <w:rsid w:val="007409A2"/>
    <w:rsid w:val="00741ED6"/>
    <w:rsid w:val="00742DFE"/>
    <w:rsid w:val="00743E06"/>
    <w:rsid w:val="00750039"/>
    <w:rsid w:val="0075033D"/>
    <w:rsid w:val="00750B90"/>
    <w:rsid w:val="00750E2F"/>
    <w:rsid w:val="00751413"/>
    <w:rsid w:val="007605D1"/>
    <w:rsid w:val="007606B5"/>
    <w:rsid w:val="007607CD"/>
    <w:rsid w:val="00762C40"/>
    <w:rsid w:val="00763D02"/>
    <w:rsid w:val="00766955"/>
    <w:rsid w:val="00767A46"/>
    <w:rsid w:val="00772DE0"/>
    <w:rsid w:val="007742A9"/>
    <w:rsid w:val="007762E4"/>
    <w:rsid w:val="00781E7A"/>
    <w:rsid w:val="007823D6"/>
    <w:rsid w:val="00783C9E"/>
    <w:rsid w:val="00787F2E"/>
    <w:rsid w:val="00790374"/>
    <w:rsid w:val="00791F92"/>
    <w:rsid w:val="00793F53"/>
    <w:rsid w:val="0079440F"/>
    <w:rsid w:val="007948E2"/>
    <w:rsid w:val="007A0FCA"/>
    <w:rsid w:val="007A1951"/>
    <w:rsid w:val="007A3BE6"/>
    <w:rsid w:val="007A4583"/>
    <w:rsid w:val="007A5F97"/>
    <w:rsid w:val="007A64AD"/>
    <w:rsid w:val="007B7194"/>
    <w:rsid w:val="007C214B"/>
    <w:rsid w:val="007C37CD"/>
    <w:rsid w:val="007C4566"/>
    <w:rsid w:val="007C5DB2"/>
    <w:rsid w:val="007C6021"/>
    <w:rsid w:val="007C74BA"/>
    <w:rsid w:val="007C757A"/>
    <w:rsid w:val="007D1AE9"/>
    <w:rsid w:val="007D3DD4"/>
    <w:rsid w:val="007D3E89"/>
    <w:rsid w:val="007D74A2"/>
    <w:rsid w:val="007D7B35"/>
    <w:rsid w:val="007E2B4A"/>
    <w:rsid w:val="007E4952"/>
    <w:rsid w:val="008024C7"/>
    <w:rsid w:val="00811A94"/>
    <w:rsid w:val="0081450C"/>
    <w:rsid w:val="0081640F"/>
    <w:rsid w:val="00816BC9"/>
    <w:rsid w:val="0081717E"/>
    <w:rsid w:val="00821365"/>
    <w:rsid w:val="0082156C"/>
    <w:rsid w:val="00825E67"/>
    <w:rsid w:val="00830DAC"/>
    <w:rsid w:val="008351CE"/>
    <w:rsid w:val="008359C6"/>
    <w:rsid w:val="0083694F"/>
    <w:rsid w:val="00836AA0"/>
    <w:rsid w:val="00836EB7"/>
    <w:rsid w:val="00837418"/>
    <w:rsid w:val="008454F5"/>
    <w:rsid w:val="00847FD5"/>
    <w:rsid w:val="0085061D"/>
    <w:rsid w:val="00852081"/>
    <w:rsid w:val="00854B76"/>
    <w:rsid w:val="008571DA"/>
    <w:rsid w:val="00867084"/>
    <w:rsid w:val="00881380"/>
    <w:rsid w:val="00885DDD"/>
    <w:rsid w:val="00887E37"/>
    <w:rsid w:val="00891CC3"/>
    <w:rsid w:val="00891DC3"/>
    <w:rsid w:val="00893B83"/>
    <w:rsid w:val="008A041B"/>
    <w:rsid w:val="008A237B"/>
    <w:rsid w:val="008A253C"/>
    <w:rsid w:val="008A3B1F"/>
    <w:rsid w:val="008A45D9"/>
    <w:rsid w:val="008A5761"/>
    <w:rsid w:val="008B014A"/>
    <w:rsid w:val="008B0156"/>
    <w:rsid w:val="008B1151"/>
    <w:rsid w:val="008B3588"/>
    <w:rsid w:val="008B57E5"/>
    <w:rsid w:val="008B7B19"/>
    <w:rsid w:val="008C1439"/>
    <w:rsid w:val="008C353E"/>
    <w:rsid w:val="008C4283"/>
    <w:rsid w:val="008C6082"/>
    <w:rsid w:val="008C7269"/>
    <w:rsid w:val="008D2E31"/>
    <w:rsid w:val="008D4E1D"/>
    <w:rsid w:val="008D7CEF"/>
    <w:rsid w:val="008E5044"/>
    <w:rsid w:val="008E66A5"/>
    <w:rsid w:val="008F5994"/>
    <w:rsid w:val="008F70EA"/>
    <w:rsid w:val="008F770E"/>
    <w:rsid w:val="009058FB"/>
    <w:rsid w:val="009059B4"/>
    <w:rsid w:val="009060E9"/>
    <w:rsid w:val="00907EC9"/>
    <w:rsid w:val="00910314"/>
    <w:rsid w:val="00910984"/>
    <w:rsid w:val="00910B9E"/>
    <w:rsid w:val="00910DDE"/>
    <w:rsid w:val="00911EED"/>
    <w:rsid w:val="00912CD4"/>
    <w:rsid w:val="009139F0"/>
    <w:rsid w:val="0091595A"/>
    <w:rsid w:val="00920461"/>
    <w:rsid w:val="00924AA7"/>
    <w:rsid w:val="00930B09"/>
    <w:rsid w:val="00931BB0"/>
    <w:rsid w:val="00931EF0"/>
    <w:rsid w:val="00933C34"/>
    <w:rsid w:val="00941693"/>
    <w:rsid w:val="009616D2"/>
    <w:rsid w:val="00965444"/>
    <w:rsid w:val="00965C49"/>
    <w:rsid w:val="009712E0"/>
    <w:rsid w:val="00971CFE"/>
    <w:rsid w:val="00973BE2"/>
    <w:rsid w:val="00975A1E"/>
    <w:rsid w:val="0098062D"/>
    <w:rsid w:val="009821D4"/>
    <w:rsid w:val="00982AC8"/>
    <w:rsid w:val="00984412"/>
    <w:rsid w:val="009859D4"/>
    <w:rsid w:val="00991225"/>
    <w:rsid w:val="009919A5"/>
    <w:rsid w:val="0099453B"/>
    <w:rsid w:val="00994C89"/>
    <w:rsid w:val="0099515D"/>
    <w:rsid w:val="009A7365"/>
    <w:rsid w:val="009B0C5B"/>
    <w:rsid w:val="009B1E64"/>
    <w:rsid w:val="009C0F32"/>
    <w:rsid w:val="009C2105"/>
    <w:rsid w:val="009C228E"/>
    <w:rsid w:val="009D6D69"/>
    <w:rsid w:val="009D7373"/>
    <w:rsid w:val="009D7C89"/>
    <w:rsid w:val="009E00BF"/>
    <w:rsid w:val="009E0669"/>
    <w:rsid w:val="009E12B6"/>
    <w:rsid w:val="009E4832"/>
    <w:rsid w:val="009E4893"/>
    <w:rsid w:val="009E739A"/>
    <w:rsid w:val="009E7D9A"/>
    <w:rsid w:val="009E7E5F"/>
    <w:rsid w:val="009F1D2C"/>
    <w:rsid w:val="009F3985"/>
    <w:rsid w:val="009F4C2C"/>
    <w:rsid w:val="009F7C4F"/>
    <w:rsid w:val="00A00F6A"/>
    <w:rsid w:val="00A018D9"/>
    <w:rsid w:val="00A022BF"/>
    <w:rsid w:val="00A03159"/>
    <w:rsid w:val="00A044A5"/>
    <w:rsid w:val="00A1203F"/>
    <w:rsid w:val="00A12532"/>
    <w:rsid w:val="00A132FB"/>
    <w:rsid w:val="00A1368E"/>
    <w:rsid w:val="00A13E95"/>
    <w:rsid w:val="00A151EF"/>
    <w:rsid w:val="00A1770B"/>
    <w:rsid w:val="00A177DF"/>
    <w:rsid w:val="00A22DAD"/>
    <w:rsid w:val="00A2519C"/>
    <w:rsid w:val="00A25D28"/>
    <w:rsid w:val="00A35686"/>
    <w:rsid w:val="00A3616C"/>
    <w:rsid w:val="00A40B17"/>
    <w:rsid w:val="00A50880"/>
    <w:rsid w:val="00A54696"/>
    <w:rsid w:val="00A6113C"/>
    <w:rsid w:val="00A731D5"/>
    <w:rsid w:val="00A76CEE"/>
    <w:rsid w:val="00A9192C"/>
    <w:rsid w:val="00A9268B"/>
    <w:rsid w:val="00AA2D2B"/>
    <w:rsid w:val="00AA5B6E"/>
    <w:rsid w:val="00AA73CF"/>
    <w:rsid w:val="00AB2CF5"/>
    <w:rsid w:val="00AB32A8"/>
    <w:rsid w:val="00AB4A99"/>
    <w:rsid w:val="00AD2544"/>
    <w:rsid w:val="00AD2B6A"/>
    <w:rsid w:val="00AD3EEB"/>
    <w:rsid w:val="00AE06EF"/>
    <w:rsid w:val="00AE1D6B"/>
    <w:rsid w:val="00AE2015"/>
    <w:rsid w:val="00AF0D05"/>
    <w:rsid w:val="00AF2003"/>
    <w:rsid w:val="00AF50AC"/>
    <w:rsid w:val="00AF50D1"/>
    <w:rsid w:val="00AF614C"/>
    <w:rsid w:val="00B00BEF"/>
    <w:rsid w:val="00B02695"/>
    <w:rsid w:val="00B0500E"/>
    <w:rsid w:val="00B0557D"/>
    <w:rsid w:val="00B0580E"/>
    <w:rsid w:val="00B0666E"/>
    <w:rsid w:val="00B067BC"/>
    <w:rsid w:val="00B07FD1"/>
    <w:rsid w:val="00B13545"/>
    <w:rsid w:val="00B14761"/>
    <w:rsid w:val="00B14AB9"/>
    <w:rsid w:val="00B17379"/>
    <w:rsid w:val="00B176F7"/>
    <w:rsid w:val="00B23274"/>
    <w:rsid w:val="00B2465E"/>
    <w:rsid w:val="00B24740"/>
    <w:rsid w:val="00B25512"/>
    <w:rsid w:val="00B2586A"/>
    <w:rsid w:val="00B279E9"/>
    <w:rsid w:val="00B32ED3"/>
    <w:rsid w:val="00B32F21"/>
    <w:rsid w:val="00B34936"/>
    <w:rsid w:val="00B3543F"/>
    <w:rsid w:val="00B35C96"/>
    <w:rsid w:val="00B363B7"/>
    <w:rsid w:val="00B36FF6"/>
    <w:rsid w:val="00B40ACB"/>
    <w:rsid w:val="00B42AAB"/>
    <w:rsid w:val="00B44CD8"/>
    <w:rsid w:val="00B46AE8"/>
    <w:rsid w:val="00B47B23"/>
    <w:rsid w:val="00B50CC4"/>
    <w:rsid w:val="00B55EF7"/>
    <w:rsid w:val="00B61E72"/>
    <w:rsid w:val="00B65966"/>
    <w:rsid w:val="00B70E1C"/>
    <w:rsid w:val="00B71D15"/>
    <w:rsid w:val="00B737D6"/>
    <w:rsid w:val="00B75D77"/>
    <w:rsid w:val="00B828F0"/>
    <w:rsid w:val="00B858F1"/>
    <w:rsid w:val="00B878D7"/>
    <w:rsid w:val="00B9075E"/>
    <w:rsid w:val="00B90F25"/>
    <w:rsid w:val="00B9270B"/>
    <w:rsid w:val="00B93A93"/>
    <w:rsid w:val="00B93AEE"/>
    <w:rsid w:val="00B94016"/>
    <w:rsid w:val="00B9462A"/>
    <w:rsid w:val="00B9501A"/>
    <w:rsid w:val="00BA2707"/>
    <w:rsid w:val="00BA27BC"/>
    <w:rsid w:val="00BA2F01"/>
    <w:rsid w:val="00BA3173"/>
    <w:rsid w:val="00BA41CB"/>
    <w:rsid w:val="00BA46E7"/>
    <w:rsid w:val="00BA57BC"/>
    <w:rsid w:val="00BA7634"/>
    <w:rsid w:val="00BB3131"/>
    <w:rsid w:val="00BC1ADE"/>
    <w:rsid w:val="00BC200F"/>
    <w:rsid w:val="00BC29B3"/>
    <w:rsid w:val="00BC62C9"/>
    <w:rsid w:val="00BC6A32"/>
    <w:rsid w:val="00BD577C"/>
    <w:rsid w:val="00BD5A7D"/>
    <w:rsid w:val="00BD62C4"/>
    <w:rsid w:val="00BD6A24"/>
    <w:rsid w:val="00BD6C7D"/>
    <w:rsid w:val="00BD7210"/>
    <w:rsid w:val="00BE05C8"/>
    <w:rsid w:val="00BE18C1"/>
    <w:rsid w:val="00BE223D"/>
    <w:rsid w:val="00BE2AD7"/>
    <w:rsid w:val="00BE3B62"/>
    <w:rsid w:val="00BE7303"/>
    <w:rsid w:val="00BE7456"/>
    <w:rsid w:val="00BF4161"/>
    <w:rsid w:val="00BF6514"/>
    <w:rsid w:val="00C005CE"/>
    <w:rsid w:val="00C0132D"/>
    <w:rsid w:val="00C02334"/>
    <w:rsid w:val="00C02C0C"/>
    <w:rsid w:val="00C04BF6"/>
    <w:rsid w:val="00C075A0"/>
    <w:rsid w:val="00C144E7"/>
    <w:rsid w:val="00C16898"/>
    <w:rsid w:val="00C16B9C"/>
    <w:rsid w:val="00C17BA2"/>
    <w:rsid w:val="00C20853"/>
    <w:rsid w:val="00C215AE"/>
    <w:rsid w:val="00C2453D"/>
    <w:rsid w:val="00C35213"/>
    <w:rsid w:val="00C40190"/>
    <w:rsid w:val="00C4077B"/>
    <w:rsid w:val="00C45AF6"/>
    <w:rsid w:val="00C53175"/>
    <w:rsid w:val="00C53B7E"/>
    <w:rsid w:val="00C55225"/>
    <w:rsid w:val="00C558FD"/>
    <w:rsid w:val="00C568E5"/>
    <w:rsid w:val="00C56A7B"/>
    <w:rsid w:val="00C56F48"/>
    <w:rsid w:val="00C66B59"/>
    <w:rsid w:val="00C71043"/>
    <w:rsid w:val="00C73910"/>
    <w:rsid w:val="00C75668"/>
    <w:rsid w:val="00C77BDF"/>
    <w:rsid w:val="00C77D75"/>
    <w:rsid w:val="00C84E83"/>
    <w:rsid w:val="00C867E0"/>
    <w:rsid w:val="00C87FF7"/>
    <w:rsid w:val="00C92C17"/>
    <w:rsid w:val="00C92C21"/>
    <w:rsid w:val="00C931BB"/>
    <w:rsid w:val="00C964AF"/>
    <w:rsid w:val="00C9680F"/>
    <w:rsid w:val="00CA07F0"/>
    <w:rsid w:val="00CA0BE7"/>
    <w:rsid w:val="00CA66A2"/>
    <w:rsid w:val="00CB0BB2"/>
    <w:rsid w:val="00CB27B5"/>
    <w:rsid w:val="00CB71E9"/>
    <w:rsid w:val="00CC54EF"/>
    <w:rsid w:val="00CC5E42"/>
    <w:rsid w:val="00CC6807"/>
    <w:rsid w:val="00CD34CE"/>
    <w:rsid w:val="00CD5233"/>
    <w:rsid w:val="00CD5D91"/>
    <w:rsid w:val="00CD760B"/>
    <w:rsid w:val="00CE221F"/>
    <w:rsid w:val="00CE24D9"/>
    <w:rsid w:val="00CE4FCA"/>
    <w:rsid w:val="00CF2024"/>
    <w:rsid w:val="00CF23B8"/>
    <w:rsid w:val="00CF28A2"/>
    <w:rsid w:val="00CF7E04"/>
    <w:rsid w:val="00D008CD"/>
    <w:rsid w:val="00D12766"/>
    <w:rsid w:val="00D16BF5"/>
    <w:rsid w:val="00D17903"/>
    <w:rsid w:val="00D22F5C"/>
    <w:rsid w:val="00D24043"/>
    <w:rsid w:val="00D24C69"/>
    <w:rsid w:val="00D27AC1"/>
    <w:rsid w:val="00D32638"/>
    <w:rsid w:val="00D328A9"/>
    <w:rsid w:val="00D328C2"/>
    <w:rsid w:val="00D337AE"/>
    <w:rsid w:val="00D36C69"/>
    <w:rsid w:val="00D43AC8"/>
    <w:rsid w:val="00D55680"/>
    <w:rsid w:val="00D55AFF"/>
    <w:rsid w:val="00D57C81"/>
    <w:rsid w:val="00D611E0"/>
    <w:rsid w:val="00D63DD3"/>
    <w:rsid w:val="00D64EF0"/>
    <w:rsid w:val="00D7284A"/>
    <w:rsid w:val="00D73FD6"/>
    <w:rsid w:val="00D7503C"/>
    <w:rsid w:val="00D77EDA"/>
    <w:rsid w:val="00D81F9A"/>
    <w:rsid w:val="00D85606"/>
    <w:rsid w:val="00DA0132"/>
    <w:rsid w:val="00DA07AE"/>
    <w:rsid w:val="00DA0EE7"/>
    <w:rsid w:val="00DA47B1"/>
    <w:rsid w:val="00DA614B"/>
    <w:rsid w:val="00DB024D"/>
    <w:rsid w:val="00DB4489"/>
    <w:rsid w:val="00DB5A33"/>
    <w:rsid w:val="00DC459F"/>
    <w:rsid w:val="00DD02ED"/>
    <w:rsid w:val="00DD0DA9"/>
    <w:rsid w:val="00DE02A1"/>
    <w:rsid w:val="00DE3855"/>
    <w:rsid w:val="00DE53F4"/>
    <w:rsid w:val="00DE627F"/>
    <w:rsid w:val="00DE7072"/>
    <w:rsid w:val="00DF758B"/>
    <w:rsid w:val="00DF771C"/>
    <w:rsid w:val="00E00F07"/>
    <w:rsid w:val="00E00F57"/>
    <w:rsid w:val="00E0268C"/>
    <w:rsid w:val="00E053C0"/>
    <w:rsid w:val="00E10547"/>
    <w:rsid w:val="00E11B21"/>
    <w:rsid w:val="00E11DD1"/>
    <w:rsid w:val="00E1476F"/>
    <w:rsid w:val="00E16E60"/>
    <w:rsid w:val="00E2635B"/>
    <w:rsid w:val="00E269BD"/>
    <w:rsid w:val="00E306CE"/>
    <w:rsid w:val="00E30B5F"/>
    <w:rsid w:val="00E31AF4"/>
    <w:rsid w:val="00E32FAF"/>
    <w:rsid w:val="00E34C86"/>
    <w:rsid w:val="00E36B0E"/>
    <w:rsid w:val="00E36C12"/>
    <w:rsid w:val="00E433BB"/>
    <w:rsid w:val="00E447EE"/>
    <w:rsid w:val="00E459B9"/>
    <w:rsid w:val="00E470E1"/>
    <w:rsid w:val="00E479EB"/>
    <w:rsid w:val="00E518E2"/>
    <w:rsid w:val="00E51CA2"/>
    <w:rsid w:val="00E54E0F"/>
    <w:rsid w:val="00E558EC"/>
    <w:rsid w:val="00E55DB3"/>
    <w:rsid w:val="00E55FB8"/>
    <w:rsid w:val="00E61180"/>
    <w:rsid w:val="00E64ACA"/>
    <w:rsid w:val="00E71915"/>
    <w:rsid w:val="00E73308"/>
    <w:rsid w:val="00E74F32"/>
    <w:rsid w:val="00E8133F"/>
    <w:rsid w:val="00E835F5"/>
    <w:rsid w:val="00E842EB"/>
    <w:rsid w:val="00E87429"/>
    <w:rsid w:val="00E87E73"/>
    <w:rsid w:val="00E92DB6"/>
    <w:rsid w:val="00E970CE"/>
    <w:rsid w:val="00E975E4"/>
    <w:rsid w:val="00EA26CC"/>
    <w:rsid w:val="00EA3591"/>
    <w:rsid w:val="00EA4569"/>
    <w:rsid w:val="00EA4A52"/>
    <w:rsid w:val="00EA7D97"/>
    <w:rsid w:val="00EB052A"/>
    <w:rsid w:val="00EC194A"/>
    <w:rsid w:val="00EC2517"/>
    <w:rsid w:val="00EC2BDE"/>
    <w:rsid w:val="00EC3BA3"/>
    <w:rsid w:val="00ED2A67"/>
    <w:rsid w:val="00ED4B29"/>
    <w:rsid w:val="00EE0820"/>
    <w:rsid w:val="00EE0FAE"/>
    <w:rsid w:val="00EF085F"/>
    <w:rsid w:val="00EF1C2F"/>
    <w:rsid w:val="00EF46FB"/>
    <w:rsid w:val="00EF48FF"/>
    <w:rsid w:val="00EF5180"/>
    <w:rsid w:val="00EF5450"/>
    <w:rsid w:val="00EF6684"/>
    <w:rsid w:val="00F028D9"/>
    <w:rsid w:val="00F04B53"/>
    <w:rsid w:val="00F06C21"/>
    <w:rsid w:val="00F06DFF"/>
    <w:rsid w:val="00F07B64"/>
    <w:rsid w:val="00F11225"/>
    <w:rsid w:val="00F12E52"/>
    <w:rsid w:val="00F145B2"/>
    <w:rsid w:val="00F14DE9"/>
    <w:rsid w:val="00F15F18"/>
    <w:rsid w:val="00F24F80"/>
    <w:rsid w:val="00F26623"/>
    <w:rsid w:val="00F279AF"/>
    <w:rsid w:val="00F311CA"/>
    <w:rsid w:val="00F35983"/>
    <w:rsid w:val="00F37300"/>
    <w:rsid w:val="00F40565"/>
    <w:rsid w:val="00F41BE9"/>
    <w:rsid w:val="00F44BFD"/>
    <w:rsid w:val="00F45D27"/>
    <w:rsid w:val="00F475EE"/>
    <w:rsid w:val="00F51D50"/>
    <w:rsid w:val="00F56829"/>
    <w:rsid w:val="00F60A5E"/>
    <w:rsid w:val="00F655CA"/>
    <w:rsid w:val="00F66C7C"/>
    <w:rsid w:val="00F7192B"/>
    <w:rsid w:val="00F7397C"/>
    <w:rsid w:val="00F7424A"/>
    <w:rsid w:val="00F7781A"/>
    <w:rsid w:val="00F77BE3"/>
    <w:rsid w:val="00F824C0"/>
    <w:rsid w:val="00F876C9"/>
    <w:rsid w:val="00F9057A"/>
    <w:rsid w:val="00F92265"/>
    <w:rsid w:val="00F92819"/>
    <w:rsid w:val="00F92D26"/>
    <w:rsid w:val="00F95824"/>
    <w:rsid w:val="00F96805"/>
    <w:rsid w:val="00FA0817"/>
    <w:rsid w:val="00FA2711"/>
    <w:rsid w:val="00FA675C"/>
    <w:rsid w:val="00FB769D"/>
    <w:rsid w:val="00FB7BDF"/>
    <w:rsid w:val="00FC2AFD"/>
    <w:rsid w:val="00FC49B2"/>
    <w:rsid w:val="00FC6F09"/>
    <w:rsid w:val="00FD4E08"/>
    <w:rsid w:val="00FD5B84"/>
    <w:rsid w:val="00FE1F8E"/>
    <w:rsid w:val="00FF0261"/>
    <w:rsid w:val="00FF46E1"/>
    <w:rsid w:val="00FF6D7B"/>
    <w:rsid w:val="00FF7C53"/>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3891B"/>
  <w15:docId w15:val="{FC37345C-9C40-4EA3-9EB1-1CC96939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7A2F"/>
    <w:pPr>
      <w:jc w:val="both"/>
    </w:pPr>
    <w:rPr>
      <w:rFonts w:ascii="Arial" w:hAnsi="Arial" w:cs="Arial"/>
      <w:sz w:val="21"/>
      <w:szCs w:val="21"/>
      <w:lang w:val="fr-FR"/>
    </w:rPr>
  </w:style>
  <w:style w:type="paragraph" w:styleId="Titre1">
    <w:name w:val="heading 1"/>
    <w:basedOn w:val="Normal"/>
    <w:next w:val="Normal"/>
    <w:link w:val="Titre1Car"/>
    <w:autoRedefine/>
    <w:uiPriority w:val="9"/>
    <w:qFormat/>
    <w:rsid w:val="00F11225"/>
    <w:pPr>
      <w:keepNext/>
      <w:keepLines/>
      <w:numPr>
        <w:numId w:val="1"/>
      </w:numPr>
      <w:pBdr>
        <w:top w:val="nil"/>
        <w:left w:val="nil"/>
        <w:bottom w:val="nil"/>
        <w:right w:val="nil"/>
        <w:between w:val="nil"/>
        <w:bar w:val="nil"/>
      </w:pBdr>
      <w:spacing w:before="240"/>
      <w:outlineLvl w:val="0"/>
    </w:pPr>
    <w:rPr>
      <w:rFonts w:asciiTheme="majorHAnsi" w:eastAsiaTheme="majorEastAsia" w:hAnsiTheme="majorHAnsi" w:cstheme="majorBidi"/>
      <w:b/>
      <w:smallCaps/>
      <w:color w:val="2E74B5" w:themeColor="accent1" w:themeShade="BF"/>
      <w:sz w:val="36"/>
      <w:szCs w:val="36"/>
    </w:rPr>
  </w:style>
  <w:style w:type="paragraph" w:styleId="Titre2">
    <w:name w:val="heading 2"/>
    <w:basedOn w:val="Normal"/>
    <w:next w:val="Normal"/>
    <w:link w:val="Titre2Car"/>
    <w:uiPriority w:val="9"/>
    <w:unhideWhenUsed/>
    <w:qFormat/>
    <w:rsid w:val="00F11225"/>
    <w:pPr>
      <w:keepNext/>
      <w:keepLines/>
      <w:numPr>
        <w:ilvl w:val="1"/>
        <w:numId w:val="1"/>
      </w:numPr>
      <w:spacing w:before="40"/>
      <w:outlineLvl w:val="1"/>
    </w:pPr>
    <w:rPr>
      <w:rFonts w:asciiTheme="majorHAnsi" w:eastAsiaTheme="majorEastAsia" w:hAnsiTheme="majorHAnsi" w:cstheme="majorBidi"/>
      <w:b/>
      <w:color w:val="2E74B5" w:themeColor="accent1" w:themeShade="BF"/>
      <w:sz w:val="30"/>
      <w:szCs w:val="30"/>
    </w:rPr>
  </w:style>
  <w:style w:type="paragraph" w:styleId="Titre3">
    <w:name w:val="heading 3"/>
    <w:basedOn w:val="Normal"/>
    <w:next w:val="Normal"/>
    <w:link w:val="Titre3Car"/>
    <w:uiPriority w:val="9"/>
    <w:unhideWhenUsed/>
    <w:qFormat/>
    <w:rsid w:val="00714B69"/>
    <w:pPr>
      <w:keepNext/>
      <w:keepLines/>
      <w:numPr>
        <w:ilvl w:val="2"/>
        <w:numId w:val="1"/>
      </w:numPr>
      <w:spacing w:before="40"/>
      <w:outlineLvl w:val="2"/>
    </w:pPr>
    <w:rPr>
      <w:rFonts w:asciiTheme="majorHAnsi" w:eastAsiaTheme="majorEastAsia" w:hAnsiTheme="majorHAnsi" w:cstheme="majorBidi"/>
      <w:color w:val="1F4D78" w:themeColor="accent1" w:themeShade="7F"/>
      <w:sz w:val="26"/>
      <w:szCs w:val="26"/>
    </w:rPr>
  </w:style>
  <w:style w:type="paragraph" w:styleId="Titre4">
    <w:name w:val="heading 4"/>
    <w:basedOn w:val="Normal"/>
    <w:next w:val="Normal"/>
    <w:link w:val="Titre4Car"/>
    <w:uiPriority w:val="9"/>
    <w:semiHidden/>
    <w:unhideWhenUsed/>
    <w:qFormat/>
    <w:rsid w:val="00F1122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F1122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1122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F1122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F11225"/>
    <w:pPr>
      <w:keepNext/>
      <w:keepLines/>
      <w:numPr>
        <w:ilvl w:val="7"/>
        <w:numId w:val="1"/>
      </w:numPr>
      <w:spacing w:before="40"/>
      <w:outlineLvl w:val="7"/>
    </w:pPr>
    <w:rPr>
      <w:rFonts w:asciiTheme="majorHAnsi" w:eastAsiaTheme="majorEastAsia" w:hAnsiTheme="majorHAnsi" w:cstheme="majorBidi"/>
      <w:color w:val="272727" w:themeColor="text1" w:themeTint="D8"/>
    </w:rPr>
  </w:style>
  <w:style w:type="paragraph" w:styleId="Titre9">
    <w:name w:val="heading 9"/>
    <w:basedOn w:val="Normal"/>
    <w:next w:val="Normal"/>
    <w:link w:val="Titre9Car"/>
    <w:uiPriority w:val="9"/>
    <w:semiHidden/>
    <w:unhideWhenUsed/>
    <w:qFormat/>
    <w:rsid w:val="00F11225"/>
    <w:pPr>
      <w:keepNext/>
      <w:keepLines/>
      <w:numPr>
        <w:ilvl w:val="8"/>
        <w:numId w:val="1"/>
      </w:numPr>
      <w:spacing w:before="40"/>
      <w:outlineLvl w:val="8"/>
    </w:pPr>
    <w:rPr>
      <w:rFonts w:asciiTheme="majorHAnsi" w:eastAsiaTheme="majorEastAsia" w:hAnsiTheme="majorHAnsi"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11225"/>
    <w:rPr>
      <w:rFonts w:asciiTheme="majorHAnsi" w:eastAsiaTheme="majorEastAsia" w:hAnsiTheme="majorHAnsi" w:cstheme="majorBidi"/>
      <w:b/>
      <w:smallCaps/>
      <w:color w:val="2E74B5" w:themeColor="accent1" w:themeShade="BF"/>
      <w:sz w:val="36"/>
      <w:szCs w:val="36"/>
      <w:lang w:val="fr-FR"/>
    </w:rPr>
  </w:style>
  <w:style w:type="character" w:styleId="lev">
    <w:name w:val="Strong"/>
    <w:basedOn w:val="Policepardfaut"/>
    <w:uiPriority w:val="22"/>
    <w:qFormat/>
    <w:rsid w:val="007606B5"/>
    <w:rPr>
      <w:b/>
      <w:bCs/>
    </w:rPr>
  </w:style>
  <w:style w:type="paragraph" w:styleId="Sansinterligne">
    <w:name w:val="No Spacing"/>
    <w:uiPriority w:val="1"/>
    <w:qFormat/>
    <w:rsid w:val="007606B5"/>
  </w:style>
  <w:style w:type="paragraph" w:styleId="Titre">
    <w:name w:val="Title"/>
    <w:basedOn w:val="Normal"/>
    <w:next w:val="Normal"/>
    <w:link w:val="TitreCar"/>
    <w:uiPriority w:val="10"/>
    <w:qFormat/>
    <w:rsid w:val="007606B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606B5"/>
    <w:rPr>
      <w:rFonts w:asciiTheme="majorHAnsi" w:eastAsiaTheme="majorEastAsia" w:hAnsiTheme="majorHAnsi" w:cstheme="majorBidi"/>
      <w:spacing w:val="-10"/>
      <w:kern w:val="28"/>
      <w:sz w:val="56"/>
      <w:szCs w:val="56"/>
    </w:rPr>
  </w:style>
  <w:style w:type="paragraph" w:styleId="Explorateurdedocuments">
    <w:name w:val="Document Map"/>
    <w:basedOn w:val="Normal"/>
    <w:link w:val="ExplorateurdedocumentsCar"/>
    <w:uiPriority w:val="99"/>
    <w:semiHidden/>
    <w:unhideWhenUsed/>
    <w:rsid w:val="007606B5"/>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7606B5"/>
    <w:rPr>
      <w:rFonts w:ascii="Times New Roman" w:hAnsi="Times New Roman" w:cs="Times New Roman"/>
    </w:rPr>
  </w:style>
  <w:style w:type="paragraph" w:styleId="Pieddepage">
    <w:name w:val="footer"/>
    <w:basedOn w:val="Normal"/>
    <w:link w:val="PieddepageCar"/>
    <w:unhideWhenUsed/>
    <w:rsid w:val="00154DD3"/>
    <w:pPr>
      <w:tabs>
        <w:tab w:val="center" w:pos="4536"/>
        <w:tab w:val="right" w:pos="9072"/>
      </w:tabs>
    </w:pPr>
  </w:style>
  <w:style w:type="character" w:customStyle="1" w:styleId="PieddepageCar">
    <w:name w:val="Pied de page Car"/>
    <w:basedOn w:val="Policepardfaut"/>
    <w:link w:val="Pieddepage"/>
    <w:rsid w:val="00154DD3"/>
  </w:style>
  <w:style w:type="character" w:styleId="Numrodepage">
    <w:name w:val="page number"/>
    <w:basedOn w:val="Policepardfaut"/>
    <w:uiPriority w:val="99"/>
    <w:semiHidden/>
    <w:unhideWhenUsed/>
    <w:rsid w:val="00154DD3"/>
  </w:style>
  <w:style w:type="character" w:customStyle="1" w:styleId="Titre2Car">
    <w:name w:val="Titre 2 Car"/>
    <w:basedOn w:val="Policepardfaut"/>
    <w:link w:val="Titre2"/>
    <w:uiPriority w:val="9"/>
    <w:rsid w:val="00F11225"/>
    <w:rPr>
      <w:rFonts w:asciiTheme="majorHAnsi" w:eastAsiaTheme="majorEastAsia" w:hAnsiTheme="majorHAnsi" w:cstheme="majorBidi"/>
      <w:b/>
      <w:color w:val="2E74B5" w:themeColor="accent1" w:themeShade="BF"/>
      <w:sz w:val="30"/>
      <w:szCs w:val="30"/>
      <w:lang w:val="fr-FR"/>
    </w:rPr>
  </w:style>
  <w:style w:type="paragraph" w:styleId="Paragraphedeliste">
    <w:name w:val="List Paragraph"/>
    <w:aliases w:val="List Paragraph (numbered (a)),Lapis Bulleted List,Liste 1"/>
    <w:basedOn w:val="Normal"/>
    <w:link w:val="ParagraphedelisteCar"/>
    <w:qFormat/>
    <w:rsid w:val="004D3462"/>
    <w:pPr>
      <w:ind w:left="720"/>
      <w:contextualSpacing/>
    </w:pPr>
  </w:style>
  <w:style w:type="paragraph" w:styleId="PrformatHTML">
    <w:name w:val="HTML Preformatted"/>
    <w:basedOn w:val="Normal"/>
    <w:link w:val="PrformatHTMLCar"/>
    <w:uiPriority w:val="99"/>
    <w:unhideWhenUsed/>
    <w:rsid w:val="008F70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PrformatHTMLCar">
    <w:name w:val="Préformaté HTML Car"/>
    <w:basedOn w:val="Policepardfaut"/>
    <w:link w:val="PrformatHTML"/>
    <w:uiPriority w:val="99"/>
    <w:rsid w:val="008F70EA"/>
    <w:rPr>
      <w:rFonts w:ascii="Courier New" w:hAnsi="Courier New" w:cs="Courier New"/>
      <w:sz w:val="20"/>
      <w:szCs w:val="20"/>
    </w:rPr>
  </w:style>
  <w:style w:type="paragraph" w:styleId="En-tte">
    <w:name w:val="header"/>
    <w:basedOn w:val="Normal"/>
    <w:link w:val="En-tteCar"/>
    <w:uiPriority w:val="99"/>
    <w:unhideWhenUsed/>
    <w:rsid w:val="005470E6"/>
    <w:pPr>
      <w:tabs>
        <w:tab w:val="center" w:pos="4536"/>
        <w:tab w:val="right" w:pos="9072"/>
      </w:tabs>
    </w:pPr>
  </w:style>
  <w:style w:type="character" w:customStyle="1" w:styleId="En-tteCar">
    <w:name w:val="En-tête Car"/>
    <w:basedOn w:val="Policepardfaut"/>
    <w:link w:val="En-tte"/>
    <w:uiPriority w:val="99"/>
    <w:rsid w:val="005470E6"/>
    <w:rPr>
      <w:rFonts w:ascii="Arial" w:hAnsi="Arial" w:cs="Arial"/>
      <w:sz w:val="22"/>
      <w:szCs w:val="22"/>
      <w:lang w:val="fr-FR"/>
    </w:rPr>
  </w:style>
  <w:style w:type="table" w:styleId="Grilledutableau">
    <w:name w:val="Table Grid"/>
    <w:basedOn w:val="TableauNormal"/>
    <w:uiPriority w:val="39"/>
    <w:rsid w:val="00C56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F279AF"/>
    <w:pPr>
      <w:spacing w:before="100" w:beforeAutospacing="1" w:after="100" w:afterAutospacing="1"/>
    </w:pPr>
    <w:rPr>
      <w:rFonts w:ascii="Arial Unicode MS" w:eastAsia="Arial Unicode MS" w:hAnsi="Times New Roman" w:cs="Times New Roman"/>
      <w:sz w:val="24"/>
      <w:szCs w:val="24"/>
      <w:lang w:eastAsia="fr-FR"/>
    </w:rPr>
  </w:style>
  <w:style w:type="character" w:styleId="Marquedecommentaire">
    <w:name w:val="annotation reference"/>
    <w:basedOn w:val="Policepardfaut"/>
    <w:uiPriority w:val="99"/>
    <w:semiHidden/>
    <w:unhideWhenUsed/>
    <w:rsid w:val="000A151A"/>
    <w:rPr>
      <w:sz w:val="18"/>
      <w:szCs w:val="18"/>
    </w:rPr>
  </w:style>
  <w:style w:type="paragraph" w:styleId="Commentaire">
    <w:name w:val="annotation text"/>
    <w:basedOn w:val="Normal"/>
    <w:link w:val="CommentaireCar"/>
    <w:uiPriority w:val="99"/>
    <w:unhideWhenUsed/>
    <w:rsid w:val="000A151A"/>
    <w:rPr>
      <w:sz w:val="24"/>
      <w:szCs w:val="24"/>
    </w:rPr>
  </w:style>
  <w:style w:type="character" w:customStyle="1" w:styleId="CommentaireCar">
    <w:name w:val="Commentaire Car"/>
    <w:basedOn w:val="Policepardfaut"/>
    <w:link w:val="Commentaire"/>
    <w:uiPriority w:val="99"/>
    <w:rsid w:val="000A151A"/>
    <w:rPr>
      <w:rFonts w:ascii="Arial" w:hAnsi="Arial" w:cs="Arial"/>
      <w:lang w:val="fr-FR"/>
    </w:rPr>
  </w:style>
  <w:style w:type="paragraph" w:styleId="Objetducommentaire">
    <w:name w:val="annotation subject"/>
    <w:basedOn w:val="Commentaire"/>
    <w:next w:val="Commentaire"/>
    <w:link w:val="ObjetducommentaireCar"/>
    <w:uiPriority w:val="99"/>
    <w:semiHidden/>
    <w:unhideWhenUsed/>
    <w:rsid w:val="000A151A"/>
    <w:rPr>
      <w:b/>
      <w:bCs/>
      <w:sz w:val="20"/>
      <w:szCs w:val="20"/>
    </w:rPr>
  </w:style>
  <w:style w:type="character" w:customStyle="1" w:styleId="ObjetducommentaireCar">
    <w:name w:val="Objet du commentaire Car"/>
    <w:basedOn w:val="CommentaireCar"/>
    <w:link w:val="Objetducommentaire"/>
    <w:uiPriority w:val="99"/>
    <w:semiHidden/>
    <w:rsid w:val="000A151A"/>
    <w:rPr>
      <w:rFonts w:ascii="Arial" w:hAnsi="Arial" w:cs="Arial"/>
      <w:b/>
      <w:bCs/>
      <w:sz w:val="20"/>
      <w:szCs w:val="20"/>
      <w:lang w:val="fr-FR"/>
    </w:rPr>
  </w:style>
  <w:style w:type="paragraph" w:styleId="Textedebulles">
    <w:name w:val="Balloon Text"/>
    <w:basedOn w:val="Normal"/>
    <w:link w:val="TextedebullesCar"/>
    <w:uiPriority w:val="99"/>
    <w:semiHidden/>
    <w:unhideWhenUsed/>
    <w:rsid w:val="000A151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A151A"/>
    <w:rPr>
      <w:rFonts w:ascii="Times New Roman" w:hAnsi="Times New Roman" w:cs="Times New Roman"/>
      <w:sz w:val="18"/>
      <w:szCs w:val="18"/>
      <w:lang w:val="fr-FR"/>
    </w:rPr>
  </w:style>
  <w:style w:type="paragraph" w:styleId="Rvision">
    <w:name w:val="Revision"/>
    <w:hidden/>
    <w:uiPriority w:val="99"/>
    <w:semiHidden/>
    <w:rsid w:val="00DA07AE"/>
    <w:rPr>
      <w:rFonts w:ascii="Arial" w:hAnsi="Arial" w:cs="Arial"/>
      <w:sz w:val="22"/>
      <w:szCs w:val="22"/>
      <w:lang w:val="fr-FR"/>
    </w:rPr>
  </w:style>
  <w:style w:type="paragraph" w:styleId="Notedebasdepage">
    <w:name w:val="footnote text"/>
    <w:basedOn w:val="Normal"/>
    <w:link w:val="NotedebasdepageCar"/>
    <w:uiPriority w:val="99"/>
    <w:unhideWhenUsed/>
    <w:rsid w:val="003C70E2"/>
    <w:rPr>
      <w:sz w:val="24"/>
      <w:szCs w:val="24"/>
    </w:rPr>
  </w:style>
  <w:style w:type="character" w:customStyle="1" w:styleId="NotedebasdepageCar">
    <w:name w:val="Note de bas de page Car"/>
    <w:basedOn w:val="Policepardfaut"/>
    <w:link w:val="Notedebasdepage"/>
    <w:uiPriority w:val="99"/>
    <w:rsid w:val="003C70E2"/>
    <w:rPr>
      <w:rFonts w:ascii="Arial" w:hAnsi="Arial" w:cs="Arial"/>
      <w:lang w:val="fr-FR"/>
    </w:rPr>
  </w:style>
  <w:style w:type="character" w:styleId="Appelnotedebasdep">
    <w:name w:val="footnote reference"/>
    <w:basedOn w:val="Policepardfaut"/>
    <w:uiPriority w:val="99"/>
    <w:unhideWhenUsed/>
    <w:rsid w:val="003C70E2"/>
    <w:rPr>
      <w:vertAlign w:val="superscript"/>
    </w:rPr>
  </w:style>
  <w:style w:type="character" w:customStyle="1" w:styleId="uppercase">
    <w:name w:val="uppercase"/>
    <w:basedOn w:val="Policepardfaut"/>
    <w:rsid w:val="00C04BF6"/>
  </w:style>
  <w:style w:type="character" w:customStyle="1" w:styleId="ParagraphedelisteCar">
    <w:name w:val="Paragraphe de liste Car"/>
    <w:aliases w:val="List Paragraph (numbered (a)) Car,Lapis Bulleted List Car,Liste 1 Car"/>
    <w:link w:val="Paragraphedeliste"/>
    <w:uiPriority w:val="34"/>
    <w:locked/>
    <w:rsid w:val="00910984"/>
    <w:rPr>
      <w:rFonts w:ascii="Arial" w:hAnsi="Arial" w:cs="Arial"/>
      <w:sz w:val="22"/>
      <w:szCs w:val="22"/>
      <w:lang w:val="fr-FR"/>
    </w:rPr>
  </w:style>
  <w:style w:type="paragraph" w:customStyle="1" w:styleId="ColorfulList-Accent11">
    <w:name w:val="Colorful List - Accent 11"/>
    <w:basedOn w:val="Normal"/>
    <w:uiPriority w:val="34"/>
    <w:qFormat/>
    <w:rsid w:val="00910984"/>
    <w:pPr>
      <w:widowControl w:val="0"/>
      <w:suppressAutoHyphens/>
      <w:autoSpaceDN w:val="0"/>
      <w:spacing w:after="200" w:line="276" w:lineRule="auto"/>
      <w:ind w:left="720"/>
      <w:contextualSpacing/>
      <w:textAlignment w:val="baseline"/>
    </w:pPr>
    <w:rPr>
      <w:rFonts w:ascii="Calibri" w:eastAsia="Arial Unicode MS" w:hAnsi="Calibri" w:cs="F"/>
      <w:kern w:val="3"/>
      <w:lang w:eastAsia="fr-FR"/>
    </w:rPr>
  </w:style>
  <w:style w:type="character" w:styleId="Lienhypertexte">
    <w:name w:val="Hyperlink"/>
    <w:basedOn w:val="Policepardfaut"/>
    <w:uiPriority w:val="99"/>
    <w:unhideWhenUsed/>
    <w:rsid w:val="0085061D"/>
    <w:rPr>
      <w:color w:val="0563C1" w:themeColor="hyperlink"/>
      <w:u w:val="single"/>
    </w:rPr>
  </w:style>
  <w:style w:type="character" w:styleId="Mentionnonrsolue">
    <w:name w:val="Unresolved Mention"/>
    <w:basedOn w:val="Policepardfaut"/>
    <w:uiPriority w:val="99"/>
    <w:rsid w:val="0085061D"/>
    <w:rPr>
      <w:color w:val="605E5C"/>
      <w:shd w:val="clear" w:color="auto" w:fill="E1DFDD"/>
    </w:rPr>
  </w:style>
  <w:style w:type="paragraph" w:styleId="TM1">
    <w:name w:val="toc 1"/>
    <w:basedOn w:val="Normal"/>
    <w:next w:val="Normal"/>
    <w:autoRedefine/>
    <w:uiPriority w:val="39"/>
    <w:unhideWhenUsed/>
    <w:rsid w:val="00FF46E1"/>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FF46E1"/>
    <w:rPr>
      <w:rFonts w:asciiTheme="minorHAnsi" w:hAnsiTheme="minorHAnsi" w:cstheme="minorHAnsi"/>
      <w:b/>
      <w:bCs/>
      <w:smallCaps/>
    </w:rPr>
  </w:style>
  <w:style w:type="paragraph" w:styleId="TM3">
    <w:name w:val="toc 3"/>
    <w:basedOn w:val="Normal"/>
    <w:next w:val="Normal"/>
    <w:autoRedefine/>
    <w:uiPriority w:val="39"/>
    <w:unhideWhenUsed/>
    <w:rsid w:val="00FF46E1"/>
    <w:rPr>
      <w:rFonts w:asciiTheme="minorHAnsi" w:hAnsiTheme="minorHAnsi" w:cstheme="minorHAnsi"/>
      <w:smallCaps/>
    </w:rPr>
  </w:style>
  <w:style w:type="paragraph" w:styleId="TM4">
    <w:name w:val="toc 4"/>
    <w:basedOn w:val="Normal"/>
    <w:next w:val="Normal"/>
    <w:autoRedefine/>
    <w:uiPriority w:val="39"/>
    <w:unhideWhenUsed/>
    <w:rsid w:val="00FF46E1"/>
    <w:rPr>
      <w:rFonts w:asciiTheme="minorHAnsi" w:hAnsiTheme="minorHAnsi" w:cstheme="minorHAnsi"/>
    </w:rPr>
  </w:style>
  <w:style w:type="paragraph" w:styleId="TM5">
    <w:name w:val="toc 5"/>
    <w:basedOn w:val="Normal"/>
    <w:next w:val="Normal"/>
    <w:autoRedefine/>
    <w:uiPriority w:val="39"/>
    <w:unhideWhenUsed/>
    <w:rsid w:val="00FF46E1"/>
    <w:rPr>
      <w:rFonts w:asciiTheme="minorHAnsi" w:hAnsiTheme="minorHAnsi" w:cstheme="minorHAnsi"/>
    </w:rPr>
  </w:style>
  <w:style w:type="paragraph" w:styleId="TM6">
    <w:name w:val="toc 6"/>
    <w:basedOn w:val="Normal"/>
    <w:next w:val="Normal"/>
    <w:autoRedefine/>
    <w:uiPriority w:val="39"/>
    <w:unhideWhenUsed/>
    <w:rsid w:val="00FF46E1"/>
    <w:rPr>
      <w:rFonts w:asciiTheme="minorHAnsi" w:hAnsiTheme="minorHAnsi" w:cstheme="minorHAnsi"/>
    </w:rPr>
  </w:style>
  <w:style w:type="paragraph" w:styleId="TM7">
    <w:name w:val="toc 7"/>
    <w:basedOn w:val="Normal"/>
    <w:next w:val="Normal"/>
    <w:autoRedefine/>
    <w:uiPriority w:val="39"/>
    <w:unhideWhenUsed/>
    <w:rsid w:val="00FF46E1"/>
    <w:rPr>
      <w:rFonts w:asciiTheme="minorHAnsi" w:hAnsiTheme="minorHAnsi" w:cstheme="minorHAnsi"/>
    </w:rPr>
  </w:style>
  <w:style w:type="paragraph" w:styleId="TM8">
    <w:name w:val="toc 8"/>
    <w:basedOn w:val="Normal"/>
    <w:next w:val="Normal"/>
    <w:autoRedefine/>
    <w:uiPriority w:val="39"/>
    <w:unhideWhenUsed/>
    <w:rsid w:val="00FF46E1"/>
    <w:rPr>
      <w:rFonts w:asciiTheme="minorHAnsi" w:hAnsiTheme="minorHAnsi" w:cstheme="minorHAnsi"/>
    </w:rPr>
  </w:style>
  <w:style w:type="paragraph" w:styleId="TM9">
    <w:name w:val="toc 9"/>
    <w:basedOn w:val="Normal"/>
    <w:next w:val="Normal"/>
    <w:autoRedefine/>
    <w:uiPriority w:val="39"/>
    <w:unhideWhenUsed/>
    <w:rsid w:val="00FF46E1"/>
    <w:rPr>
      <w:rFonts w:asciiTheme="minorHAnsi" w:hAnsiTheme="minorHAnsi" w:cstheme="minorHAnsi"/>
    </w:rPr>
  </w:style>
  <w:style w:type="character" w:customStyle="1" w:styleId="Titre3Car">
    <w:name w:val="Titre 3 Car"/>
    <w:basedOn w:val="Policepardfaut"/>
    <w:link w:val="Titre3"/>
    <w:uiPriority w:val="9"/>
    <w:rsid w:val="00714B69"/>
    <w:rPr>
      <w:rFonts w:asciiTheme="majorHAnsi" w:eastAsiaTheme="majorEastAsia" w:hAnsiTheme="majorHAnsi" w:cstheme="majorBidi"/>
      <w:color w:val="1F4D78" w:themeColor="accent1" w:themeShade="7F"/>
      <w:sz w:val="26"/>
      <w:szCs w:val="26"/>
      <w:lang w:val="fr-FR"/>
    </w:rPr>
  </w:style>
  <w:style w:type="character" w:customStyle="1" w:styleId="Titre4Car">
    <w:name w:val="Titre 4 Car"/>
    <w:basedOn w:val="Policepardfaut"/>
    <w:link w:val="Titre4"/>
    <w:uiPriority w:val="9"/>
    <w:semiHidden/>
    <w:rsid w:val="00F11225"/>
    <w:rPr>
      <w:rFonts w:asciiTheme="majorHAnsi" w:eastAsiaTheme="majorEastAsia" w:hAnsiTheme="majorHAnsi" w:cstheme="majorBidi"/>
      <w:i/>
      <w:iCs/>
      <w:color w:val="2E74B5" w:themeColor="accent1" w:themeShade="BF"/>
      <w:sz w:val="21"/>
      <w:szCs w:val="21"/>
      <w:lang w:val="fr-FR"/>
    </w:rPr>
  </w:style>
  <w:style w:type="character" w:customStyle="1" w:styleId="Titre5Car">
    <w:name w:val="Titre 5 Car"/>
    <w:basedOn w:val="Policepardfaut"/>
    <w:link w:val="Titre5"/>
    <w:uiPriority w:val="9"/>
    <w:semiHidden/>
    <w:rsid w:val="00F11225"/>
    <w:rPr>
      <w:rFonts w:asciiTheme="majorHAnsi" w:eastAsiaTheme="majorEastAsia" w:hAnsiTheme="majorHAnsi" w:cstheme="majorBidi"/>
      <w:color w:val="2E74B5" w:themeColor="accent1" w:themeShade="BF"/>
      <w:sz w:val="21"/>
      <w:szCs w:val="21"/>
      <w:lang w:val="fr-FR"/>
    </w:rPr>
  </w:style>
  <w:style w:type="character" w:customStyle="1" w:styleId="Titre6Car">
    <w:name w:val="Titre 6 Car"/>
    <w:basedOn w:val="Policepardfaut"/>
    <w:link w:val="Titre6"/>
    <w:uiPriority w:val="9"/>
    <w:semiHidden/>
    <w:rsid w:val="00F11225"/>
    <w:rPr>
      <w:rFonts w:asciiTheme="majorHAnsi" w:eastAsiaTheme="majorEastAsia" w:hAnsiTheme="majorHAnsi" w:cstheme="majorBidi"/>
      <w:color w:val="1F4D78" w:themeColor="accent1" w:themeShade="7F"/>
      <w:sz w:val="21"/>
      <w:szCs w:val="21"/>
      <w:lang w:val="fr-FR"/>
    </w:rPr>
  </w:style>
  <w:style w:type="character" w:customStyle="1" w:styleId="Titre7Car">
    <w:name w:val="Titre 7 Car"/>
    <w:basedOn w:val="Policepardfaut"/>
    <w:link w:val="Titre7"/>
    <w:uiPriority w:val="9"/>
    <w:semiHidden/>
    <w:rsid w:val="00F11225"/>
    <w:rPr>
      <w:rFonts w:asciiTheme="majorHAnsi" w:eastAsiaTheme="majorEastAsia" w:hAnsiTheme="majorHAnsi" w:cstheme="majorBidi"/>
      <w:i/>
      <w:iCs/>
      <w:color w:val="1F4D78" w:themeColor="accent1" w:themeShade="7F"/>
      <w:sz w:val="21"/>
      <w:szCs w:val="21"/>
      <w:lang w:val="fr-FR"/>
    </w:rPr>
  </w:style>
  <w:style w:type="character" w:customStyle="1" w:styleId="Titre8Car">
    <w:name w:val="Titre 8 Car"/>
    <w:basedOn w:val="Policepardfaut"/>
    <w:link w:val="Titre8"/>
    <w:uiPriority w:val="9"/>
    <w:semiHidden/>
    <w:rsid w:val="00F11225"/>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F11225"/>
    <w:rPr>
      <w:rFonts w:asciiTheme="majorHAnsi" w:eastAsiaTheme="majorEastAsia" w:hAnsiTheme="majorHAnsi" w:cstheme="majorBidi"/>
      <w:i/>
      <w:iCs/>
      <w:color w:val="272727" w:themeColor="text1" w:themeTint="D8"/>
      <w:sz w:val="21"/>
      <w:szCs w:val="21"/>
      <w:lang w:val="fr-FR"/>
    </w:rPr>
  </w:style>
  <w:style w:type="paragraph" w:styleId="NormalWeb">
    <w:name w:val="Normal (Web)"/>
    <w:basedOn w:val="Normal"/>
    <w:uiPriority w:val="99"/>
    <w:unhideWhenUsed/>
    <w:rsid w:val="00237304"/>
    <w:pPr>
      <w:spacing w:before="100" w:beforeAutospacing="1" w:after="100" w:afterAutospacing="1"/>
      <w:jc w:val="left"/>
    </w:pPr>
    <w:rPr>
      <w:rFonts w:ascii="Times New Roman" w:eastAsiaTheme="minorEastAsia" w:hAnsi="Times New Roman" w:cs="Times New Roman"/>
      <w:sz w:val="24"/>
      <w:szCs w:val="24"/>
      <w:lang w:eastAsia="fr-FR"/>
    </w:rPr>
  </w:style>
  <w:style w:type="paragraph" w:customStyle="1" w:styleId="Default">
    <w:name w:val="Default"/>
    <w:rsid w:val="007000BC"/>
    <w:pPr>
      <w:autoSpaceDE w:val="0"/>
      <w:autoSpaceDN w:val="0"/>
      <w:adjustRightInd w:val="0"/>
    </w:pPr>
    <w:rPr>
      <w:rFonts w:ascii="Arial" w:hAnsi="Arial" w:cs="Arial"/>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20254">
      <w:bodyDiv w:val="1"/>
      <w:marLeft w:val="0"/>
      <w:marRight w:val="0"/>
      <w:marTop w:val="0"/>
      <w:marBottom w:val="0"/>
      <w:divBdr>
        <w:top w:val="none" w:sz="0" w:space="0" w:color="auto"/>
        <w:left w:val="none" w:sz="0" w:space="0" w:color="auto"/>
        <w:bottom w:val="none" w:sz="0" w:space="0" w:color="auto"/>
        <w:right w:val="none" w:sz="0" w:space="0" w:color="auto"/>
      </w:divBdr>
      <w:divsChild>
        <w:div w:id="875848473">
          <w:marLeft w:val="432"/>
          <w:marRight w:val="0"/>
          <w:marTop w:val="360"/>
          <w:marBottom w:val="0"/>
          <w:divBdr>
            <w:top w:val="none" w:sz="0" w:space="0" w:color="auto"/>
            <w:left w:val="none" w:sz="0" w:space="0" w:color="auto"/>
            <w:bottom w:val="none" w:sz="0" w:space="0" w:color="auto"/>
            <w:right w:val="none" w:sz="0" w:space="0" w:color="auto"/>
          </w:divBdr>
        </w:div>
        <w:div w:id="1801806658">
          <w:marLeft w:val="432"/>
          <w:marRight w:val="0"/>
          <w:marTop w:val="360"/>
          <w:marBottom w:val="0"/>
          <w:divBdr>
            <w:top w:val="none" w:sz="0" w:space="0" w:color="auto"/>
            <w:left w:val="none" w:sz="0" w:space="0" w:color="auto"/>
            <w:bottom w:val="none" w:sz="0" w:space="0" w:color="auto"/>
            <w:right w:val="none" w:sz="0" w:space="0" w:color="auto"/>
          </w:divBdr>
        </w:div>
        <w:div w:id="1944339365">
          <w:marLeft w:val="432"/>
          <w:marRight w:val="0"/>
          <w:marTop w:val="360"/>
          <w:marBottom w:val="0"/>
          <w:divBdr>
            <w:top w:val="none" w:sz="0" w:space="0" w:color="auto"/>
            <w:left w:val="none" w:sz="0" w:space="0" w:color="auto"/>
            <w:bottom w:val="none" w:sz="0" w:space="0" w:color="auto"/>
            <w:right w:val="none" w:sz="0" w:space="0" w:color="auto"/>
          </w:divBdr>
        </w:div>
      </w:divsChild>
    </w:div>
    <w:div w:id="67117054">
      <w:bodyDiv w:val="1"/>
      <w:marLeft w:val="0"/>
      <w:marRight w:val="0"/>
      <w:marTop w:val="0"/>
      <w:marBottom w:val="0"/>
      <w:divBdr>
        <w:top w:val="none" w:sz="0" w:space="0" w:color="auto"/>
        <w:left w:val="none" w:sz="0" w:space="0" w:color="auto"/>
        <w:bottom w:val="none" w:sz="0" w:space="0" w:color="auto"/>
        <w:right w:val="none" w:sz="0" w:space="0" w:color="auto"/>
      </w:divBdr>
    </w:div>
    <w:div w:id="102766321">
      <w:bodyDiv w:val="1"/>
      <w:marLeft w:val="0"/>
      <w:marRight w:val="0"/>
      <w:marTop w:val="0"/>
      <w:marBottom w:val="0"/>
      <w:divBdr>
        <w:top w:val="none" w:sz="0" w:space="0" w:color="auto"/>
        <w:left w:val="none" w:sz="0" w:space="0" w:color="auto"/>
        <w:bottom w:val="none" w:sz="0" w:space="0" w:color="auto"/>
        <w:right w:val="none" w:sz="0" w:space="0" w:color="auto"/>
      </w:divBdr>
      <w:divsChild>
        <w:div w:id="501043575">
          <w:marLeft w:val="432"/>
          <w:marRight w:val="0"/>
          <w:marTop w:val="360"/>
          <w:marBottom w:val="0"/>
          <w:divBdr>
            <w:top w:val="none" w:sz="0" w:space="0" w:color="auto"/>
            <w:left w:val="none" w:sz="0" w:space="0" w:color="auto"/>
            <w:bottom w:val="none" w:sz="0" w:space="0" w:color="auto"/>
            <w:right w:val="none" w:sz="0" w:space="0" w:color="auto"/>
          </w:divBdr>
        </w:div>
        <w:div w:id="519776133">
          <w:marLeft w:val="432"/>
          <w:marRight w:val="0"/>
          <w:marTop w:val="360"/>
          <w:marBottom w:val="0"/>
          <w:divBdr>
            <w:top w:val="none" w:sz="0" w:space="0" w:color="auto"/>
            <w:left w:val="none" w:sz="0" w:space="0" w:color="auto"/>
            <w:bottom w:val="none" w:sz="0" w:space="0" w:color="auto"/>
            <w:right w:val="none" w:sz="0" w:space="0" w:color="auto"/>
          </w:divBdr>
        </w:div>
        <w:div w:id="585961053">
          <w:marLeft w:val="432"/>
          <w:marRight w:val="0"/>
          <w:marTop w:val="360"/>
          <w:marBottom w:val="0"/>
          <w:divBdr>
            <w:top w:val="none" w:sz="0" w:space="0" w:color="auto"/>
            <w:left w:val="none" w:sz="0" w:space="0" w:color="auto"/>
            <w:bottom w:val="none" w:sz="0" w:space="0" w:color="auto"/>
            <w:right w:val="none" w:sz="0" w:space="0" w:color="auto"/>
          </w:divBdr>
        </w:div>
        <w:div w:id="807164881">
          <w:marLeft w:val="432"/>
          <w:marRight w:val="0"/>
          <w:marTop w:val="360"/>
          <w:marBottom w:val="0"/>
          <w:divBdr>
            <w:top w:val="none" w:sz="0" w:space="0" w:color="auto"/>
            <w:left w:val="none" w:sz="0" w:space="0" w:color="auto"/>
            <w:bottom w:val="none" w:sz="0" w:space="0" w:color="auto"/>
            <w:right w:val="none" w:sz="0" w:space="0" w:color="auto"/>
          </w:divBdr>
        </w:div>
        <w:div w:id="1097870274">
          <w:marLeft w:val="432"/>
          <w:marRight w:val="0"/>
          <w:marTop w:val="360"/>
          <w:marBottom w:val="0"/>
          <w:divBdr>
            <w:top w:val="none" w:sz="0" w:space="0" w:color="auto"/>
            <w:left w:val="none" w:sz="0" w:space="0" w:color="auto"/>
            <w:bottom w:val="none" w:sz="0" w:space="0" w:color="auto"/>
            <w:right w:val="none" w:sz="0" w:space="0" w:color="auto"/>
          </w:divBdr>
        </w:div>
        <w:div w:id="1368488691">
          <w:marLeft w:val="432"/>
          <w:marRight w:val="0"/>
          <w:marTop w:val="360"/>
          <w:marBottom w:val="0"/>
          <w:divBdr>
            <w:top w:val="none" w:sz="0" w:space="0" w:color="auto"/>
            <w:left w:val="none" w:sz="0" w:space="0" w:color="auto"/>
            <w:bottom w:val="none" w:sz="0" w:space="0" w:color="auto"/>
            <w:right w:val="none" w:sz="0" w:space="0" w:color="auto"/>
          </w:divBdr>
        </w:div>
        <w:div w:id="1909223084">
          <w:marLeft w:val="432"/>
          <w:marRight w:val="0"/>
          <w:marTop w:val="360"/>
          <w:marBottom w:val="0"/>
          <w:divBdr>
            <w:top w:val="none" w:sz="0" w:space="0" w:color="auto"/>
            <w:left w:val="none" w:sz="0" w:space="0" w:color="auto"/>
            <w:bottom w:val="none" w:sz="0" w:space="0" w:color="auto"/>
            <w:right w:val="none" w:sz="0" w:space="0" w:color="auto"/>
          </w:divBdr>
        </w:div>
      </w:divsChild>
    </w:div>
    <w:div w:id="168714205">
      <w:bodyDiv w:val="1"/>
      <w:marLeft w:val="0"/>
      <w:marRight w:val="0"/>
      <w:marTop w:val="0"/>
      <w:marBottom w:val="0"/>
      <w:divBdr>
        <w:top w:val="none" w:sz="0" w:space="0" w:color="auto"/>
        <w:left w:val="none" w:sz="0" w:space="0" w:color="auto"/>
        <w:bottom w:val="none" w:sz="0" w:space="0" w:color="auto"/>
        <w:right w:val="none" w:sz="0" w:space="0" w:color="auto"/>
      </w:divBdr>
    </w:div>
    <w:div w:id="253756496">
      <w:bodyDiv w:val="1"/>
      <w:marLeft w:val="0"/>
      <w:marRight w:val="0"/>
      <w:marTop w:val="0"/>
      <w:marBottom w:val="0"/>
      <w:divBdr>
        <w:top w:val="none" w:sz="0" w:space="0" w:color="auto"/>
        <w:left w:val="none" w:sz="0" w:space="0" w:color="auto"/>
        <w:bottom w:val="none" w:sz="0" w:space="0" w:color="auto"/>
        <w:right w:val="none" w:sz="0" w:space="0" w:color="auto"/>
      </w:divBdr>
    </w:div>
    <w:div w:id="296910368">
      <w:bodyDiv w:val="1"/>
      <w:marLeft w:val="0"/>
      <w:marRight w:val="0"/>
      <w:marTop w:val="0"/>
      <w:marBottom w:val="0"/>
      <w:divBdr>
        <w:top w:val="none" w:sz="0" w:space="0" w:color="auto"/>
        <w:left w:val="none" w:sz="0" w:space="0" w:color="auto"/>
        <w:bottom w:val="none" w:sz="0" w:space="0" w:color="auto"/>
        <w:right w:val="none" w:sz="0" w:space="0" w:color="auto"/>
      </w:divBdr>
    </w:div>
    <w:div w:id="533928075">
      <w:bodyDiv w:val="1"/>
      <w:marLeft w:val="0"/>
      <w:marRight w:val="0"/>
      <w:marTop w:val="0"/>
      <w:marBottom w:val="0"/>
      <w:divBdr>
        <w:top w:val="none" w:sz="0" w:space="0" w:color="auto"/>
        <w:left w:val="none" w:sz="0" w:space="0" w:color="auto"/>
        <w:bottom w:val="none" w:sz="0" w:space="0" w:color="auto"/>
        <w:right w:val="none" w:sz="0" w:space="0" w:color="auto"/>
      </w:divBdr>
      <w:divsChild>
        <w:div w:id="184902299">
          <w:marLeft w:val="432"/>
          <w:marRight w:val="0"/>
          <w:marTop w:val="360"/>
          <w:marBottom w:val="0"/>
          <w:divBdr>
            <w:top w:val="none" w:sz="0" w:space="0" w:color="auto"/>
            <w:left w:val="none" w:sz="0" w:space="0" w:color="auto"/>
            <w:bottom w:val="none" w:sz="0" w:space="0" w:color="auto"/>
            <w:right w:val="none" w:sz="0" w:space="0" w:color="auto"/>
          </w:divBdr>
        </w:div>
        <w:div w:id="237599542">
          <w:marLeft w:val="432"/>
          <w:marRight w:val="0"/>
          <w:marTop w:val="360"/>
          <w:marBottom w:val="0"/>
          <w:divBdr>
            <w:top w:val="none" w:sz="0" w:space="0" w:color="auto"/>
            <w:left w:val="none" w:sz="0" w:space="0" w:color="auto"/>
            <w:bottom w:val="none" w:sz="0" w:space="0" w:color="auto"/>
            <w:right w:val="none" w:sz="0" w:space="0" w:color="auto"/>
          </w:divBdr>
        </w:div>
        <w:div w:id="371341989">
          <w:marLeft w:val="432"/>
          <w:marRight w:val="0"/>
          <w:marTop w:val="360"/>
          <w:marBottom w:val="0"/>
          <w:divBdr>
            <w:top w:val="none" w:sz="0" w:space="0" w:color="auto"/>
            <w:left w:val="none" w:sz="0" w:space="0" w:color="auto"/>
            <w:bottom w:val="none" w:sz="0" w:space="0" w:color="auto"/>
            <w:right w:val="none" w:sz="0" w:space="0" w:color="auto"/>
          </w:divBdr>
        </w:div>
        <w:div w:id="1077747705">
          <w:marLeft w:val="432"/>
          <w:marRight w:val="0"/>
          <w:marTop w:val="360"/>
          <w:marBottom w:val="0"/>
          <w:divBdr>
            <w:top w:val="none" w:sz="0" w:space="0" w:color="auto"/>
            <w:left w:val="none" w:sz="0" w:space="0" w:color="auto"/>
            <w:bottom w:val="none" w:sz="0" w:space="0" w:color="auto"/>
            <w:right w:val="none" w:sz="0" w:space="0" w:color="auto"/>
          </w:divBdr>
        </w:div>
        <w:div w:id="1133258020">
          <w:marLeft w:val="432"/>
          <w:marRight w:val="0"/>
          <w:marTop w:val="360"/>
          <w:marBottom w:val="0"/>
          <w:divBdr>
            <w:top w:val="none" w:sz="0" w:space="0" w:color="auto"/>
            <w:left w:val="none" w:sz="0" w:space="0" w:color="auto"/>
            <w:bottom w:val="none" w:sz="0" w:space="0" w:color="auto"/>
            <w:right w:val="none" w:sz="0" w:space="0" w:color="auto"/>
          </w:divBdr>
        </w:div>
        <w:div w:id="1627736232">
          <w:marLeft w:val="432"/>
          <w:marRight w:val="0"/>
          <w:marTop w:val="360"/>
          <w:marBottom w:val="0"/>
          <w:divBdr>
            <w:top w:val="none" w:sz="0" w:space="0" w:color="auto"/>
            <w:left w:val="none" w:sz="0" w:space="0" w:color="auto"/>
            <w:bottom w:val="none" w:sz="0" w:space="0" w:color="auto"/>
            <w:right w:val="none" w:sz="0" w:space="0" w:color="auto"/>
          </w:divBdr>
        </w:div>
        <w:div w:id="1673485970">
          <w:marLeft w:val="432"/>
          <w:marRight w:val="0"/>
          <w:marTop w:val="360"/>
          <w:marBottom w:val="0"/>
          <w:divBdr>
            <w:top w:val="none" w:sz="0" w:space="0" w:color="auto"/>
            <w:left w:val="none" w:sz="0" w:space="0" w:color="auto"/>
            <w:bottom w:val="none" w:sz="0" w:space="0" w:color="auto"/>
            <w:right w:val="none" w:sz="0" w:space="0" w:color="auto"/>
          </w:divBdr>
        </w:div>
        <w:div w:id="2048487075">
          <w:marLeft w:val="432"/>
          <w:marRight w:val="0"/>
          <w:marTop w:val="360"/>
          <w:marBottom w:val="0"/>
          <w:divBdr>
            <w:top w:val="none" w:sz="0" w:space="0" w:color="auto"/>
            <w:left w:val="none" w:sz="0" w:space="0" w:color="auto"/>
            <w:bottom w:val="none" w:sz="0" w:space="0" w:color="auto"/>
            <w:right w:val="none" w:sz="0" w:space="0" w:color="auto"/>
          </w:divBdr>
        </w:div>
      </w:divsChild>
    </w:div>
    <w:div w:id="597181150">
      <w:bodyDiv w:val="1"/>
      <w:marLeft w:val="0"/>
      <w:marRight w:val="0"/>
      <w:marTop w:val="0"/>
      <w:marBottom w:val="0"/>
      <w:divBdr>
        <w:top w:val="none" w:sz="0" w:space="0" w:color="auto"/>
        <w:left w:val="none" w:sz="0" w:space="0" w:color="auto"/>
        <w:bottom w:val="none" w:sz="0" w:space="0" w:color="auto"/>
        <w:right w:val="none" w:sz="0" w:space="0" w:color="auto"/>
      </w:divBdr>
      <w:divsChild>
        <w:div w:id="1413165397">
          <w:marLeft w:val="0"/>
          <w:marRight w:val="0"/>
          <w:marTop w:val="0"/>
          <w:marBottom w:val="0"/>
          <w:divBdr>
            <w:top w:val="none" w:sz="0" w:space="0" w:color="auto"/>
            <w:left w:val="none" w:sz="0" w:space="0" w:color="auto"/>
            <w:bottom w:val="none" w:sz="0" w:space="0" w:color="auto"/>
            <w:right w:val="none" w:sz="0" w:space="0" w:color="auto"/>
          </w:divBdr>
        </w:div>
        <w:div w:id="531652289">
          <w:marLeft w:val="0"/>
          <w:marRight w:val="0"/>
          <w:marTop w:val="0"/>
          <w:marBottom w:val="0"/>
          <w:divBdr>
            <w:top w:val="none" w:sz="0" w:space="0" w:color="auto"/>
            <w:left w:val="none" w:sz="0" w:space="0" w:color="auto"/>
            <w:bottom w:val="none" w:sz="0" w:space="0" w:color="auto"/>
            <w:right w:val="none" w:sz="0" w:space="0" w:color="auto"/>
          </w:divBdr>
        </w:div>
        <w:div w:id="1191719645">
          <w:marLeft w:val="0"/>
          <w:marRight w:val="0"/>
          <w:marTop w:val="0"/>
          <w:marBottom w:val="0"/>
          <w:divBdr>
            <w:top w:val="none" w:sz="0" w:space="0" w:color="auto"/>
            <w:left w:val="none" w:sz="0" w:space="0" w:color="auto"/>
            <w:bottom w:val="none" w:sz="0" w:space="0" w:color="auto"/>
            <w:right w:val="none" w:sz="0" w:space="0" w:color="auto"/>
          </w:divBdr>
        </w:div>
        <w:div w:id="1606233609">
          <w:marLeft w:val="0"/>
          <w:marRight w:val="0"/>
          <w:marTop w:val="0"/>
          <w:marBottom w:val="0"/>
          <w:divBdr>
            <w:top w:val="none" w:sz="0" w:space="0" w:color="auto"/>
            <w:left w:val="none" w:sz="0" w:space="0" w:color="auto"/>
            <w:bottom w:val="none" w:sz="0" w:space="0" w:color="auto"/>
            <w:right w:val="none" w:sz="0" w:space="0" w:color="auto"/>
          </w:divBdr>
        </w:div>
        <w:div w:id="867990269">
          <w:marLeft w:val="0"/>
          <w:marRight w:val="0"/>
          <w:marTop w:val="0"/>
          <w:marBottom w:val="0"/>
          <w:divBdr>
            <w:top w:val="none" w:sz="0" w:space="0" w:color="auto"/>
            <w:left w:val="none" w:sz="0" w:space="0" w:color="auto"/>
            <w:bottom w:val="none" w:sz="0" w:space="0" w:color="auto"/>
            <w:right w:val="none" w:sz="0" w:space="0" w:color="auto"/>
          </w:divBdr>
        </w:div>
        <w:div w:id="1752194233">
          <w:marLeft w:val="0"/>
          <w:marRight w:val="0"/>
          <w:marTop w:val="0"/>
          <w:marBottom w:val="0"/>
          <w:divBdr>
            <w:top w:val="none" w:sz="0" w:space="0" w:color="auto"/>
            <w:left w:val="none" w:sz="0" w:space="0" w:color="auto"/>
            <w:bottom w:val="none" w:sz="0" w:space="0" w:color="auto"/>
            <w:right w:val="none" w:sz="0" w:space="0" w:color="auto"/>
          </w:divBdr>
        </w:div>
        <w:div w:id="1435980658">
          <w:marLeft w:val="0"/>
          <w:marRight w:val="0"/>
          <w:marTop w:val="0"/>
          <w:marBottom w:val="0"/>
          <w:divBdr>
            <w:top w:val="none" w:sz="0" w:space="0" w:color="auto"/>
            <w:left w:val="none" w:sz="0" w:space="0" w:color="auto"/>
            <w:bottom w:val="none" w:sz="0" w:space="0" w:color="auto"/>
            <w:right w:val="none" w:sz="0" w:space="0" w:color="auto"/>
          </w:divBdr>
        </w:div>
        <w:div w:id="1386100789">
          <w:marLeft w:val="0"/>
          <w:marRight w:val="0"/>
          <w:marTop w:val="0"/>
          <w:marBottom w:val="0"/>
          <w:divBdr>
            <w:top w:val="none" w:sz="0" w:space="0" w:color="auto"/>
            <w:left w:val="none" w:sz="0" w:space="0" w:color="auto"/>
            <w:bottom w:val="none" w:sz="0" w:space="0" w:color="auto"/>
            <w:right w:val="none" w:sz="0" w:space="0" w:color="auto"/>
          </w:divBdr>
        </w:div>
        <w:div w:id="1682317807">
          <w:marLeft w:val="0"/>
          <w:marRight w:val="0"/>
          <w:marTop w:val="0"/>
          <w:marBottom w:val="0"/>
          <w:divBdr>
            <w:top w:val="none" w:sz="0" w:space="0" w:color="auto"/>
            <w:left w:val="none" w:sz="0" w:space="0" w:color="auto"/>
            <w:bottom w:val="none" w:sz="0" w:space="0" w:color="auto"/>
            <w:right w:val="none" w:sz="0" w:space="0" w:color="auto"/>
          </w:divBdr>
        </w:div>
        <w:div w:id="1689255972">
          <w:marLeft w:val="0"/>
          <w:marRight w:val="0"/>
          <w:marTop w:val="0"/>
          <w:marBottom w:val="0"/>
          <w:divBdr>
            <w:top w:val="none" w:sz="0" w:space="0" w:color="auto"/>
            <w:left w:val="none" w:sz="0" w:space="0" w:color="auto"/>
            <w:bottom w:val="none" w:sz="0" w:space="0" w:color="auto"/>
            <w:right w:val="none" w:sz="0" w:space="0" w:color="auto"/>
          </w:divBdr>
        </w:div>
        <w:div w:id="1694918474">
          <w:marLeft w:val="0"/>
          <w:marRight w:val="0"/>
          <w:marTop w:val="0"/>
          <w:marBottom w:val="0"/>
          <w:divBdr>
            <w:top w:val="none" w:sz="0" w:space="0" w:color="auto"/>
            <w:left w:val="none" w:sz="0" w:space="0" w:color="auto"/>
            <w:bottom w:val="none" w:sz="0" w:space="0" w:color="auto"/>
            <w:right w:val="none" w:sz="0" w:space="0" w:color="auto"/>
          </w:divBdr>
        </w:div>
        <w:div w:id="667052860">
          <w:marLeft w:val="0"/>
          <w:marRight w:val="0"/>
          <w:marTop w:val="0"/>
          <w:marBottom w:val="0"/>
          <w:divBdr>
            <w:top w:val="none" w:sz="0" w:space="0" w:color="auto"/>
            <w:left w:val="none" w:sz="0" w:space="0" w:color="auto"/>
            <w:bottom w:val="none" w:sz="0" w:space="0" w:color="auto"/>
            <w:right w:val="none" w:sz="0" w:space="0" w:color="auto"/>
          </w:divBdr>
        </w:div>
        <w:div w:id="2115636007">
          <w:marLeft w:val="0"/>
          <w:marRight w:val="0"/>
          <w:marTop w:val="0"/>
          <w:marBottom w:val="0"/>
          <w:divBdr>
            <w:top w:val="none" w:sz="0" w:space="0" w:color="auto"/>
            <w:left w:val="none" w:sz="0" w:space="0" w:color="auto"/>
            <w:bottom w:val="none" w:sz="0" w:space="0" w:color="auto"/>
            <w:right w:val="none" w:sz="0" w:space="0" w:color="auto"/>
          </w:divBdr>
        </w:div>
        <w:div w:id="1968003837">
          <w:marLeft w:val="0"/>
          <w:marRight w:val="0"/>
          <w:marTop w:val="0"/>
          <w:marBottom w:val="0"/>
          <w:divBdr>
            <w:top w:val="none" w:sz="0" w:space="0" w:color="auto"/>
            <w:left w:val="none" w:sz="0" w:space="0" w:color="auto"/>
            <w:bottom w:val="none" w:sz="0" w:space="0" w:color="auto"/>
            <w:right w:val="none" w:sz="0" w:space="0" w:color="auto"/>
          </w:divBdr>
        </w:div>
        <w:div w:id="870342113">
          <w:marLeft w:val="0"/>
          <w:marRight w:val="0"/>
          <w:marTop w:val="0"/>
          <w:marBottom w:val="0"/>
          <w:divBdr>
            <w:top w:val="none" w:sz="0" w:space="0" w:color="auto"/>
            <w:left w:val="none" w:sz="0" w:space="0" w:color="auto"/>
            <w:bottom w:val="none" w:sz="0" w:space="0" w:color="auto"/>
            <w:right w:val="none" w:sz="0" w:space="0" w:color="auto"/>
          </w:divBdr>
        </w:div>
        <w:div w:id="620111765">
          <w:marLeft w:val="0"/>
          <w:marRight w:val="0"/>
          <w:marTop w:val="0"/>
          <w:marBottom w:val="0"/>
          <w:divBdr>
            <w:top w:val="none" w:sz="0" w:space="0" w:color="auto"/>
            <w:left w:val="none" w:sz="0" w:space="0" w:color="auto"/>
            <w:bottom w:val="none" w:sz="0" w:space="0" w:color="auto"/>
            <w:right w:val="none" w:sz="0" w:space="0" w:color="auto"/>
          </w:divBdr>
        </w:div>
        <w:div w:id="119880693">
          <w:marLeft w:val="0"/>
          <w:marRight w:val="0"/>
          <w:marTop w:val="0"/>
          <w:marBottom w:val="0"/>
          <w:divBdr>
            <w:top w:val="none" w:sz="0" w:space="0" w:color="auto"/>
            <w:left w:val="none" w:sz="0" w:space="0" w:color="auto"/>
            <w:bottom w:val="none" w:sz="0" w:space="0" w:color="auto"/>
            <w:right w:val="none" w:sz="0" w:space="0" w:color="auto"/>
          </w:divBdr>
        </w:div>
        <w:div w:id="1359891054">
          <w:marLeft w:val="0"/>
          <w:marRight w:val="0"/>
          <w:marTop w:val="0"/>
          <w:marBottom w:val="0"/>
          <w:divBdr>
            <w:top w:val="none" w:sz="0" w:space="0" w:color="auto"/>
            <w:left w:val="none" w:sz="0" w:space="0" w:color="auto"/>
            <w:bottom w:val="none" w:sz="0" w:space="0" w:color="auto"/>
            <w:right w:val="none" w:sz="0" w:space="0" w:color="auto"/>
          </w:divBdr>
        </w:div>
        <w:div w:id="93982796">
          <w:marLeft w:val="0"/>
          <w:marRight w:val="0"/>
          <w:marTop w:val="0"/>
          <w:marBottom w:val="0"/>
          <w:divBdr>
            <w:top w:val="none" w:sz="0" w:space="0" w:color="auto"/>
            <w:left w:val="none" w:sz="0" w:space="0" w:color="auto"/>
            <w:bottom w:val="none" w:sz="0" w:space="0" w:color="auto"/>
            <w:right w:val="none" w:sz="0" w:space="0" w:color="auto"/>
          </w:divBdr>
        </w:div>
        <w:div w:id="1317488030">
          <w:marLeft w:val="0"/>
          <w:marRight w:val="0"/>
          <w:marTop w:val="0"/>
          <w:marBottom w:val="0"/>
          <w:divBdr>
            <w:top w:val="none" w:sz="0" w:space="0" w:color="auto"/>
            <w:left w:val="none" w:sz="0" w:space="0" w:color="auto"/>
            <w:bottom w:val="none" w:sz="0" w:space="0" w:color="auto"/>
            <w:right w:val="none" w:sz="0" w:space="0" w:color="auto"/>
          </w:divBdr>
        </w:div>
        <w:div w:id="1435250901">
          <w:marLeft w:val="0"/>
          <w:marRight w:val="0"/>
          <w:marTop w:val="0"/>
          <w:marBottom w:val="0"/>
          <w:divBdr>
            <w:top w:val="none" w:sz="0" w:space="0" w:color="auto"/>
            <w:left w:val="none" w:sz="0" w:space="0" w:color="auto"/>
            <w:bottom w:val="none" w:sz="0" w:space="0" w:color="auto"/>
            <w:right w:val="none" w:sz="0" w:space="0" w:color="auto"/>
          </w:divBdr>
        </w:div>
        <w:div w:id="1842887525">
          <w:marLeft w:val="0"/>
          <w:marRight w:val="0"/>
          <w:marTop w:val="0"/>
          <w:marBottom w:val="0"/>
          <w:divBdr>
            <w:top w:val="none" w:sz="0" w:space="0" w:color="auto"/>
            <w:left w:val="none" w:sz="0" w:space="0" w:color="auto"/>
            <w:bottom w:val="none" w:sz="0" w:space="0" w:color="auto"/>
            <w:right w:val="none" w:sz="0" w:space="0" w:color="auto"/>
          </w:divBdr>
        </w:div>
      </w:divsChild>
    </w:div>
    <w:div w:id="667640524">
      <w:bodyDiv w:val="1"/>
      <w:marLeft w:val="0"/>
      <w:marRight w:val="0"/>
      <w:marTop w:val="0"/>
      <w:marBottom w:val="0"/>
      <w:divBdr>
        <w:top w:val="none" w:sz="0" w:space="0" w:color="auto"/>
        <w:left w:val="none" w:sz="0" w:space="0" w:color="auto"/>
        <w:bottom w:val="none" w:sz="0" w:space="0" w:color="auto"/>
        <w:right w:val="none" w:sz="0" w:space="0" w:color="auto"/>
      </w:divBdr>
      <w:divsChild>
        <w:div w:id="442380303">
          <w:marLeft w:val="792"/>
          <w:marRight w:val="0"/>
          <w:marTop w:val="360"/>
          <w:marBottom w:val="0"/>
          <w:divBdr>
            <w:top w:val="none" w:sz="0" w:space="0" w:color="auto"/>
            <w:left w:val="none" w:sz="0" w:space="0" w:color="auto"/>
            <w:bottom w:val="none" w:sz="0" w:space="0" w:color="auto"/>
            <w:right w:val="none" w:sz="0" w:space="0" w:color="auto"/>
          </w:divBdr>
        </w:div>
        <w:div w:id="542906101">
          <w:marLeft w:val="432"/>
          <w:marRight w:val="0"/>
          <w:marTop w:val="360"/>
          <w:marBottom w:val="0"/>
          <w:divBdr>
            <w:top w:val="none" w:sz="0" w:space="0" w:color="auto"/>
            <w:left w:val="none" w:sz="0" w:space="0" w:color="auto"/>
            <w:bottom w:val="none" w:sz="0" w:space="0" w:color="auto"/>
            <w:right w:val="none" w:sz="0" w:space="0" w:color="auto"/>
          </w:divBdr>
        </w:div>
        <w:div w:id="575096057">
          <w:marLeft w:val="432"/>
          <w:marRight w:val="0"/>
          <w:marTop w:val="360"/>
          <w:marBottom w:val="0"/>
          <w:divBdr>
            <w:top w:val="none" w:sz="0" w:space="0" w:color="auto"/>
            <w:left w:val="none" w:sz="0" w:space="0" w:color="auto"/>
            <w:bottom w:val="none" w:sz="0" w:space="0" w:color="auto"/>
            <w:right w:val="none" w:sz="0" w:space="0" w:color="auto"/>
          </w:divBdr>
        </w:div>
        <w:div w:id="971327794">
          <w:marLeft w:val="792"/>
          <w:marRight w:val="0"/>
          <w:marTop w:val="360"/>
          <w:marBottom w:val="0"/>
          <w:divBdr>
            <w:top w:val="none" w:sz="0" w:space="0" w:color="auto"/>
            <w:left w:val="none" w:sz="0" w:space="0" w:color="auto"/>
            <w:bottom w:val="none" w:sz="0" w:space="0" w:color="auto"/>
            <w:right w:val="none" w:sz="0" w:space="0" w:color="auto"/>
          </w:divBdr>
        </w:div>
        <w:div w:id="1054616864">
          <w:marLeft w:val="432"/>
          <w:marRight w:val="0"/>
          <w:marTop w:val="360"/>
          <w:marBottom w:val="0"/>
          <w:divBdr>
            <w:top w:val="none" w:sz="0" w:space="0" w:color="auto"/>
            <w:left w:val="none" w:sz="0" w:space="0" w:color="auto"/>
            <w:bottom w:val="none" w:sz="0" w:space="0" w:color="auto"/>
            <w:right w:val="none" w:sz="0" w:space="0" w:color="auto"/>
          </w:divBdr>
        </w:div>
        <w:div w:id="1480463722">
          <w:marLeft w:val="432"/>
          <w:marRight w:val="0"/>
          <w:marTop w:val="360"/>
          <w:marBottom w:val="0"/>
          <w:divBdr>
            <w:top w:val="none" w:sz="0" w:space="0" w:color="auto"/>
            <w:left w:val="none" w:sz="0" w:space="0" w:color="auto"/>
            <w:bottom w:val="none" w:sz="0" w:space="0" w:color="auto"/>
            <w:right w:val="none" w:sz="0" w:space="0" w:color="auto"/>
          </w:divBdr>
        </w:div>
        <w:div w:id="1814836181">
          <w:marLeft w:val="432"/>
          <w:marRight w:val="0"/>
          <w:marTop w:val="360"/>
          <w:marBottom w:val="0"/>
          <w:divBdr>
            <w:top w:val="none" w:sz="0" w:space="0" w:color="auto"/>
            <w:left w:val="none" w:sz="0" w:space="0" w:color="auto"/>
            <w:bottom w:val="none" w:sz="0" w:space="0" w:color="auto"/>
            <w:right w:val="none" w:sz="0" w:space="0" w:color="auto"/>
          </w:divBdr>
        </w:div>
      </w:divsChild>
    </w:div>
    <w:div w:id="685519811">
      <w:bodyDiv w:val="1"/>
      <w:marLeft w:val="0"/>
      <w:marRight w:val="0"/>
      <w:marTop w:val="0"/>
      <w:marBottom w:val="0"/>
      <w:divBdr>
        <w:top w:val="none" w:sz="0" w:space="0" w:color="auto"/>
        <w:left w:val="none" w:sz="0" w:space="0" w:color="auto"/>
        <w:bottom w:val="none" w:sz="0" w:space="0" w:color="auto"/>
        <w:right w:val="none" w:sz="0" w:space="0" w:color="auto"/>
      </w:divBdr>
      <w:divsChild>
        <w:div w:id="586578623">
          <w:marLeft w:val="432"/>
          <w:marRight w:val="0"/>
          <w:marTop w:val="360"/>
          <w:marBottom w:val="0"/>
          <w:divBdr>
            <w:top w:val="none" w:sz="0" w:space="0" w:color="auto"/>
            <w:left w:val="none" w:sz="0" w:space="0" w:color="auto"/>
            <w:bottom w:val="none" w:sz="0" w:space="0" w:color="auto"/>
            <w:right w:val="none" w:sz="0" w:space="0" w:color="auto"/>
          </w:divBdr>
        </w:div>
        <w:div w:id="708147918">
          <w:marLeft w:val="432"/>
          <w:marRight w:val="0"/>
          <w:marTop w:val="360"/>
          <w:marBottom w:val="0"/>
          <w:divBdr>
            <w:top w:val="none" w:sz="0" w:space="0" w:color="auto"/>
            <w:left w:val="none" w:sz="0" w:space="0" w:color="auto"/>
            <w:bottom w:val="none" w:sz="0" w:space="0" w:color="auto"/>
            <w:right w:val="none" w:sz="0" w:space="0" w:color="auto"/>
          </w:divBdr>
        </w:div>
        <w:div w:id="766921245">
          <w:marLeft w:val="432"/>
          <w:marRight w:val="0"/>
          <w:marTop w:val="360"/>
          <w:marBottom w:val="0"/>
          <w:divBdr>
            <w:top w:val="none" w:sz="0" w:space="0" w:color="auto"/>
            <w:left w:val="none" w:sz="0" w:space="0" w:color="auto"/>
            <w:bottom w:val="none" w:sz="0" w:space="0" w:color="auto"/>
            <w:right w:val="none" w:sz="0" w:space="0" w:color="auto"/>
          </w:divBdr>
        </w:div>
        <w:div w:id="793519651">
          <w:marLeft w:val="1152"/>
          <w:marRight w:val="0"/>
          <w:marTop w:val="360"/>
          <w:marBottom w:val="0"/>
          <w:divBdr>
            <w:top w:val="none" w:sz="0" w:space="0" w:color="auto"/>
            <w:left w:val="none" w:sz="0" w:space="0" w:color="auto"/>
            <w:bottom w:val="none" w:sz="0" w:space="0" w:color="auto"/>
            <w:right w:val="none" w:sz="0" w:space="0" w:color="auto"/>
          </w:divBdr>
        </w:div>
        <w:div w:id="866941682">
          <w:marLeft w:val="1152"/>
          <w:marRight w:val="0"/>
          <w:marTop w:val="360"/>
          <w:marBottom w:val="0"/>
          <w:divBdr>
            <w:top w:val="none" w:sz="0" w:space="0" w:color="auto"/>
            <w:left w:val="none" w:sz="0" w:space="0" w:color="auto"/>
            <w:bottom w:val="none" w:sz="0" w:space="0" w:color="auto"/>
            <w:right w:val="none" w:sz="0" w:space="0" w:color="auto"/>
          </w:divBdr>
        </w:div>
        <w:div w:id="1070269516">
          <w:marLeft w:val="432"/>
          <w:marRight w:val="0"/>
          <w:marTop w:val="360"/>
          <w:marBottom w:val="0"/>
          <w:divBdr>
            <w:top w:val="none" w:sz="0" w:space="0" w:color="auto"/>
            <w:left w:val="none" w:sz="0" w:space="0" w:color="auto"/>
            <w:bottom w:val="none" w:sz="0" w:space="0" w:color="auto"/>
            <w:right w:val="none" w:sz="0" w:space="0" w:color="auto"/>
          </w:divBdr>
        </w:div>
        <w:div w:id="1072388564">
          <w:marLeft w:val="432"/>
          <w:marRight w:val="0"/>
          <w:marTop w:val="360"/>
          <w:marBottom w:val="0"/>
          <w:divBdr>
            <w:top w:val="none" w:sz="0" w:space="0" w:color="auto"/>
            <w:left w:val="none" w:sz="0" w:space="0" w:color="auto"/>
            <w:bottom w:val="none" w:sz="0" w:space="0" w:color="auto"/>
            <w:right w:val="none" w:sz="0" w:space="0" w:color="auto"/>
          </w:divBdr>
        </w:div>
        <w:div w:id="1204950566">
          <w:marLeft w:val="432"/>
          <w:marRight w:val="0"/>
          <w:marTop w:val="360"/>
          <w:marBottom w:val="0"/>
          <w:divBdr>
            <w:top w:val="none" w:sz="0" w:space="0" w:color="auto"/>
            <w:left w:val="none" w:sz="0" w:space="0" w:color="auto"/>
            <w:bottom w:val="none" w:sz="0" w:space="0" w:color="auto"/>
            <w:right w:val="none" w:sz="0" w:space="0" w:color="auto"/>
          </w:divBdr>
        </w:div>
        <w:div w:id="1644770778">
          <w:marLeft w:val="1152"/>
          <w:marRight w:val="0"/>
          <w:marTop w:val="360"/>
          <w:marBottom w:val="0"/>
          <w:divBdr>
            <w:top w:val="none" w:sz="0" w:space="0" w:color="auto"/>
            <w:left w:val="none" w:sz="0" w:space="0" w:color="auto"/>
            <w:bottom w:val="none" w:sz="0" w:space="0" w:color="auto"/>
            <w:right w:val="none" w:sz="0" w:space="0" w:color="auto"/>
          </w:divBdr>
        </w:div>
        <w:div w:id="1952126805">
          <w:marLeft w:val="1152"/>
          <w:marRight w:val="0"/>
          <w:marTop w:val="360"/>
          <w:marBottom w:val="0"/>
          <w:divBdr>
            <w:top w:val="none" w:sz="0" w:space="0" w:color="auto"/>
            <w:left w:val="none" w:sz="0" w:space="0" w:color="auto"/>
            <w:bottom w:val="none" w:sz="0" w:space="0" w:color="auto"/>
            <w:right w:val="none" w:sz="0" w:space="0" w:color="auto"/>
          </w:divBdr>
        </w:div>
        <w:div w:id="2007396571">
          <w:marLeft w:val="1152"/>
          <w:marRight w:val="0"/>
          <w:marTop w:val="360"/>
          <w:marBottom w:val="0"/>
          <w:divBdr>
            <w:top w:val="none" w:sz="0" w:space="0" w:color="auto"/>
            <w:left w:val="none" w:sz="0" w:space="0" w:color="auto"/>
            <w:bottom w:val="none" w:sz="0" w:space="0" w:color="auto"/>
            <w:right w:val="none" w:sz="0" w:space="0" w:color="auto"/>
          </w:divBdr>
        </w:div>
      </w:divsChild>
    </w:div>
    <w:div w:id="706834018">
      <w:bodyDiv w:val="1"/>
      <w:marLeft w:val="0"/>
      <w:marRight w:val="0"/>
      <w:marTop w:val="0"/>
      <w:marBottom w:val="0"/>
      <w:divBdr>
        <w:top w:val="none" w:sz="0" w:space="0" w:color="auto"/>
        <w:left w:val="none" w:sz="0" w:space="0" w:color="auto"/>
        <w:bottom w:val="none" w:sz="0" w:space="0" w:color="auto"/>
        <w:right w:val="none" w:sz="0" w:space="0" w:color="auto"/>
      </w:divBdr>
    </w:div>
    <w:div w:id="737482757">
      <w:bodyDiv w:val="1"/>
      <w:marLeft w:val="0"/>
      <w:marRight w:val="0"/>
      <w:marTop w:val="0"/>
      <w:marBottom w:val="0"/>
      <w:divBdr>
        <w:top w:val="none" w:sz="0" w:space="0" w:color="auto"/>
        <w:left w:val="none" w:sz="0" w:space="0" w:color="auto"/>
        <w:bottom w:val="none" w:sz="0" w:space="0" w:color="auto"/>
        <w:right w:val="none" w:sz="0" w:space="0" w:color="auto"/>
      </w:divBdr>
    </w:div>
    <w:div w:id="929657342">
      <w:bodyDiv w:val="1"/>
      <w:marLeft w:val="0"/>
      <w:marRight w:val="0"/>
      <w:marTop w:val="0"/>
      <w:marBottom w:val="0"/>
      <w:divBdr>
        <w:top w:val="none" w:sz="0" w:space="0" w:color="auto"/>
        <w:left w:val="none" w:sz="0" w:space="0" w:color="auto"/>
        <w:bottom w:val="none" w:sz="0" w:space="0" w:color="auto"/>
        <w:right w:val="none" w:sz="0" w:space="0" w:color="auto"/>
      </w:divBdr>
      <w:divsChild>
        <w:div w:id="1916624011">
          <w:marLeft w:val="432"/>
          <w:marRight w:val="0"/>
          <w:marTop w:val="360"/>
          <w:marBottom w:val="0"/>
          <w:divBdr>
            <w:top w:val="none" w:sz="0" w:space="0" w:color="auto"/>
            <w:left w:val="none" w:sz="0" w:space="0" w:color="auto"/>
            <w:bottom w:val="none" w:sz="0" w:space="0" w:color="auto"/>
            <w:right w:val="none" w:sz="0" w:space="0" w:color="auto"/>
          </w:divBdr>
        </w:div>
        <w:div w:id="2116319158">
          <w:marLeft w:val="432"/>
          <w:marRight w:val="0"/>
          <w:marTop w:val="360"/>
          <w:marBottom w:val="0"/>
          <w:divBdr>
            <w:top w:val="none" w:sz="0" w:space="0" w:color="auto"/>
            <w:left w:val="none" w:sz="0" w:space="0" w:color="auto"/>
            <w:bottom w:val="none" w:sz="0" w:space="0" w:color="auto"/>
            <w:right w:val="none" w:sz="0" w:space="0" w:color="auto"/>
          </w:divBdr>
        </w:div>
      </w:divsChild>
    </w:div>
    <w:div w:id="1029066395">
      <w:bodyDiv w:val="1"/>
      <w:marLeft w:val="0"/>
      <w:marRight w:val="0"/>
      <w:marTop w:val="0"/>
      <w:marBottom w:val="0"/>
      <w:divBdr>
        <w:top w:val="none" w:sz="0" w:space="0" w:color="auto"/>
        <w:left w:val="none" w:sz="0" w:space="0" w:color="auto"/>
        <w:bottom w:val="none" w:sz="0" w:space="0" w:color="auto"/>
        <w:right w:val="none" w:sz="0" w:space="0" w:color="auto"/>
      </w:divBdr>
    </w:div>
    <w:div w:id="1033844395">
      <w:bodyDiv w:val="1"/>
      <w:marLeft w:val="0"/>
      <w:marRight w:val="0"/>
      <w:marTop w:val="0"/>
      <w:marBottom w:val="0"/>
      <w:divBdr>
        <w:top w:val="none" w:sz="0" w:space="0" w:color="auto"/>
        <w:left w:val="none" w:sz="0" w:space="0" w:color="auto"/>
        <w:bottom w:val="none" w:sz="0" w:space="0" w:color="auto"/>
        <w:right w:val="none" w:sz="0" w:space="0" w:color="auto"/>
      </w:divBdr>
    </w:div>
    <w:div w:id="1099912099">
      <w:bodyDiv w:val="1"/>
      <w:marLeft w:val="0"/>
      <w:marRight w:val="0"/>
      <w:marTop w:val="0"/>
      <w:marBottom w:val="0"/>
      <w:divBdr>
        <w:top w:val="none" w:sz="0" w:space="0" w:color="auto"/>
        <w:left w:val="none" w:sz="0" w:space="0" w:color="auto"/>
        <w:bottom w:val="none" w:sz="0" w:space="0" w:color="auto"/>
        <w:right w:val="none" w:sz="0" w:space="0" w:color="auto"/>
      </w:divBdr>
    </w:div>
    <w:div w:id="1121535730">
      <w:bodyDiv w:val="1"/>
      <w:marLeft w:val="0"/>
      <w:marRight w:val="0"/>
      <w:marTop w:val="0"/>
      <w:marBottom w:val="0"/>
      <w:divBdr>
        <w:top w:val="none" w:sz="0" w:space="0" w:color="auto"/>
        <w:left w:val="none" w:sz="0" w:space="0" w:color="auto"/>
        <w:bottom w:val="none" w:sz="0" w:space="0" w:color="auto"/>
        <w:right w:val="none" w:sz="0" w:space="0" w:color="auto"/>
      </w:divBdr>
      <w:divsChild>
        <w:div w:id="139471033">
          <w:marLeft w:val="432"/>
          <w:marRight w:val="0"/>
          <w:marTop w:val="360"/>
          <w:marBottom w:val="0"/>
          <w:divBdr>
            <w:top w:val="none" w:sz="0" w:space="0" w:color="auto"/>
            <w:left w:val="none" w:sz="0" w:space="0" w:color="auto"/>
            <w:bottom w:val="none" w:sz="0" w:space="0" w:color="auto"/>
            <w:right w:val="none" w:sz="0" w:space="0" w:color="auto"/>
          </w:divBdr>
        </w:div>
        <w:div w:id="224142777">
          <w:marLeft w:val="432"/>
          <w:marRight w:val="0"/>
          <w:marTop w:val="360"/>
          <w:marBottom w:val="0"/>
          <w:divBdr>
            <w:top w:val="none" w:sz="0" w:space="0" w:color="auto"/>
            <w:left w:val="none" w:sz="0" w:space="0" w:color="auto"/>
            <w:bottom w:val="none" w:sz="0" w:space="0" w:color="auto"/>
            <w:right w:val="none" w:sz="0" w:space="0" w:color="auto"/>
          </w:divBdr>
        </w:div>
        <w:div w:id="647438739">
          <w:marLeft w:val="432"/>
          <w:marRight w:val="0"/>
          <w:marTop w:val="360"/>
          <w:marBottom w:val="0"/>
          <w:divBdr>
            <w:top w:val="none" w:sz="0" w:space="0" w:color="auto"/>
            <w:left w:val="none" w:sz="0" w:space="0" w:color="auto"/>
            <w:bottom w:val="none" w:sz="0" w:space="0" w:color="auto"/>
            <w:right w:val="none" w:sz="0" w:space="0" w:color="auto"/>
          </w:divBdr>
        </w:div>
        <w:div w:id="825895363">
          <w:marLeft w:val="432"/>
          <w:marRight w:val="0"/>
          <w:marTop w:val="360"/>
          <w:marBottom w:val="0"/>
          <w:divBdr>
            <w:top w:val="none" w:sz="0" w:space="0" w:color="auto"/>
            <w:left w:val="none" w:sz="0" w:space="0" w:color="auto"/>
            <w:bottom w:val="none" w:sz="0" w:space="0" w:color="auto"/>
            <w:right w:val="none" w:sz="0" w:space="0" w:color="auto"/>
          </w:divBdr>
        </w:div>
        <w:div w:id="1051609940">
          <w:marLeft w:val="432"/>
          <w:marRight w:val="0"/>
          <w:marTop w:val="360"/>
          <w:marBottom w:val="0"/>
          <w:divBdr>
            <w:top w:val="none" w:sz="0" w:space="0" w:color="auto"/>
            <w:left w:val="none" w:sz="0" w:space="0" w:color="auto"/>
            <w:bottom w:val="none" w:sz="0" w:space="0" w:color="auto"/>
            <w:right w:val="none" w:sz="0" w:space="0" w:color="auto"/>
          </w:divBdr>
        </w:div>
        <w:div w:id="1184900217">
          <w:marLeft w:val="432"/>
          <w:marRight w:val="0"/>
          <w:marTop w:val="360"/>
          <w:marBottom w:val="0"/>
          <w:divBdr>
            <w:top w:val="none" w:sz="0" w:space="0" w:color="auto"/>
            <w:left w:val="none" w:sz="0" w:space="0" w:color="auto"/>
            <w:bottom w:val="none" w:sz="0" w:space="0" w:color="auto"/>
            <w:right w:val="none" w:sz="0" w:space="0" w:color="auto"/>
          </w:divBdr>
        </w:div>
        <w:div w:id="1799911058">
          <w:marLeft w:val="432"/>
          <w:marRight w:val="0"/>
          <w:marTop w:val="360"/>
          <w:marBottom w:val="0"/>
          <w:divBdr>
            <w:top w:val="none" w:sz="0" w:space="0" w:color="auto"/>
            <w:left w:val="none" w:sz="0" w:space="0" w:color="auto"/>
            <w:bottom w:val="none" w:sz="0" w:space="0" w:color="auto"/>
            <w:right w:val="none" w:sz="0" w:space="0" w:color="auto"/>
          </w:divBdr>
        </w:div>
        <w:div w:id="1866945848">
          <w:marLeft w:val="432"/>
          <w:marRight w:val="0"/>
          <w:marTop w:val="360"/>
          <w:marBottom w:val="0"/>
          <w:divBdr>
            <w:top w:val="none" w:sz="0" w:space="0" w:color="auto"/>
            <w:left w:val="none" w:sz="0" w:space="0" w:color="auto"/>
            <w:bottom w:val="none" w:sz="0" w:space="0" w:color="auto"/>
            <w:right w:val="none" w:sz="0" w:space="0" w:color="auto"/>
          </w:divBdr>
        </w:div>
      </w:divsChild>
    </w:div>
    <w:div w:id="1346980434">
      <w:bodyDiv w:val="1"/>
      <w:marLeft w:val="0"/>
      <w:marRight w:val="0"/>
      <w:marTop w:val="0"/>
      <w:marBottom w:val="0"/>
      <w:divBdr>
        <w:top w:val="none" w:sz="0" w:space="0" w:color="auto"/>
        <w:left w:val="none" w:sz="0" w:space="0" w:color="auto"/>
        <w:bottom w:val="none" w:sz="0" w:space="0" w:color="auto"/>
        <w:right w:val="none" w:sz="0" w:space="0" w:color="auto"/>
      </w:divBdr>
    </w:div>
    <w:div w:id="1371419221">
      <w:bodyDiv w:val="1"/>
      <w:marLeft w:val="0"/>
      <w:marRight w:val="0"/>
      <w:marTop w:val="0"/>
      <w:marBottom w:val="0"/>
      <w:divBdr>
        <w:top w:val="none" w:sz="0" w:space="0" w:color="auto"/>
        <w:left w:val="none" w:sz="0" w:space="0" w:color="auto"/>
        <w:bottom w:val="none" w:sz="0" w:space="0" w:color="auto"/>
        <w:right w:val="none" w:sz="0" w:space="0" w:color="auto"/>
      </w:divBdr>
    </w:div>
    <w:div w:id="1447114650">
      <w:bodyDiv w:val="1"/>
      <w:marLeft w:val="0"/>
      <w:marRight w:val="0"/>
      <w:marTop w:val="0"/>
      <w:marBottom w:val="0"/>
      <w:divBdr>
        <w:top w:val="none" w:sz="0" w:space="0" w:color="auto"/>
        <w:left w:val="none" w:sz="0" w:space="0" w:color="auto"/>
        <w:bottom w:val="none" w:sz="0" w:space="0" w:color="auto"/>
        <w:right w:val="none" w:sz="0" w:space="0" w:color="auto"/>
      </w:divBdr>
      <w:divsChild>
        <w:div w:id="32198821">
          <w:marLeft w:val="0"/>
          <w:marRight w:val="0"/>
          <w:marTop w:val="0"/>
          <w:marBottom w:val="0"/>
          <w:divBdr>
            <w:top w:val="none" w:sz="0" w:space="0" w:color="auto"/>
            <w:left w:val="none" w:sz="0" w:space="0" w:color="auto"/>
            <w:bottom w:val="none" w:sz="0" w:space="0" w:color="auto"/>
            <w:right w:val="none" w:sz="0" w:space="0" w:color="auto"/>
          </w:divBdr>
        </w:div>
        <w:div w:id="295961492">
          <w:marLeft w:val="0"/>
          <w:marRight w:val="0"/>
          <w:marTop w:val="0"/>
          <w:marBottom w:val="0"/>
          <w:divBdr>
            <w:top w:val="none" w:sz="0" w:space="0" w:color="auto"/>
            <w:left w:val="none" w:sz="0" w:space="0" w:color="auto"/>
            <w:bottom w:val="none" w:sz="0" w:space="0" w:color="auto"/>
            <w:right w:val="none" w:sz="0" w:space="0" w:color="auto"/>
          </w:divBdr>
        </w:div>
        <w:div w:id="415397969">
          <w:marLeft w:val="0"/>
          <w:marRight w:val="0"/>
          <w:marTop w:val="0"/>
          <w:marBottom w:val="0"/>
          <w:divBdr>
            <w:top w:val="none" w:sz="0" w:space="0" w:color="auto"/>
            <w:left w:val="none" w:sz="0" w:space="0" w:color="auto"/>
            <w:bottom w:val="none" w:sz="0" w:space="0" w:color="auto"/>
            <w:right w:val="none" w:sz="0" w:space="0" w:color="auto"/>
          </w:divBdr>
        </w:div>
        <w:div w:id="709576263">
          <w:marLeft w:val="0"/>
          <w:marRight w:val="0"/>
          <w:marTop w:val="0"/>
          <w:marBottom w:val="0"/>
          <w:divBdr>
            <w:top w:val="none" w:sz="0" w:space="0" w:color="auto"/>
            <w:left w:val="none" w:sz="0" w:space="0" w:color="auto"/>
            <w:bottom w:val="none" w:sz="0" w:space="0" w:color="auto"/>
            <w:right w:val="none" w:sz="0" w:space="0" w:color="auto"/>
          </w:divBdr>
        </w:div>
        <w:div w:id="1038352810">
          <w:marLeft w:val="0"/>
          <w:marRight w:val="0"/>
          <w:marTop w:val="0"/>
          <w:marBottom w:val="0"/>
          <w:divBdr>
            <w:top w:val="none" w:sz="0" w:space="0" w:color="auto"/>
            <w:left w:val="none" w:sz="0" w:space="0" w:color="auto"/>
            <w:bottom w:val="none" w:sz="0" w:space="0" w:color="auto"/>
            <w:right w:val="none" w:sz="0" w:space="0" w:color="auto"/>
          </w:divBdr>
        </w:div>
        <w:div w:id="1070234246">
          <w:marLeft w:val="0"/>
          <w:marRight w:val="0"/>
          <w:marTop w:val="0"/>
          <w:marBottom w:val="0"/>
          <w:divBdr>
            <w:top w:val="none" w:sz="0" w:space="0" w:color="auto"/>
            <w:left w:val="none" w:sz="0" w:space="0" w:color="auto"/>
            <w:bottom w:val="none" w:sz="0" w:space="0" w:color="auto"/>
            <w:right w:val="none" w:sz="0" w:space="0" w:color="auto"/>
          </w:divBdr>
        </w:div>
        <w:div w:id="1442259820">
          <w:marLeft w:val="0"/>
          <w:marRight w:val="0"/>
          <w:marTop w:val="0"/>
          <w:marBottom w:val="0"/>
          <w:divBdr>
            <w:top w:val="none" w:sz="0" w:space="0" w:color="auto"/>
            <w:left w:val="none" w:sz="0" w:space="0" w:color="auto"/>
            <w:bottom w:val="none" w:sz="0" w:space="0" w:color="auto"/>
            <w:right w:val="none" w:sz="0" w:space="0" w:color="auto"/>
          </w:divBdr>
        </w:div>
        <w:div w:id="1450513062">
          <w:marLeft w:val="0"/>
          <w:marRight w:val="0"/>
          <w:marTop w:val="0"/>
          <w:marBottom w:val="0"/>
          <w:divBdr>
            <w:top w:val="none" w:sz="0" w:space="0" w:color="auto"/>
            <w:left w:val="none" w:sz="0" w:space="0" w:color="auto"/>
            <w:bottom w:val="none" w:sz="0" w:space="0" w:color="auto"/>
            <w:right w:val="none" w:sz="0" w:space="0" w:color="auto"/>
          </w:divBdr>
        </w:div>
        <w:div w:id="1785424927">
          <w:marLeft w:val="0"/>
          <w:marRight w:val="0"/>
          <w:marTop w:val="0"/>
          <w:marBottom w:val="0"/>
          <w:divBdr>
            <w:top w:val="none" w:sz="0" w:space="0" w:color="auto"/>
            <w:left w:val="none" w:sz="0" w:space="0" w:color="auto"/>
            <w:bottom w:val="none" w:sz="0" w:space="0" w:color="auto"/>
            <w:right w:val="none" w:sz="0" w:space="0" w:color="auto"/>
          </w:divBdr>
        </w:div>
        <w:div w:id="1924417292">
          <w:marLeft w:val="0"/>
          <w:marRight w:val="0"/>
          <w:marTop w:val="0"/>
          <w:marBottom w:val="0"/>
          <w:divBdr>
            <w:top w:val="none" w:sz="0" w:space="0" w:color="auto"/>
            <w:left w:val="none" w:sz="0" w:space="0" w:color="auto"/>
            <w:bottom w:val="none" w:sz="0" w:space="0" w:color="auto"/>
            <w:right w:val="none" w:sz="0" w:space="0" w:color="auto"/>
          </w:divBdr>
        </w:div>
        <w:div w:id="1949775382">
          <w:marLeft w:val="0"/>
          <w:marRight w:val="0"/>
          <w:marTop w:val="0"/>
          <w:marBottom w:val="0"/>
          <w:divBdr>
            <w:top w:val="none" w:sz="0" w:space="0" w:color="auto"/>
            <w:left w:val="none" w:sz="0" w:space="0" w:color="auto"/>
            <w:bottom w:val="none" w:sz="0" w:space="0" w:color="auto"/>
            <w:right w:val="none" w:sz="0" w:space="0" w:color="auto"/>
          </w:divBdr>
        </w:div>
        <w:div w:id="1960989724">
          <w:marLeft w:val="0"/>
          <w:marRight w:val="0"/>
          <w:marTop w:val="0"/>
          <w:marBottom w:val="0"/>
          <w:divBdr>
            <w:top w:val="none" w:sz="0" w:space="0" w:color="auto"/>
            <w:left w:val="none" w:sz="0" w:space="0" w:color="auto"/>
            <w:bottom w:val="none" w:sz="0" w:space="0" w:color="auto"/>
            <w:right w:val="none" w:sz="0" w:space="0" w:color="auto"/>
          </w:divBdr>
        </w:div>
      </w:divsChild>
    </w:div>
    <w:div w:id="1557012662">
      <w:bodyDiv w:val="1"/>
      <w:marLeft w:val="0"/>
      <w:marRight w:val="0"/>
      <w:marTop w:val="0"/>
      <w:marBottom w:val="0"/>
      <w:divBdr>
        <w:top w:val="none" w:sz="0" w:space="0" w:color="auto"/>
        <w:left w:val="none" w:sz="0" w:space="0" w:color="auto"/>
        <w:bottom w:val="none" w:sz="0" w:space="0" w:color="auto"/>
        <w:right w:val="none" w:sz="0" w:space="0" w:color="auto"/>
      </w:divBdr>
      <w:divsChild>
        <w:div w:id="459029976">
          <w:marLeft w:val="432"/>
          <w:marRight w:val="0"/>
          <w:marTop w:val="360"/>
          <w:marBottom w:val="0"/>
          <w:divBdr>
            <w:top w:val="none" w:sz="0" w:space="0" w:color="auto"/>
            <w:left w:val="none" w:sz="0" w:space="0" w:color="auto"/>
            <w:bottom w:val="none" w:sz="0" w:space="0" w:color="auto"/>
            <w:right w:val="none" w:sz="0" w:space="0" w:color="auto"/>
          </w:divBdr>
        </w:div>
        <w:div w:id="977493605">
          <w:marLeft w:val="432"/>
          <w:marRight w:val="0"/>
          <w:marTop w:val="360"/>
          <w:marBottom w:val="0"/>
          <w:divBdr>
            <w:top w:val="none" w:sz="0" w:space="0" w:color="auto"/>
            <w:left w:val="none" w:sz="0" w:space="0" w:color="auto"/>
            <w:bottom w:val="none" w:sz="0" w:space="0" w:color="auto"/>
            <w:right w:val="none" w:sz="0" w:space="0" w:color="auto"/>
          </w:divBdr>
        </w:div>
        <w:div w:id="1415780022">
          <w:marLeft w:val="432"/>
          <w:marRight w:val="0"/>
          <w:marTop w:val="360"/>
          <w:marBottom w:val="0"/>
          <w:divBdr>
            <w:top w:val="none" w:sz="0" w:space="0" w:color="auto"/>
            <w:left w:val="none" w:sz="0" w:space="0" w:color="auto"/>
            <w:bottom w:val="none" w:sz="0" w:space="0" w:color="auto"/>
            <w:right w:val="none" w:sz="0" w:space="0" w:color="auto"/>
          </w:divBdr>
        </w:div>
      </w:divsChild>
    </w:div>
    <w:div w:id="1749686960">
      <w:bodyDiv w:val="1"/>
      <w:marLeft w:val="0"/>
      <w:marRight w:val="0"/>
      <w:marTop w:val="0"/>
      <w:marBottom w:val="0"/>
      <w:divBdr>
        <w:top w:val="none" w:sz="0" w:space="0" w:color="auto"/>
        <w:left w:val="none" w:sz="0" w:space="0" w:color="auto"/>
        <w:bottom w:val="none" w:sz="0" w:space="0" w:color="auto"/>
        <w:right w:val="none" w:sz="0" w:space="0" w:color="auto"/>
      </w:divBdr>
    </w:div>
    <w:div w:id="1754738722">
      <w:bodyDiv w:val="1"/>
      <w:marLeft w:val="0"/>
      <w:marRight w:val="0"/>
      <w:marTop w:val="0"/>
      <w:marBottom w:val="0"/>
      <w:divBdr>
        <w:top w:val="none" w:sz="0" w:space="0" w:color="auto"/>
        <w:left w:val="none" w:sz="0" w:space="0" w:color="auto"/>
        <w:bottom w:val="none" w:sz="0" w:space="0" w:color="auto"/>
        <w:right w:val="none" w:sz="0" w:space="0" w:color="auto"/>
      </w:divBdr>
    </w:div>
    <w:div w:id="1797793769">
      <w:bodyDiv w:val="1"/>
      <w:marLeft w:val="0"/>
      <w:marRight w:val="0"/>
      <w:marTop w:val="0"/>
      <w:marBottom w:val="0"/>
      <w:divBdr>
        <w:top w:val="none" w:sz="0" w:space="0" w:color="auto"/>
        <w:left w:val="none" w:sz="0" w:space="0" w:color="auto"/>
        <w:bottom w:val="none" w:sz="0" w:space="0" w:color="auto"/>
        <w:right w:val="none" w:sz="0" w:space="0" w:color="auto"/>
      </w:divBdr>
      <w:divsChild>
        <w:div w:id="572936341">
          <w:marLeft w:val="432"/>
          <w:marRight w:val="0"/>
          <w:marTop w:val="360"/>
          <w:marBottom w:val="0"/>
          <w:divBdr>
            <w:top w:val="none" w:sz="0" w:space="0" w:color="auto"/>
            <w:left w:val="none" w:sz="0" w:space="0" w:color="auto"/>
            <w:bottom w:val="none" w:sz="0" w:space="0" w:color="auto"/>
            <w:right w:val="none" w:sz="0" w:space="0" w:color="auto"/>
          </w:divBdr>
        </w:div>
        <w:div w:id="815029377">
          <w:marLeft w:val="432"/>
          <w:marRight w:val="0"/>
          <w:marTop w:val="360"/>
          <w:marBottom w:val="0"/>
          <w:divBdr>
            <w:top w:val="none" w:sz="0" w:space="0" w:color="auto"/>
            <w:left w:val="none" w:sz="0" w:space="0" w:color="auto"/>
            <w:bottom w:val="none" w:sz="0" w:space="0" w:color="auto"/>
            <w:right w:val="none" w:sz="0" w:space="0" w:color="auto"/>
          </w:divBdr>
        </w:div>
        <w:div w:id="1141389681">
          <w:marLeft w:val="432"/>
          <w:marRight w:val="0"/>
          <w:marTop w:val="360"/>
          <w:marBottom w:val="0"/>
          <w:divBdr>
            <w:top w:val="none" w:sz="0" w:space="0" w:color="auto"/>
            <w:left w:val="none" w:sz="0" w:space="0" w:color="auto"/>
            <w:bottom w:val="none" w:sz="0" w:space="0" w:color="auto"/>
            <w:right w:val="none" w:sz="0" w:space="0" w:color="auto"/>
          </w:divBdr>
        </w:div>
        <w:div w:id="1184317688">
          <w:marLeft w:val="432"/>
          <w:marRight w:val="0"/>
          <w:marTop w:val="360"/>
          <w:marBottom w:val="0"/>
          <w:divBdr>
            <w:top w:val="none" w:sz="0" w:space="0" w:color="auto"/>
            <w:left w:val="none" w:sz="0" w:space="0" w:color="auto"/>
            <w:bottom w:val="none" w:sz="0" w:space="0" w:color="auto"/>
            <w:right w:val="none" w:sz="0" w:space="0" w:color="auto"/>
          </w:divBdr>
        </w:div>
        <w:div w:id="1192956333">
          <w:marLeft w:val="432"/>
          <w:marRight w:val="0"/>
          <w:marTop w:val="360"/>
          <w:marBottom w:val="0"/>
          <w:divBdr>
            <w:top w:val="none" w:sz="0" w:space="0" w:color="auto"/>
            <w:left w:val="none" w:sz="0" w:space="0" w:color="auto"/>
            <w:bottom w:val="none" w:sz="0" w:space="0" w:color="auto"/>
            <w:right w:val="none" w:sz="0" w:space="0" w:color="auto"/>
          </w:divBdr>
        </w:div>
        <w:div w:id="1935242575">
          <w:marLeft w:val="432"/>
          <w:marRight w:val="0"/>
          <w:marTop w:val="360"/>
          <w:marBottom w:val="0"/>
          <w:divBdr>
            <w:top w:val="none" w:sz="0" w:space="0" w:color="auto"/>
            <w:left w:val="none" w:sz="0" w:space="0" w:color="auto"/>
            <w:bottom w:val="none" w:sz="0" w:space="0" w:color="auto"/>
            <w:right w:val="none" w:sz="0" w:space="0" w:color="auto"/>
          </w:divBdr>
        </w:div>
        <w:div w:id="2053572526">
          <w:marLeft w:val="432"/>
          <w:marRight w:val="0"/>
          <w:marTop w:val="360"/>
          <w:marBottom w:val="0"/>
          <w:divBdr>
            <w:top w:val="none" w:sz="0" w:space="0" w:color="auto"/>
            <w:left w:val="none" w:sz="0" w:space="0" w:color="auto"/>
            <w:bottom w:val="none" w:sz="0" w:space="0" w:color="auto"/>
            <w:right w:val="none" w:sz="0" w:space="0" w:color="auto"/>
          </w:divBdr>
        </w:div>
        <w:div w:id="2081444660">
          <w:marLeft w:val="432"/>
          <w:marRight w:val="0"/>
          <w:marTop w:val="360"/>
          <w:marBottom w:val="0"/>
          <w:divBdr>
            <w:top w:val="none" w:sz="0" w:space="0" w:color="auto"/>
            <w:left w:val="none" w:sz="0" w:space="0" w:color="auto"/>
            <w:bottom w:val="none" w:sz="0" w:space="0" w:color="auto"/>
            <w:right w:val="none" w:sz="0" w:space="0" w:color="auto"/>
          </w:divBdr>
        </w:div>
      </w:divsChild>
    </w:div>
    <w:div w:id="1803889843">
      <w:bodyDiv w:val="1"/>
      <w:marLeft w:val="0"/>
      <w:marRight w:val="0"/>
      <w:marTop w:val="0"/>
      <w:marBottom w:val="0"/>
      <w:divBdr>
        <w:top w:val="none" w:sz="0" w:space="0" w:color="auto"/>
        <w:left w:val="none" w:sz="0" w:space="0" w:color="auto"/>
        <w:bottom w:val="none" w:sz="0" w:space="0" w:color="auto"/>
        <w:right w:val="none" w:sz="0" w:space="0" w:color="auto"/>
      </w:divBdr>
    </w:div>
    <w:div w:id="1829512106">
      <w:bodyDiv w:val="1"/>
      <w:marLeft w:val="0"/>
      <w:marRight w:val="0"/>
      <w:marTop w:val="0"/>
      <w:marBottom w:val="0"/>
      <w:divBdr>
        <w:top w:val="none" w:sz="0" w:space="0" w:color="auto"/>
        <w:left w:val="none" w:sz="0" w:space="0" w:color="auto"/>
        <w:bottom w:val="none" w:sz="0" w:space="0" w:color="auto"/>
        <w:right w:val="none" w:sz="0" w:space="0" w:color="auto"/>
      </w:divBdr>
    </w:div>
    <w:div w:id="1854831958">
      <w:bodyDiv w:val="1"/>
      <w:marLeft w:val="0"/>
      <w:marRight w:val="0"/>
      <w:marTop w:val="0"/>
      <w:marBottom w:val="0"/>
      <w:divBdr>
        <w:top w:val="none" w:sz="0" w:space="0" w:color="auto"/>
        <w:left w:val="none" w:sz="0" w:space="0" w:color="auto"/>
        <w:bottom w:val="none" w:sz="0" w:space="0" w:color="auto"/>
        <w:right w:val="none" w:sz="0" w:space="0" w:color="auto"/>
      </w:divBdr>
    </w:div>
    <w:div w:id="1952661622">
      <w:bodyDiv w:val="1"/>
      <w:marLeft w:val="0"/>
      <w:marRight w:val="0"/>
      <w:marTop w:val="0"/>
      <w:marBottom w:val="0"/>
      <w:divBdr>
        <w:top w:val="none" w:sz="0" w:space="0" w:color="auto"/>
        <w:left w:val="none" w:sz="0" w:space="0" w:color="auto"/>
        <w:bottom w:val="none" w:sz="0" w:space="0" w:color="auto"/>
        <w:right w:val="none" w:sz="0" w:space="0" w:color="auto"/>
      </w:divBdr>
    </w:div>
    <w:div w:id="2112234508">
      <w:bodyDiv w:val="1"/>
      <w:marLeft w:val="0"/>
      <w:marRight w:val="0"/>
      <w:marTop w:val="0"/>
      <w:marBottom w:val="0"/>
      <w:divBdr>
        <w:top w:val="none" w:sz="0" w:space="0" w:color="auto"/>
        <w:left w:val="none" w:sz="0" w:space="0" w:color="auto"/>
        <w:bottom w:val="none" w:sz="0" w:space="0" w:color="auto"/>
        <w:right w:val="none" w:sz="0" w:space="0" w:color="auto"/>
      </w:divBdr>
      <w:divsChild>
        <w:div w:id="344482562">
          <w:marLeft w:val="432"/>
          <w:marRight w:val="0"/>
          <w:marTop w:val="360"/>
          <w:marBottom w:val="0"/>
          <w:divBdr>
            <w:top w:val="none" w:sz="0" w:space="0" w:color="auto"/>
            <w:left w:val="none" w:sz="0" w:space="0" w:color="auto"/>
            <w:bottom w:val="none" w:sz="0" w:space="0" w:color="auto"/>
            <w:right w:val="none" w:sz="0" w:space="0" w:color="auto"/>
          </w:divBdr>
        </w:div>
        <w:div w:id="720716163">
          <w:marLeft w:val="432"/>
          <w:marRight w:val="0"/>
          <w:marTop w:val="360"/>
          <w:marBottom w:val="0"/>
          <w:divBdr>
            <w:top w:val="none" w:sz="0" w:space="0" w:color="auto"/>
            <w:left w:val="none" w:sz="0" w:space="0" w:color="auto"/>
            <w:bottom w:val="none" w:sz="0" w:space="0" w:color="auto"/>
            <w:right w:val="none" w:sz="0" w:space="0" w:color="auto"/>
          </w:divBdr>
        </w:div>
        <w:div w:id="729184459">
          <w:marLeft w:val="432"/>
          <w:marRight w:val="0"/>
          <w:marTop w:val="360"/>
          <w:marBottom w:val="0"/>
          <w:divBdr>
            <w:top w:val="none" w:sz="0" w:space="0" w:color="auto"/>
            <w:left w:val="none" w:sz="0" w:space="0" w:color="auto"/>
            <w:bottom w:val="none" w:sz="0" w:space="0" w:color="auto"/>
            <w:right w:val="none" w:sz="0" w:space="0" w:color="auto"/>
          </w:divBdr>
        </w:div>
        <w:div w:id="1330019163">
          <w:marLeft w:val="432"/>
          <w:marRight w:val="0"/>
          <w:marTop w:val="360"/>
          <w:marBottom w:val="0"/>
          <w:divBdr>
            <w:top w:val="none" w:sz="0" w:space="0" w:color="auto"/>
            <w:left w:val="none" w:sz="0" w:space="0" w:color="auto"/>
            <w:bottom w:val="none" w:sz="0" w:space="0" w:color="auto"/>
            <w:right w:val="none" w:sz="0" w:space="0" w:color="auto"/>
          </w:divBdr>
        </w:div>
        <w:div w:id="1454714724">
          <w:marLeft w:val="432"/>
          <w:marRight w:val="0"/>
          <w:marTop w:val="360"/>
          <w:marBottom w:val="0"/>
          <w:divBdr>
            <w:top w:val="none" w:sz="0" w:space="0" w:color="auto"/>
            <w:left w:val="none" w:sz="0" w:space="0" w:color="auto"/>
            <w:bottom w:val="none" w:sz="0" w:space="0" w:color="auto"/>
            <w:right w:val="none" w:sz="0" w:space="0" w:color="auto"/>
          </w:divBdr>
        </w:div>
        <w:div w:id="1487935427">
          <w:marLeft w:val="432"/>
          <w:marRight w:val="0"/>
          <w:marTop w:val="360"/>
          <w:marBottom w:val="0"/>
          <w:divBdr>
            <w:top w:val="none" w:sz="0" w:space="0" w:color="auto"/>
            <w:left w:val="none" w:sz="0" w:space="0" w:color="auto"/>
            <w:bottom w:val="none" w:sz="0" w:space="0" w:color="auto"/>
            <w:right w:val="none" w:sz="0" w:space="0" w:color="auto"/>
          </w:divBdr>
        </w:div>
        <w:div w:id="1981231062">
          <w:marLeft w:val="432"/>
          <w:marRight w:val="0"/>
          <w:marTop w:val="360"/>
          <w:marBottom w:val="0"/>
          <w:divBdr>
            <w:top w:val="none" w:sz="0" w:space="0" w:color="auto"/>
            <w:left w:val="none" w:sz="0" w:space="0" w:color="auto"/>
            <w:bottom w:val="none" w:sz="0" w:space="0" w:color="auto"/>
            <w:right w:val="none" w:sz="0" w:space="0" w:color="auto"/>
          </w:divBdr>
        </w:div>
        <w:div w:id="2070574271">
          <w:marLeft w:val="432"/>
          <w:marRight w:val="0"/>
          <w:marTop w:val="360"/>
          <w:marBottom w:val="0"/>
          <w:divBdr>
            <w:top w:val="none" w:sz="0" w:space="0" w:color="auto"/>
            <w:left w:val="none" w:sz="0" w:space="0" w:color="auto"/>
            <w:bottom w:val="none" w:sz="0" w:space="0" w:color="auto"/>
            <w:right w:val="none" w:sz="0" w:space="0" w:color="auto"/>
          </w:divBdr>
        </w:div>
      </w:divsChild>
    </w:div>
    <w:div w:id="2139257102">
      <w:bodyDiv w:val="1"/>
      <w:marLeft w:val="0"/>
      <w:marRight w:val="0"/>
      <w:marTop w:val="0"/>
      <w:marBottom w:val="0"/>
      <w:divBdr>
        <w:top w:val="none" w:sz="0" w:space="0" w:color="auto"/>
        <w:left w:val="none" w:sz="0" w:space="0" w:color="auto"/>
        <w:bottom w:val="none" w:sz="0" w:space="0" w:color="auto"/>
        <w:right w:val="none" w:sz="0" w:space="0" w:color="auto"/>
      </w:divBdr>
      <w:divsChild>
        <w:div w:id="235558496">
          <w:marLeft w:val="0"/>
          <w:marRight w:val="0"/>
          <w:marTop w:val="0"/>
          <w:marBottom w:val="0"/>
          <w:divBdr>
            <w:top w:val="none" w:sz="0" w:space="0" w:color="auto"/>
            <w:left w:val="none" w:sz="0" w:space="0" w:color="auto"/>
            <w:bottom w:val="none" w:sz="0" w:space="0" w:color="auto"/>
            <w:right w:val="none" w:sz="0" w:space="0" w:color="auto"/>
          </w:divBdr>
          <w:divsChild>
            <w:div w:id="442189616">
              <w:marLeft w:val="0"/>
              <w:marRight w:val="0"/>
              <w:marTop w:val="0"/>
              <w:marBottom w:val="0"/>
              <w:divBdr>
                <w:top w:val="none" w:sz="0" w:space="0" w:color="auto"/>
                <w:left w:val="none" w:sz="0" w:space="0" w:color="auto"/>
                <w:bottom w:val="none" w:sz="0" w:space="0" w:color="auto"/>
                <w:right w:val="none" w:sz="0" w:space="0" w:color="auto"/>
              </w:divBdr>
            </w:div>
          </w:divsChild>
        </w:div>
        <w:div w:id="1230456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AEF24-04C1-4B4C-84CE-B12499B6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14834</Words>
  <Characters>81593</Characters>
  <Application>Microsoft Office Word</Application>
  <DocSecurity>0</DocSecurity>
  <Lines>679</Lines>
  <Paragraphs>192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Development Results.</Company>
  <LinksUpToDate>false</LinksUpToDate>
  <CharactersWithSpaces>96235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CCollin</dc:creator>
  <cp:keywords/>
  <dc:description/>
  <cp:lastModifiedBy>Pascal Mukanya Mufuta</cp:lastModifiedBy>
  <cp:revision>2</cp:revision>
  <cp:lastPrinted>2016-11-14T13:54:00Z</cp:lastPrinted>
  <dcterms:created xsi:type="dcterms:W3CDTF">2018-11-19T12:51:00Z</dcterms:created>
  <dcterms:modified xsi:type="dcterms:W3CDTF">2018-11-19T12:51:00Z</dcterms:modified>
</cp:coreProperties>
</file>