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40878234"/>
        <w:docPartObj>
          <w:docPartGallery w:val="Cover Pages"/>
          <w:docPartUnique/>
        </w:docPartObj>
      </w:sdtPr>
      <w:sdtEndPr>
        <w:rPr>
          <w:b/>
        </w:rPr>
      </w:sdtEndPr>
      <w:sdtContent>
        <w:p w14:paraId="3E368AFA" w14:textId="76B42A95" w:rsidR="00700E46" w:rsidRDefault="00700E46"/>
        <w:p w14:paraId="007ACB13" w14:textId="14054382" w:rsidR="00700E46" w:rsidRDefault="00701625">
          <w:pPr>
            <w:rPr>
              <w:b/>
            </w:rPr>
          </w:pPr>
          <w:r>
            <w:rPr>
              <w:noProof/>
              <w:lang w:eastAsia="es-PE"/>
            </w:rPr>
            <mc:AlternateContent>
              <mc:Choice Requires="wps">
                <w:drawing>
                  <wp:anchor distT="0" distB="0" distL="114300" distR="114300" simplePos="0" relativeHeight="251663360" behindDoc="0" locked="0" layoutInCell="1" allowOverlap="1" wp14:anchorId="7ABAD007" wp14:editId="1074BE36">
                    <wp:simplePos x="0" y="0"/>
                    <wp:positionH relativeFrom="column">
                      <wp:posOffset>443865</wp:posOffset>
                    </wp:positionH>
                    <wp:positionV relativeFrom="paragraph">
                      <wp:posOffset>7386320</wp:posOffset>
                    </wp:positionV>
                    <wp:extent cx="3400425" cy="3810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340042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2B75F" w14:textId="59F5DFA8" w:rsidR="00C05EC8" w:rsidRPr="00701625" w:rsidRDefault="00C05EC8" w:rsidP="00701625">
                                <w:pPr>
                                  <w:rPr>
                                    <w:color w:val="44546A" w:themeColor="text2"/>
                                    <w:sz w:val="28"/>
                                    <w:szCs w:val="28"/>
                                  </w:rPr>
                                </w:pPr>
                                <w:r>
                                  <w:rPr>
                                    <w:color w:val="44546A" w:themeColor="text2"/>
                                    <w:sz w:val="28"/>
                                    <w:szCs w:val="28"/>
                                  </w:rPr>
                                  <w:t>31</w:t>
                                </w:r>
                                <w:r w:rsidRPr="00701625">
                                  <w:rPr>
                                    <w:color w:val="44546A" w:themeColor="text2"/>
                                    <w:sz w:val="28"/>
                                    <w:szCs w:val="28"/>
                                  </w:rPr>
                                  <w:t xml:space="preserve"> DE AGOSTO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AD007" id="_x0000_t202" coordsize="21600,21600" o:spt="202" path="m,l,21600r21600,l21600,xe">
                    <v:stroke joinstyle="miter"/>
                    <v:path gradientshapeok="t" o:connecttype="rect"/>
                  </v:shapetype>
                  <v:shape id="Cuadro de texto 1" o:spid="_x0000_s1026" type="#_x0000_t202" style="position:absolute;margin-left:34.95pt;margin-top:581.6pt;width:267.7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HtajwIAAJEFAAAOAAAAZHJzL2Uyb0RvYy54bWysVEtv2zAMvg/YfxB0X+w82nVBnSJL0WFA&#10;0RZLh54VWWqESaImKbGzXz9Kdh7reumwi02JH0nx4+PyqjWabIUPCmxFh4OSEmE51Mo+V/T7482H&#10;C0pCZLZmGqyo6E4EejV7/+6ycVMxgjXoWniCTmyYNq6i6xjdtCgCXwvDwgCcsKiU4A2LePTPRe1Z&#10;g96NLkZleV404GvngYsQ8Pa6U9JZ9i+l4PFeyiAi0RXFt8X89fm7St9idsmmz565teL9M9g/vMIw&#10;ZTHowdU1i4xsvPrLlVHcQwAZBxxMAVIqLnIOmM2wfJHNcs2cyLkgOcEdaAr/zy2/2z54omqsHSWW&#10;GSzRYsNqD6QWJIo2AhkmkhoXpohdOkTH9jO0yaC/D3iZcm+lN+mPWRHUI927A8XoiXC8HE/KcjI6&#10;o4SjbnwxLMtcg+Jo7XyIXwQYkoSKeixhZpZtb0PEiAjdQ1KwAFrVN0rrfEhtIxbaky3DguuY34gW&#10;f6C0JU1Fz8dnZXZsIZl3nrVNbkRunD5cyrzLMEtxp0XCaPtNSCQuJ/pKbMa5sIf4GZ1QEkO9xbDH&#10;H1/1FuMuD7TIkcHGg7FRFnzOPk/akbL6x54y2eGR8JO8kxjbVdtXfgX1DhvCQzdXwfEbhVW7ZSE+&#10;MI+DhD2AyyHe40dqQNahlyhZg//12n3CY3+jlpIGB7Oi4eeGeUGJ/mqx8z8NJ5M0yfkwOfs4woM/&#10;1axONXZjFoCtgN2Nr8tiwke9F6UH84Q7ZJ6ioopZjrErGvfiInbrAncQF/N5BuHsOhZv7dLx5DrR&#10;m3rysX1i3vWNm4bnDvYjzKYv+rfDJksL800EqXJzJ4I7Vnvice5zz/c7Ki2W03NGHTfp7DcAAAD/&#10;/wMAUEsDBBQABgAIAAAAIQBusDUo4gAAAAwBAAAPAAAAZHJzL2Rvd25yZXYueG1sTI9NT4NAEIbv&#10;Jv6HzZh4MXYpWGqRpTHGj8SbpWq8bdkRiOwsYbeA/97xpMd55s07z+Tb2XZixMG3jhQsFxEIpMqZ&#10;lmoF+/Lh8hqED5qM7hyhgm/0sC1OT3KdGTfRC467UAsuIZ9pBU0IfSalrxq02i9cj8S7TzdYHXgc&#10;amkGPXG57WQcRam0uiW+0Oge7xqsvnZHq+Djon5/9vPj65Sskv7+aSzXb6ZU6vxsvr0BEXAOf2H4&#10;1Wd1KNjp4I5kvOgUpJsNJ5kv0yQGwYk0Wl2BODCKY0ayyOX/J4ofAAAA//8DAFBLAQItABQABgAI&#10;AAAAIQC2gziS/gAAAOEBAAATAAAAAAAAAAAAAAAAAAAAAABbQ29udGVudF9UeXBlc10ueG1sUEsB&#10;Ai0AFAAGAAgAAAAhADj9If/WAAAAlAEAAAsAAAAAAAAAAAAAAAAALwEAAF9yZWxzLy5yZWxzUEsB&#10;Ai0AFAAGAAgAAAAhAJPYe1qPAgAAkQUAAA4AAAAAAAAAAAAAAAAALgIAAGRycy9lMm9Eb2MueG1s&#10;UEsBAi0AFAAGAAgAAAAhAG6wNSjiAAAADAEAAA8AAAAAAAAAAAAAAAAA6QQAAGRycy9kb3ducmV2&#10;LnhtbFBLBQYAAAAABAAEAPMAAAD4BQAAAAA=&#10;" fillcolor="white [3201]" stroked="f" strokeweight=".5pt">
                    <v:textbox>
                      <w:txbxContent>
                        <w:p w14:paraId="2C92B75F" w14:textId="59F5DFA8" w:rsidR="00C05EC8" w:rsidRPr="00701625" w:rsidRDefault="00C05EC8" w:rsidP="00701625">
                          <w:pPr>
                            <w:rPr>
                              <w:color w:val="44546A" w:themeColor="text2"/>
                              <w:sz w:val="28"/>
                              <w:szCs w:val="28"/>
                            </w:rPr>
                          </w:pPr>
                          <w:r>
                            <w:rPr>
                              <w:color w:val="44546A" w:themeColor="text2"/>
                              <w:sz w:val="28"/>
                              <w:szCs w:val="28"/>
                            </w:rPr>
                            <w:t>31</w:t>
                          </w:r>
                          <w:r w:rsidRPr="00701625">
                            <w:rPr>
                              <w:color w:val="44546A" w:themeColor="text2"/>
                              <w:sz w:val="28"/>
                              <w:szCs w:val="28"/>
                            </w:rPr>
                            <w:t xml:space="preserve"> DE AGOSTO DE 2018</w:t>
                          </w:r>
                        </w:p>
                      </w:txbxContent>
                    </v:textbox>
                  </v:shape>
                </w:pict>
              </mc:Fallback>
            </mc:AlternateContent>
          </w:r>
          <w:r>
            <w:rPr>
              <w:noProof/>
              <w:lang w:eastAsia="es-PE"/>
            </w:rPr>
            <mc:AlternateContent>
              <mc:Choice Requires="wps">
                <w:drawing>
                  <wp:anchor distT="0" distB="0" distL="114300" distR="114300" simplePos="0" relativeHeight="251661312" behindDoc="0" locked="0" layoutInCell="1" allowOverlap="1" wp14:anchorId="2B13E5C0" wp14:editId="1AD5B278">
                    <wp:simplePos x="0" y="0"/>
                    <wp:positionH relativeFrom="margin">
                      <wp:align>center</wp:align>
                    </wp:positionH>
                    <wp:positionV relativeFrom="page">
                      <wp:posOffset>8084820</wp:posOffset>
                    </wp:positionV>
                    <wp:extent cx="5753100" cy="484632"/>
                    <wp:effectExtent l="0" t="0" r="0" b="0"/>
                    <wp:wrapSquare wrapText="bothSides"/>
                    <wp:docPr id="129" name="Cuadro de texto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BAF29" w14:textId="2501C827" w:rsidR="00C05EC8" w:rsidRPr="00107660" w:rsidRDefault="00C05EC8">
                                <w:pPr>
                                  <w:pStyle w:val="NoSpacing"/>
                                  <w:spacing w:before="40" w:after="40"/>
                                  <w:rPr>
                                    <w:rFonts w:asciiTheme="majorHAnsi" w:hAnsiTheme="majorHAnsi" w:cstheme="majorHAnsi"/>
                                    <w:b/>
                                    <w:caps/>
                                    <w:color w:val="44546A" w:themeColor="text2"/>
                                    <w:sz w:val="28"/>
                                    <w:szCs w:val="28"/>
                                  </w:rPr>
                                </w:pPr>
                                <w:r w:rsidRPr="00107660">
                                  <w:rPr>
                                    <w:rFonts w:asciiTheme="majorHAnsi" w:hAnsiTheme="majorHAnsi" w:cstheme="majorHAnsi"/>
                                    <w:b/>
                                    <w:caps/>
                                    <w:color w:val="44546A" w:themeColor="text2"/>
                                    <w:sz w:val="28"/>
                                    <w:szCs w:val="28"/>
                                  </w:rPr>
                                  <w:t>pRODUCTO 3: iNFORME final</w:t>
                                </w:r>
                              </w:p>
                              <w:sdt>
                                <w:sdtPr>
                                  <w:rPr>
                                    <w:rFonts w:asciiTheme="majorHAnsi" w:hAnsiTheme="majorHAnsi" w:cstheme="majorHAnsi"/>
                                    <w:b/>
                                    <w:caps/>
                                    <w:color w:val="44546A" w:themeColor="text2"/>
                                    <w:sz w:val="28"/>
                                    <w:szCs w:val="28"/>
                                  </w:rPr>
                                  <w:alias w:val="Aut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76AB84B1" w14:textId="428403B7" w:rsidR="00C05EC8" w:rsidRPr="00107660" w:rsidRDefault="00C05EC8">
                                    <w:pPr>
                                      <w:pStyle w:val="NoSpacing"/>
                                      <w:spacing w:before="40" w:after="40"/>
                                      <w:rPr>
                                        <w:rFonts w:asciiTheme="majorHAnsi" w:hAnsiTheme="majorHAnsi" w:cstheme="majorHAnsi"/>
                                        <w:b/>
                                        <w:caps/>
                                        <w:color w:val="44546A" w:themeColor="text2"/>
                                        <w:sz w:val="32"/>
                                        <w:szCs w:val="32"/>
                                      </w:rPr>
                                    </w:pPr>
                                    <w:r w:rsidRPr="00701625">
                                      <w:rPr>
                                        <w:rFonts w:asciiTheme="majorHAnsi" w:hAnsiTheme="majorHAnsi" w:cstheme="majorHAnsi"/>
                                        <w:b/>
                                        <w:caps/>
                                        <w:color w:val="44546A" w:themeColor="text2"/>
                                        <w:sz w:val="28"/>
                                        <w:szCs w:val="28"/>
                                      </w:rPr>
                                      <w:t>MARÍA ISABEL REMY (CONTRATO IC-084-2018)</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2B13E5C0" id="Cuadro de texto 129" o:spid="_x0000_s1027" type="#_x0000_t202" style="position:absolute;margin-left:0;margin-top:636.6pt;width:453pt;height:38.15pt;z-index:251661312;visibility:visible;mso-wrap-style:square;mso-width-percent:1154;mso-height-percent:0;mso-wrap-distance-left:9pt;mso-wrap-distance-top:0;mso-wrap-distance-right:9pt;mso-wrap-distance-bottom:0;mso-position-horizontal:center;mso-position-horizontal-relative:margin;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a7igIAAG8FAAAOAAAAZHJzL2Uyb0RvYy54bWysVE1v2zAMvQ/YfxB0X+2kaZsGcYosRYcB&#10;RVusHXpWZKkxJouaxMTOfv0o2U6LbJcOu9iU+Ejx45Hzq7Y2bKd8qMAWfHSSc6ashLKyLwX//nTz&#10;acpZQGFLYcCqgu9V4FeLjx/mjZupMWzAlMozcmLDrHEF3yC6WZYFuVG1CCfglCWlBl8LpKN/yUov&#10;GvJem2yc5+dZA750HqQKgW6vOyVfJP9aK4n3WgeFzBScYsP09em7jt9sMRezFy/cppJ9GOIfoqhF&#10;ZenRg6trgYJtffWHq7qSHgJoPJFQZ6B1JVXKgbIZ5UfZPG6EUykXKk5whzKF/+dW3u0ePKtK6t34&#10;kjMramrSaitKD6xUDFWLwKKKCtW4MCP8oyMLbD9DS0bDfaDLmH+rfR3/lBkjPZV8fygz+WKSLs8u&#10;zk5HOakk6SbTyfnpOLrJXq2dD/hFQc2iUHBPbUzVFbvbgB10gMTHLNxUxqRWGsuagp+fnuXJ4KAh&#10;58ZGrEqk6N3EjLrIk4R7oyLG2G9KU1FSAvEi0VGtjGc7QUQSUiqLKffkl9ARpSmI9xj2+Neo3mPc&#10;5TG8DBYPxnVlwafsj8Iufwwh6w5PNX+TdxSxXbcdG4bGrqHcU789dKMTnLypqCm3IuCD8DQr1Eea&#10;f7ynjzZAxYde4mwD/tff7iOeKExazhqavYKHn1vhFWfmqyVyX44mk8gPTCcSfBJG+eXFeErH9XBv&#10;t/UKqCEjWjJOJjGi0Qyi9lA/04ZYxgdJJaykZwuOg7jCbhnQhpFquUwgmkwn8NY+Ohldx/5Etj21&#10;z8K7npJxMO5gGFAxO2Jmh03UccstEj8TbWOJu4L2paepTsTvN1BcG2/PCfW6Jxe/AQAA//8DAFBL&#10;AwQUAAYACAAAACEAnIVXHN4AAAAKAQAADwAAAGRycy9kb3ducmV2LnhtbEyPwU7DMBBE70j8g7VI&#10;3KhDCoWGOFWFlAsSEi0c6M2NlyTCXkdZtw18PcsJjvtmNDtTrqbg1RFH7iMZuJ5loJCa6HpqDby9&#10;1lf3oDhZctZHQgNfyLCqzs9KW7h4og0et6lVEkJcWANdSkOhNTcdBsuzOCCJ9hHHYJOcY6vdaE8S&#10;HrzOs2yhg+1JPnR2wMcOm8/tIRh45l2dbOTvF36vcbf2/RPlvTGXF9P6AVTCKf2Z4be+VIdKOu3j&#10;gRwrb0CGJKH53TwHJfoyWwjaC5rfLG9BV6X+P6H6AQAA//8DAFBLAQItABQABgAIAAAAIQC2gziS&#10;/gAAAOEBAAATAAAAAAAAAAAAAAAAAAAAAABbQ29udGVudF9UeXBlc10ueG1sUEsBAi0AFAAGAAgA&#10;AAAhADj9If/WAAAAlAEAAAsAAAAAAAAAAAAAAAAALwEAAF9yZWxzLy5yZWxzUEsBAi0AFAAGAAgA&#10;AAAhAGgR9ruKAgAAbwUAAA4AAAAAAAAAAAAAAAAALgIAAGRycy9lMm9Eb2MueG1sUEsBAi0AFAAG&#10;AAgAAAAhAJyFVxzeAAAACgEAAA8AAAAAAAAAAAAAAAAA5AQAAGRycy9kb3ducmV2LnhtbFBLBQYA&#10;AAAABAAEAPMAAADvBQAAAAA=&#10;" filled="f" stroked="f" strokeweight=".5pt">
                    <v:textbox style="mso-fit-shape-to-text:t" inset="1in,0,86.4pt,0">
                      <w:txbxContent>
                        <w:p w14:paraId="12EBAF29" w14:textId="2501C827" w:rsidR="00C05EC8" w:rsidRPr="00107660" w:rsidRDefault="00C05EC8">
                          <w:pPr>
                            <w:pStyle w:val="NoSpacing"/>
                            <w:spacing w:before="40" w:after="40"/>
                            <w:rPr>
                              <w:rFonts w:asciiTheme="majorHAnsi" w:hAnsiTheme="majorHAnsi" w:cstheme="majorHAnsi"/>
                              <w:b/>
                              <w:caps/>
                              <w:color w:val="44546A" w:themeColor="text2"/>
                              <w:sz w:val="28"/>
                              <w:szCs w:val="28"/>
                            </w:rPr>
                          </w:pPr>
                          <w:r w:rsidRPr="00107660">
                            <w:rPr>
                              <w:rFonts w:asciiTheme="majorHAnsi" w:hAnsiTheme="majorHAnsi" w:cstheme="majorHAnsi"/>
                              <w:b/>
                              <w:caps/>
                              <w:color w:val="44546A" w:themeColor="text2"/>
                              <w:sz w:val="28"/>
                              <w:szCs w:val="28"/>
                            </w:rPr>
                            <w:t>pRODUCTO 3: iNFORME final</w:t>
                          </w:r>
                        </w:p>
                        <w:sdt>
                          <w:sdtPr>
                            <w:rPr>
                              <w:rFonts w:asciiTheme="majorHAnsi" w:hAnsiTheme="majorHAnsi" w:cstheme="majorHAnsi"/>
                              <w:b/>
                              <w:caps/>
                              <w:color w:val="44546A" w:themeColor="text2"/>
                              <w:sz w:val="28"/>
                              <w:szCs w:val="28"/>
                            </w:rPr>
                            <w:alias w:val="Aut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76AB84B1" w14:textId="428403B7" w:rsidR="00C05EC8" w:rsidRPr="00107660" w:rsidRDefault="00C05EC8">
                              <w:pPr>
                                <w:pStyle w:val="NoSpacing"/>
                                <w:spacing w:before="40" w:after="40"/>
                                <w:rPr>
                                  <w:rFonts w:asciiTheme="majorHAnsi" w:hAnsiTheme="majorHAnsi" w:cstheme="majorHAnsi"/>
                                  <w:b/>
                                  <w:caps/>
                                  <w:color w:val="44546A" w:themeColor="text2"/>
                                  <w:sz w:val="32"/>
                                  <w:szCs w:val="32"/>
                                </w:rPr>
                              </w:pPr>
                              <w:r w:rsidRPr="00701625">
                                <w:rPr>
                                  <w:rFonts w:asciiTheme="majorHAnsi" w:hAnsiTheme="majorHAnsi" w:cstheme="majorHAnsi"/>
                                  <w:b/>
                                  <w:caps/>
                                  <w:color w:val="44546A" w:themeColor="text2"/>
                                  <w:sz w:val="28"/>
                                  <w:szCs w:val="28"/>
                                </w:rPr>
                                <w:t>MARÍA ISABEL REMY (CONTRATO IC-084-2018)</w:t>
                              </w:r>
                            </w:p>
                          </w:sdtContent>
                        </w:sdt>
                      </w:txbxContent>
                    </v:textbox>
                    <w10:wrap type="square" anchorx="margin" anchory="page"/>
                  </v:shape>
                </w:pict>
              </mc:Fallback>
            </mc:AlternateContent>
          </w:r>
          <w:r w:rsidR="00700E46">
            <w:rPr>
              <w:noProof/>
              <w:lang w:eastAsia="es-PE"/>
            </w:rPr>
            <mc:AlternateContent>
              <mc:Choice Requires="wpg">
                <w:drawing>
                  <wp:anchor distT="0" distB="0" distL="114300" distR="114300" simplePos="0" relativeHeight="251659264" behindDoc="1" locked="0" layoutInCell="1" allowOverlap="1" wp14:anchorId="078E68BC" wp14:editId="1373C72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upo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orma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15665ED5" w14:textId="3468D70F" w:rsidR="00C05EC8" w:rsidRDefault="00C05EC8">
                                  <w:pPr>
                                    <w:rPr>
                                      <w:color w:val="FFFFFF" w:themeColor="background1"/>
                                      <w:sz w:val="72"/>
                                      <w:szCs w:val="72"/>
                                    </w:rPr>
                                  </w:pPr>
                                  <w:sdt>
                                    <w:sdtPr>
                                      <w:rPr>
                                        <w:color w:val="FFFFFF" w:themeColor="background1"/>
                                        <w:sz w:val="48"/>
                                        <w:szCs w:val="48"/>
                                      </w:rPr>
                                      <w:alias w:val="Título"/>
                                      <w:tag w:val=""/>
                                      <w:id w:val="-474217853"/>
                                      <w:dataBinding w:prefixMappings="xmlns:ns0='http://purl.org/dc/elements/1.1/' xmlns:ns1='http://schemas.openxmlformats.org/package/2006/metadata/core-properties' " w:xpath="/ns1:coreProperties[1]/ns0:title[1]" w:storeItemID="{6C3C8BC8-F283-45AE-878A-BAB7291924A1}"/>
                                      <w:text/>
                                    </w:sdtPr>
                                    <w:sdtContent>
                                      <w:r w:rsidRPr="00700E46">
                                        <w:rPr>
                                          <w:color w:val="FFFFFF" w:themeColor="background1"/>
                                          <w:sz w:val="48"/>
                                          <w:szCs w:val="48"/>
                                        </w:rPr>
                                        <w:t>EVALUACIÓN FINAL DEL PROYECTO FORTALECIMIENTO DEL PROCESO DE DESCENTRALIZACIÓN Y MODERNIZACIÓN DEL ESTADO</w:t>
                                      </w:r>
                                    </w:sdtContent>
                                  </w:sdt>
                                </w:p>
                              </w:txbxContent>
                            </wps:txbx>
                            <wps:bodyPr rot="0" vert="horz" wrap="square" lIns="914400" tIns="1097280" rIns="1097280" bIns="1097280" anchor="b" anchorCtr="0" upright="1">
                              <a:noAutofit/>
                            </wps:bodyPr>
                          </wps:wsp>
                          <wps:wsp>
                            <wps:cNvPr id="127" name="Forma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078E68BC" id="Grupo 125" o:spid="_x0000_s1028"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P6AUAAMMUAAAOAAAAZHJzL2Uyb0RvYy54bWzsWNtu4zYQfS/QfyD0WCBrSdbFMjZZ7C1B&#10;gbRddNMPoCXq0pVFlZJjZ4v+e2eGlCwpSuymiz71xSGp4eHcecLXbw7bkt0L1RSyurScV7bFRBXL&#10;pKiyS+u3u+uLlcWallcJL2UlLq0H0Vhvrr7/7vW+XgtX5rJMhGIAUjXrfX1p5W1brxeLJs7Fljev&#10;ZC0q+JhKteUtTFW2SBTfA/q2XLi2HSz2UiW1krFoGlj9oD9aV4SfpiJuf0nTRrSsvLRAt5Z+Ff1u&#10;8Hdx9ZqvM8XrvIiNGvwFWmx5UcGhPdQH3nK2U8UjqG0RK9nItH0Vy+1CpmkRC7IBrHHsiTU3Su5q&#10;siVb77O6dxO4duKnF8PGP99/UqxIIHaub7GKbyFIN2pXS4YL4J59na1B6kbVn+tPStsIw1sZf2lY&#10;Jd/nvMrE26YGVwMI7lhMt+A8O+4/pGqLOGA9O1AoHvpQiEPLYlgMVv7KtiFiMXwL7WC1dFwdrDiH&#10;iD7aF+cfzU7fD5zl0uz0PdvzVmTHgq/1waRer86+hsRrjr5t/p1vP+e8FhSyBr3W+zbofHuNqczK&#10;YqMEcyj/UAMQ7bzbaNdqPw6+oFgDEWCb/U8ygSjxXSsp587xp+/7oe8+4xW+jndNeyMkhYbf3zat&#10;ro0ERhT1xGTHHaCk2xLK5IcFs9mehYBrZDsRZySSsxBCORFxRyKzKMuBSOB5bBbHGwg5znJeH0jt&#10;XuUg8OeRIEa9ENg0jxQOhJ7UCZreaaRoIBQ44bxOkCJnQDln+Bvq54j0hHHO0OP2USOonazLA553&#10;qREfKpMbMGLQBrCKMVVq2WCBYqJA9d7ppgAJdqjw6xPCoB4KL6mDnBKGoKNwV9jPI0NcUTg8CxlC&#10;h8LRWcIYHZQG/2O9ntIaQ0DiIyP1NuNJBW10elcpi8FdtcEjwLe8xQB0Q7aH9oh1nWOb1O7fyntx&#10;J0minTRKOOv4Nd5tivid+PpYFhLbnDYAeG4RbRihjWc1wbiQXWB+4JteoFcD7ZTAXw2PhErWwkEf&#10;49P4AEwH6IYPvqJjvVAnQN+D9DJ5DdXRtp5lQb/HoWTqTjhv+R+dMHJRh//04lnY2jsjkOeXJqgw&#10;xeyjRO/TkGSOF0dJJV7J66IsdUngCly5+vJCOgGj9qEUmJ9l9atIgX0QC8CFJlbZ5n2pmKZo1FEw&#10;+UlpOIo2oGAK+P1ex7aX1HiINgrcf8+B8CVfiDPAPiOOOwWxwn6vLplT5/ab6GxZtf3+Lf9dKqr+&#10;gWU4bA+bAxEr0gFXNjJ5gPtbSc1CgTXDIJfqq8X2wEAvreaPHVfCYuWPFdCQyPE8ZEAtzRw7Ct0V&#10;TNV4uhlPeRUDInYLaMg4fN9qV+5qVWQ5UTS0oZJvgT6kBV7yFB2tnJkAIdKR+g+YEVyomnWOmBE1&#10;VHTat2RGqzBYokeh6qEpROGK+jCkhKGOHrBOu6eOdhTZXfPpKNaLOFJgh8Al4Fc3uKwnUtNbOwim&#10;EtAbeyLhhME8zPDS9pFHPMYZkiS8+2eUGVIkbzWLMiRIru/M44wIUjCLM6RHTzpnSI/ceatG5OhJ&#10;oEfkSLsHusL/nGaGtM1zGmzzPd17CUnBjEOSAs7H/nNkIYYF4Geoy67RH7/PMQnP3PRjmtLVtj+6&#10;nKFsCFmvoh0niQT02sGW7pb3zKJpGlpv002Iu5yFDfajnRO24xsSZBqAxoYSI9k+X09rvgRcokAj&#10;IA/vDTx0tEoRgVW3J8YnHdNtGXGI04sTx8D0JI9oZFkkSCIwWSbX+iZzKId4Wedc3/QQev0fJmD3&#10;0kRURkDz7IQuAMOp8Sqgd5s/I8f17HdudHEdrMIL79rzL6LQXl3YTvQuCmwv8j5c/4V6ON46L5JE&#10;VLdFJbo3JMc77x3BvGbp1x96RUJGH/nw9kKWj9xguBFxGzT4aPJQDB6NqoT+V8gFTz6accuLUo8X&#10;Y43JS2B295ccMSFsL2EuHXHxfKKvmrYQp4F/Z4i0mC/fkLLQ0w68lJEt5lUPn+KGcxgP3x6v/gYA&#10;AP//AwBQSwMEFAAGAAgAAAAhAEjB3GvaAAAABwEAAA8AAABkcnMvZG93bnJldi54bWxMj8FOwzAQ&#10;RO9I/IO1SNyoHZBKFeJUKIgTB0ToBzjxkriN12nstOHv2XKBy2pHs5p9U2wXP4gTTtEF0pCtFAik&#10;NlhHnYbd5+vdBkRMhqwZAqGGb4ywLa+vCpPbcKYPPNWpExxCMTca+pTGXMrY9uhNXIURib2vMHmT&#10;WE6dtJM5c7gf5L1Sa+mNI/7QmxGrHttDPXsNYziGZn+MlX9rX9bvjtzjXFda394sz08gEi7p7xgu&#10;+IwOJTM1YSYbxaCBi6TfefHURrFueMuyhwxkWcj//OUPAAAA//8DAFBLAQItABQABgAIAAAAIQC2&#10;gziS/gAAAOEBAAATAAAAAAAAAAAAAAAAAAAAAABbQ29udGVudF9UeXBlc10ueG1sUEsBAi0AFAAG&#10;AAgAAAAhADj9If/WAAAAlAEAAAsAAAAAAAAAAAAAAAAALwEAAF9yZWxzLy5yZWxzUEsBAi0AFAAG&#10;AAgAAAAhAEj7Jw/oBQAAwxQAAA4AAAAAAAAAAAAAAAAALgIAAGRycy9lMm9Eb2MueG1sUEsBAi0A&#10;FAAGAAgAAAAhAEjB3GvaAAAABwEAAA8AAAAAAAAAAAAAAAAAQggAAGRycy9kb3ducmV2LnhtbFBL&#10;BQYAAAAABAAEAPMAAABJCQAAAAA=&#10;">
                    <o:lock v:ext="edit" aspectratio="t"/>
                    <v:shape id="Forma libre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15665ED5" w14:textId="3468D70F" w:rsidR="00C05EC8" w:rsidRDefault="00C05EC8">
                            <w:pPr>
                              <w:rPr>
                                <w:color w:val="FFFFFF" w:themeColor="background1"/>
                                <w:sz w:val="72"/>
                                <w:szCs w:val="72"/>
                              </w:rPr>
                            </w:pPr>
                            <w:sdt>
                              <w:sdtPr>
                                <w:rPr>
                                  <w:color w:val="FFFFFF" w:themeColor="background1"/>
                                  <w:sz w:val="48"/>
                                  <w:szCs w:val="48"/>
                                </w:rPr>
                                <w:alias w:val="Título"/>
                                <w:tag w:val=""/>
                                <w:id w:val="-474217853"/>
                                <w:dataBinding w:prefixMappings="xmlns:ns0='http://purl.org/dc/elements/1.1/' xmlns:ns1='http://schemas.openxmlformats.org/package/2006/metadata/core-properties' " w:xpath="/ns1:coreProperties[1]/ns0:title[1]" w:storeItemID="{6C3C8BC8-F283-45AE-878A-BAB7291924A1}"/>
                                <w:text/>
                              </w:sdtPr>
                              <w:sdtContent>
                                <w:r w:rsidRPr="00700E46">
                                  <w:rPr>
                                    <w:color w:val="FFFFFF" w:themeColor="background1"/>
                                    <w:sz w:val="48"/>
                                    <w:szCs w:val="48"/>
                                  </w:rPr>
                                  <w:t>EVALUACIÓN FINAL DEL PROYECTO FORTALECIMIENTO DEL PROCESO DE DESCENTRALIZACIÓN Y MODERNIZACIÓN DEL ESTADO</w:t>
                                </w:r>
                              </w:sdtContent>
                            </w:sdt>
                          </w:p>
                        </w:txbxContent>
                      </v:textbox>
                    </v:shape>
                    <v:shape id="Forma libre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700E46">
            <w:rPr>
              <w:noProof/>
              <w:lang w:eastAsia="es-PE"/>
            </w:rPr>
            <mc:AlternateContent>
              <mc:Choice Requires="wps">
                <w:drawing>
                  <wp:anchor distT="0" distB="0" distL="114300" distR="114300" simplePos="0" relativeHeight="251662336" behindDoc="0" locked="0" layoutInCell="1" allowOverlap="1" wp14:anchorId="321FDAD6" wp14:editId="11D456F6">
                    <wp:simplePos x="0" y="0"/>
                    <wp:positionH relativeFrom="page">
                      <wp:align>center</wp:align>
                    </wp:positionH>
                    <wp:positionV relativeFrom="margin">
                      <wp:align>bottom</wp:align>
                    </wp:positionV>
                    <wp:extent cx="5753100" cy="146304"/>
                    <wp:effectExtent l="0" t="0" r="0" b="5715"/>
                    <wp:wrapSquare wrapText="bothSides"/>
                    <wp:docPr id="128" name="Cuadro de texto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100BB" w14:textId="7BD44989" w:rsidR="00C05EC8" w:rsidRDefault="00C05EC8">
                                <w:pPr>
                                  <w:pStyle w:val="NoSpacing"/>
                                  <w:rPr>
                                    <w:color w:val="7F7F7F" w:themeColor="text1" w:themeTint="80"/>
                                    <w:sz w:val="18"/>
                                    <w:szCs w:val="18"/>
                                  </w:rPr>
                                </w:pPr>
                                <w:sdt>
                                  <w:sdtPr>
                                    <w:rPr>
                                      <w:caps/>
                                      <w:color w:val="7F7F7F" w:themeColor="text1" w:themeTint="80"/>
                                      <w:sz w:val="18"/>
                                      <w:szCs w:val="18"/>
                                    </w:rPr>
                                    <w:alias w:val="Compañía"/>
                                    <w:tag w:val=""/>
                                    <w:id w:val="-1880927279"/>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pROGRAMA DE LAS nACIONES uNIDAS PARA EL dESARROLLO</w:t>
                                    </w:r>
                                  </w:sdtContent>
                                </w:sdt>
                                <w:r>
                                  <w:rPr>
                                    <w:caps/>
                                    <w:color w:val="7F7F7F" w:themeColor="text1" w:themeTint="80"/>
                                    <w:sz w:val="18"/>
                                    <w:szCs w:val="18"/>
                                    <w:lang w:val="es-ES"/>
                                  </w:rPr>
                                  <w:t> </w:t>
                                </w:r>
                                <w:r>
                                  <w:rPr>
                                    <w:color w:val="7F7F7F" w:themeColor="text1" w:themeTint="80"/>
                                    <w:sz w:val="18"/>
                                    <w:szCs w:val="18"/>
                                    <w:lang w:val="es-ES"/>
                                  </w:rPr>
                                  <w:t>|</w:t>
                                </w:r>
                                <w:sdt>
                                  <w:sdtPr>
                                    <w:rPr>
                                      <w:color w:val="7F7F7F" w:themeColor="text1" w:themeTint="80"/>
                                      <w:sz w:val="18"/>
                                      <w:szCs w:val="18"/>
                                    </w:rPr>
                                    <w:alias w:val="Dirección"/>
                                    <w:tag w:val=""/>
                                    <w:id w:val="-1023088507"/>
                                    <w:showingPlcHdr/>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 xml:space="preserve">     </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321FDAD6" id="Cuadro de texto 128" o:spid="_x0000_s1031"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3DigIAAG8FAAAOAAAAZHJzL2Uyb0RvYy54bWysVEtv2zAMvg/YfxB0X23n1TaoU2QpMgwI&#10;2mLt0LMiS40xSdQkJXb260fJdlp0u3TYxabEjxQfH3l13WpFDsL5GkxJi7OcEmE4VLV5Lun3x/Wn&#10;C0p8YKZiCowo6VF4er34+OGqsXMxgh2oSjiCToyfN7akuxDsPMs83wnN/BlYYVApwWkW8Oies8qx&#10;Br1rlY3yfJY14CrrgAvv8famU9JF8i+l4OFOSi8CUSXF2EL6uvTdxm+2uGLzZ8fsruZ9GOwfotCs&#10;NvjoydUNC4zsXf2HK11zBx5kOOOgM5Cy5iLlgNkU+ZtsHnbMipQLFsfbU5n8/3PLbw/3jtQV9m6E&#10;rTJMY5NWe1Y5IJUgQbQBSFRhoRrr54h/sGgR2s/QotFw7/Ey5t9Kp+MfMyOox5IfT2VGX4Tj5fR8&#10;Oi5yVHHUFZPZOJ9EN9mLtXU+fBGgSRRK6rCNqbrssPGhgw6Q+JiBda1UaqUypCnpbDzNk8FJg86V&#10;iViRSNG7iRl1kScpHJWIGGW+CYlFSQnEi0RHsVKOHBgSiXEuTEi5J7+IjiiJQbzHsMe/RPUe4y6P&#10;4WUw4WSsawMuZf8m7OrHELLs8FjzV3lHMbTbNrFhPDR2C9UR++2gGx1v+brGpmyYD/fM4axgH3H+&#10;wx1+pAIsPvQSJTtwv/52H/FIYdRS0uDsldT/3DMnKFFfDZL7sphMIj9COqHgklDkl+ejCzxuh3uz&#10;1yvAhhS4ZCxPYkQHNYjSgX7CDbGMD6KKGY7PlnQ7iKvQLQPcMFwslwmEk2lZ2JgHy6Pr2J/Itsf2&#10;iTnbUzIOxi0MA8rmb5jZYRN17HIfkJ+JtrHEXUH70uNUJ+L3GyiujdfnhHrZk4vfAAAA//8DAFBL&#10;AwQUAAYACAAAACEA3h8InNcAAAAEAQAADwAAAGRycy9kb3ducmV2LnhtbEyPwU7DMAyG70i8Q2Qk&#10;bixhkyYoTSeYBBLc2BBntzFNt8YpTbaVt8dwgYulX7/1+XO5mkKvjjSmLrKF65kBRdxE13Fr4W37&#10;eHUDKmVkh31ksvBFCVbV+VmJhYsnfqXjJrdKIJwKtOBzHgqtU+MpYJrFgVi6jzgGzBLHVrsRTwIP&#10;vZ4bs9QBO5YLHgdae2r2m0OwMP+st37x3D416x09vOvuZdQRrb28mO7vQGWa8t8y/OiLOlTiVMcD&#10;u6R6C/JI/p3S3ZqlxFrACwO6KvV/+eobAAD//wMAUEsBAi0AFAAGAAgAAAAhALaDOJL+AAAA4QEA&#10;ABMAAAAAAAAAAAAAAAAAAAAAAFtDb250ZW50X1R5cGVzXS54bWxQSwECLQAUAAYACAAAACEAOP0h&#10;/9YAAACUAQAACwAAAAAAAAAAAAAAAAAvAQAAX3JlbHMvLnJlbHNQSwECLQAUAAYACAAAACEACIr9&#10;w4oCAABvBQAADgAAAAAAAAAAAAAAAAAuAgAAZHJzL2Uyb0RvYy54bWxQSwECLQAUAAYACAAAACEA&#10;3h8InNcAAAAEAQAADwAAAAAAAAAAAAAAAADkBAAAZHJzL2Rvd25yZXYueG1sUEsFBgAAAAAEAAQA&#10;8wAAAOgFAAAAAA==&#10;" filled="f" stroked="f" strokeweight=".5pt">
                    <v:textbox style="mso-fit-shape-to-text:t" inset="1in,0,86.4pt,0">
                      <w:txbxContent>
                        <w:p w14:paraId="1E9100BB" w14:textId="7BD44989" w:rsidR="00C05EC8" w:rsidRDefault="00C05EC8">
                          <w:pPr>
                            <w:pStyle w:val="NoSpacing"/>
                            <w:rPr>
                              <w:color w:val="7F7F7F" w:themeColor="text1" w:themeTint="80"/>
                              <w:sz w:val="18"/>
                              <w:szCs w:val="18"/>
                            </w:rPr>
                          </w:pPr>
                          <w:sdt>
                            <w:sdtPr>
                              <w:rPr>
                                <w:caps/>
                                <w:color w:val="7F7F7F" w:themeColor="text1" w:themeTint="80"/>
                                <w:sz w:val="18"/>
                                <w:szCs w:val="18"/>
                              </w:rPr>
                              <w:alias w:val="Compañía"/>
                              <w:tag w:val=""/>
                              <w:id w:val="-1880927279"/>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pROGRAMA DE LAS nACIONES uNIDAS PARA EL dESARROLLO</w:t>
                              </w:r>
                            </w:sdtContent>
                          </w:sdt>
                          <w:r>
                            <w:rPr>
                              <w:caps/>
                              <w:color w:val="7F7F7F" w:themeColor="text1" w:themeTint="80"/>
                              <w:sz w:val="18"/>
                              <w:szCs w:val="18"/>
                              <w:lang w:val="es-ES"/>
                            </w:rPr>
                            <w:t> </w:t>
                          </w:r>
                          <w:r>
                            <w:rPr>
                              <w:color w:val="7F7F7F" w:themeColor="text1" w:themeTint="80"/>
                              <w:sz w:val="18"/>
                              <w:szCs w:val="18"/>
                              <w:lang w:val="es-ES"/>
                            </w:rPr>
                            <w:t>|</w:t>
                          </w:r>
                          <w:sdt>
                            <w:sdtPr>
                              <w:rPr>
                                <w:color w:val="7F7F7F" w:themeColor="text1" w:themeTint="80"/>
                                <w:sz w:val="18"/>
                                <w:szCs w:val="18"/>
                              </w:rPr>
                              <w:alias w:val="Dirección"/>
                              <w:tag w:val=""/>
                              <w:id w:val="-1023088507"/>
                              <w:showingPlcHdr/>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 xml:space="preserve">     </w:t>
                              </w:r>
                            </w:sdtContent>
                          </w:sdt>
                        </w:p>
                      </w:txbxContent>
                    </v:textbox>
                    <w10:wrap type="square" anchorx="page" anchory="margin"/>
                  </v:shape>
                </w:pict>
              </mc:Fallback>
            </mc:AlternateContent>
          </w:r>
          <w:r w:rsidR="00700E46">
            <w:rPr>
              <w:b/>
            </w:rPr>
            <w:br w:type="page"/>
          </w:r>
        </w:p>
      </w:sdtContent>
    </w:sdt>
    <w:p w14:paraId="73CF9A5D" w14:textId="678F61CB" w:rsidR="003C4221" w:rsidRPr="00515314" w:rsidRDefault="0065356A" w:rsidP="00701625">
      <w:pPr>
        <w:rPr>
          <w:b/>
          <w:sz w:val="24"/>
          <w:szCs w:val="24"/>
        </w:rPr>
      </w:pPr>
      <w:r w:rsidRPr="00515314">
        <w:rPr>
          <w:b/>
          <w:sz w:val="24"/>
          <w:szCs w:val="24"/>
        </w:rPr>
        <w:lastRenderedPageBreak/>
        <w:t>Tabla de contenidos</w:t>
      </w:r>
    </w:p>
    <w:p w14:paraId="7F6962D3" w14:textId="090125FA" w:rsidR="0065356A" w:rsidRDefault="0065356A" w:rsidP="009A37E5">
      <w:pPr>
        <w:jc w:val="both"/>
        <w:rPr>
          <w:b/>
        </w:rPr>
      </w:pPr>
    </w:p>
    <w:sdt>
      <w:sdtPr>
        <w:rPr>
          <w:rFonts w:asciiTheme="minorHAnsi" w:eastAsiaTheme="minorHAnsi" w:hAnsiTheme="minorHAnsi" w:cstheme="minorBidi"/>
          <w:color w:val="auto"/>
          <w:sz w:val="22"/>
          <w:szCs w:val="22"/>
          <w:lang w:val="es-PE"/>
        </w:rPr>
        <w:id w:val="1288546145"/>
        <w:docPartObj>
          <w:docPartGallery w:val="Table of Contents"/>
          <w:docPartUnique/>
        </w:docPartObj>
      </w:sdtPr>
      <w:sdtEndPr>
        <w:rPr>
          <w:bCs/>
          <w:noProof/>
        </w:rPr>
      </w:sdtEndPr>
      <w:sdtContent>
        <w:p w14:paraId="060FDF2A" w14:textId="0C906A5B" w:rsidR="00CF5ACA" w:rsidRDefault="00CF5ACA">
          <w:pPr>
            <w:pStyle w:val="TOCHeading"/>
          </w:pPr>
        </w:p>
        <w:p w14:paraId="25604EB5" w14:textId="77777777" w:rsidR="00515314" w:rsidRDefault="00CF5ACA">
          <w:pPr>
            <w:pStyle w:val="TOC1"/>
            <w:tabs>
              <w:tab w:val="right" w:leader="dot" w:pos="8494"/>
            </w:tabs>
            <w:rPr>
              <w:rFonts w:eastAsiaTheme="minorEastAsia"/>
              <w:noProof/>
              <w:lang w:eastAsia="es-PE"/>
            </w:rPr>
          </w:pPr>
          <w:r w:rsidRPr="009A3727">
            <w:rPr>
              <w:bCs/>
              <w:noProof/>
            </w:rPr>
            <w:fldChar w:fldCharType="begin"/>
          </w:r>
          <w:r w:rsidRPr="009A3727">
            <w:rPr>
              <w:bCs/>
              <w:noProof/>
            </w:rPr>
            <w:instrText xml:space="preserve"> TOC \o "1-3" \h \z \u </w:instrText>
          </w:r>
          <w:r w:rsidRPr="009A3727">
            <w:rPr>
              <w:bCs/>
              <w:noProof/>
            </w:rPr>
            <w:fldChar w:fldCharType="separate"/>
          </w:r>
          <w:hyperlink w:anchor="_Toc523393979" w:history="1">
            <w:r w:rsidR="00515314" w:rsidRPr="001A0720">
              <w:rPr>
                <w:rStyle w:val="Hyperlink"/>
                <w:b/>
                <w:noProof/>
              </w:rPr>
              <w:t>Resumen Ejecutivo</w:t>
            </w:r>
            <w:r w:rsidR="00515314">
              <w:rPr>
                <w:noProof/>
                <w:webHidden/>
              </w:rPr>
              <w:tab/>
            </w:r>
            <w:r w:rsidR="00515314">
              <w:rPr>
                <w:noProof/>
                <w:webHidden/>
              </w:rPr>
              <w:fldChar w:fldCharType="begin"/>
            </w:r>
            <w:r w:rsidR="00515314">
              <w:rPr>
                <w:noProof/>
                <w:webHidden/>
              </w:rPr>
              <w:instrText xml:space="preserve"> PAGEREF _Toc523393979 \h </w:instrText>
            </w:r>
            <w:r w:rsidR="00515314">
              <w:rPr>
                <w:noProof/>
                <w:webHidden/>
              </w:rPr>
            </w:r>
            <w:r w:rsidR="00515314">
              <w:rPr>
                <w:noProof/>
                <w:webHidden/>
              </w:rPr>
              <w:fldChar w:fldCharType="separate"/>
            </w:r>
            <w:r w:rsidR="00515314">
              <w:rPr>
                <w:noProof/>
                <w:webHidden/>
              </w:rPr>
              <w:t>2</w:t>
            </w:r>
            <w:r w:rsidR="00515314">
              <w:rPr>
                <w:noProof/>
                <w:webHidden/>
              </w:rPr>
              <w:fldChar w:fldCharType="end"/>
            </w:r>
          </w:hyperlink>
        </w:p>
        <w:p w14:paraId="7AB847B9" w14:textId="77777777" w:rsidR="00515314" w:rsidRDefault="00C05EC8">
          <w:pPr>
            <w:pStyle w:val="TOC1"/>
            <w:tabs>
              <w:tab w:val="left" w:pos="440"/>
              <w:tab w:val="right" w:leader="dot" w:pos="8494"/>
            </w:tabs>
            <w:rPr>
              <w:rFonts w:eastAsiaTheme="minorEastAsia"/>
              <w:noProof/>
              <w:lang w:eastAsia="es-PE"/>
            </w:rPr>
          </w:pPr>
          <w:hyperlink w:anchor="_Toc523393980" w:history="1">
            <w:r w:rsidR="00515314" w:rsidRPr="001A0720">
              <w:rPr>
                <w:rStyle w:val="Hyperlink"/>
                <w:b/>
                <w:noProof/>
              </w:rPr>
              <w:t>1.</w:t>
            </w:r>
            <w:r w:rsidR="00515314">
              <w:rPr>
                <w:rFonts w:eastAsiaTheme="minorEastAsia"/>
                <w:noProof/>
                <w:lang w:eastAsia="es-PE"/>
              </w:rPr>
              <w:tab/>
            </w:r>
            <w:r w:rsidR="00515314" w:rsidRPr="001A0720">
              <w:rPr>
                <w:rStyle w:val="Hyperlink"/>
                <w:b/>
                <w:noProof/>
              </w:rPr>
              <w:t>Introducción: el contexto político cambiante por el que pasó el proyecto</w:t>
            </w:r>
            <w:r w:rsidR="00515314">
              <w:rPr>
                <w:noProof/>
                <w:webHidden/>
              </w:rPr>
              <w:tab/>
            </w:r>
            <w:r w:rsidR="00515314">
              <w:rPr>
                <w:noProof/>
                <w:webHidden/>
              </w:rPr>
              <w:fldChar w:fldCharType="begin"/>
            </w:r>
            <w:r w:rsidR="00515314">
              <w:rPr>
                <w:noProof/>
                <w:webHidden/>
              </w:rPr>
              <w:instrText xml:space="preserve"> PAGEREF _Toc523393980 \h </w:instrText>
            </w:r>
            <w:r w:rsidR="00515314">
              <w:rPr>
                <w:noProof/>
                <w:webHidden/>
              </w:rPr>
            </w:r>
            <w:r w:rsidR="00515314">
              <w:rPr>
                <w:noProof/>
                <w:webHidden/>
              </w:rPr>
              <w:fldChar w:fldCharType="separate"/>
            </w:r>
            <w:r w:rsidR="00515314">
              <w:rPr>
                <w:noProof/>
                <w:webHidden/>
              </w:rPr>
              <w:t>3</w:t>
            </w:r>
            <w:r w:rsidR="00515314">
              <w:rPr>
                <w:noProof/>
                <w:webHidden/>
              </w:rPr>
              <w:fldChar w:fldCharType="end"/>
            </w:r>
          </w:hyperlink>
        </w:p>
        <w:p w14:paraId="0AA47979" w14:textId="77777777" w:rsidR="00515314" w:rsidRDefault="00C05EC8">
          <w:pPr>
            <w:pStyle w:val="TOC1"/>
            <w:tabs>
              <w:tab w:val="left" w:pos="440"/>
              <w:tab w:val="right" w:leader="dot" w:pos="8494"/>
            </w:tabs>
            <w:rPr>
              <w:rFonts w:eastAsiaTheme="minorEastAsia"/>
              <w:noProof/>
              <w:lang w:eastAsia="es-PE"/>
            </w:rPr>
          </w:pPr>
          <w:hyperlink w:anchor="_Toc523393981" w:history="1">
            <w:r w:rsidR="00515314" w:rsidRPr="001A0720">
              <w:rPr>
                <w:rStyle w:val="Hyperlink"/>
                <w:b/>
                <w:noProof/>
              </w:rPr>
              <w:t>2.</w:t>
            </w:r>
            <w:r w:rsidR="00515314">
              <w:rPr>
                <w:rFonts w:eastAsiaTheme="minorEastAsia"/>
                <w:noProof/>
                <w:lang w:eastAsia="es-PE"/>
              </w:rPr>
              <w:tab/>
            </w:r>
            <w:r w:rsidR="00515314" w:rsidRPr="001A0720">
              <w:rPr>
                <w:rStyle w:val="Hyperlink"/>
                <w:b/>
                <w:noProof/>
              </w:rPr>
              <w:t>Evaluación de indicadores</w:t>
            </w:r>
            <w:r w:rsidR="00515314">
              <w:rPr>
                <w:noProof/>
                <w:webHidden/>
              </w:rPr>
              <w:tab/>
            </w:r>
            <w:r w:rsidR="00515314">
              <w:rPr>
                <w:noProof/>
                <w:webHidden/>
              </w:rPr>
              <w:fldChar w:fldCharType="begin"/>
            </w:r>
            <w:r w:rsidR="00515314">
              <w:rPr>
                <w:noProof/>
                <w:webHidden/>
              </w:rPr>
              <w:instrText xml:space="preserve"> PAGEREF _Toc523393981 \h </w:instrText>
            </w:r>
            <w:r w:rsidR="00515314">
              <w:rPr>
                <w:noProof/>
                <w:webHidden/>
              </w:rPr>
            </w:r>
            <w:r w:rsidR="00515314">
              <w:rPr>
                <w:noProof/>
                <w:webHidden/>
              </w:rPr>
              <w:fldChar w:fldCharType="separate"/>
            </w:r>
            <w:r w:rsidR="00515314">
              <w:rPr>
                <w:noProof/>
                <w:webHidden/>
              </w:rPr>
              <w:t>6</w:t>
            </w:r>
            <w:r w:rsidR="00515314">
              <w:rPr>
                <w:noProof/>
                <w:webHidden/>
              </w:rPr>
              <w:fldChar w:fldCharType="end"/>
            </w:r>
          </w:hyperlink>
        </w:p>
        <w:p w14:paraId="62D4D4C5" w14:textId="77777777" w:rsidR="00515314" w:rsidRDefault="00C05EC8">
          <w:pPr>
            <w:pStyle w:val="TOC2"/>
            <w:tabs>
              <w:tab w:val="left" w:pos="880"/>
              <w:tab w:val="right" w:leader="dot" w:pos="8494"/>
            </w:tabs>
            <w:rPr>
              <w:rFonts w:eastAsiaTheme="minorEastAsia"/>
              <w:noProof/>
              <w:lang w:eastAsia="es-PE"/>
            </w:rPr>
          </w:pPr>
          <w:hyperlink w:anchor="_Toc523393982" w:history="1">
            <w:r w:rsidR="00515314" w:rsidRPr="001A0720">
              <w:rPr>
                <w:rStyle w:val="Hyperlink"/>
                <w:b/>
                <w:noProof/>
              </w:rPr>
              <w:t>2.1.</w:t>
            </w:r>
            <w:r w:rsidR="00515314">
              <w:rPr>
                <w:rFonts w:eastAsiaTheme="minorEastAsia"/>
                <w:noProof/>
                <w:lang w:eastAsia="es-PE"/>
              </w:rPr>
              <w:tab/>
            </w:r>
            <w:r w:rsidR="00515314" w:rsidRPr="001A0720">
              <w:rPr>
                <w:rStyle w:val="Hyperlink"/>
                <w:b/>
                <w:noProof/>
              </w:rPr>
              <w:t>Eficacia</w:t>
            </w:r>
            <w:r w:rsidR="00515314">
              <w:rPr>
                <w:noProof/>
                <w:webHidden/>
              </w:rPr>
              <w:tab/>
            </w:r>
            <w:r w:rsidR="00515314">
              <w:rPr>
                <w:noProof/>
                <w:webHidden/>
              </w:rPr>
              <w:fldChar w:fldCharType="begin"/>
            </w:r>
            <w:r w:rsidR="00515314">
              <w:rPr>
                <w:noProof/>
                <w:webHidden/>
              </w:rPr>
              <w:instrText xml:space="preserve"> PAGEREF _Toc523393982 \h </w:instrText>
            </w:r>
            <w:r w:rsidR="00515314">
              <w:rPr>
                <w:noProof/>
                <w:webHidden/>
              </w:rPr>
            </w:r>
            <w:r w:rsidR="00515314">
              <w:rPr>
                <w:noProof/>
                <w:webHidden/>
              </w:rPr>
              <w:fldChar w:fldCharType="separate"/>
            </w:r>
            <w:r w:rsidR="00515314">
              <w:rPr>
                <w:noProof/>
                <w:webHidden/>
              </w:rPr>
              <w:t>6</w:t>
            </w:r>
            <w:r w:rsidR="00515314">
              <w:rPr>
                <w:noProof/>
                <w:webHidden/>
              </w:rPr>
              <w:fldChar w:fldCharType="end"/>
            </w:r>
          </w:hyperlink>
        </w:p>
        <w:p w14:paraId="19F38427" w14:textId="77777777" w:rsidR="00515314" w:rsidRDefault="00C05EC8">
          <w:pPr>
            <w:pStyle w:val="TOC3"/>
            <w:tabs>
              <w:tab w:val="left" w:pos="1320"/>
              <w:tab w:val="right" w:leader="dot" w:pos="8494"/>
            </w:tabs>
            <w:rPr>
              <w:rFonts w:eastAsiaTheme="minorEastAsia"/>
              <w:noProof/>
              <w:lang w:eastAsia="es-PE"/>
            </w:rPr>
          </w:pPr>
          <w:hyperlink w:anchor="_Toc523393983" w:history="1">
            <w:r w:rsidR="00515314" w:rsidRPr="001A0720">
              <w:rPr>
                <w:rStyle w:val="Hyperlink"/>
                <w:i/>
                <w:noProof/>
              </w:rPr>
              <w:t>2.1.1.</w:t>
            </w:r>
            <w:r w:rsidR="00515314">
              <w:rPr>
                <w:rFonts w:eastAsiaTheme="minorEastAsia"/>
                <w:noProof/>
                <w:lang w:eastAsia="es-PE"/>
              </w:rPr>
              <w:tab/>
            </w:r>
            <w:r w:rsidR="00515314" w:rsidRPr="001A0720">
              <w:rPr>
                <w:rStyle w:val="Hyperlink"/>
                <w:i/>
                <w:noProof/>
              </w:rPr>
              <w:t>Sobre el fortalecimiento de capacidades normativas y legales, financieras y técnicas (actividades 1.1., 1.2., 1.3 en el período 2010-2012)</w:t>
            </w:r>
            <w:r w:rsidR="00515314">
              <w:rPr>
                <w:noProof/>
                <w:webHidden/>
              </w:rPr>
              <w:tab/>
            </w:r>
            <w:r w:rsidR="00515314">
              <w:rPr>
                <w:noProof/>
                <w:webHidden/>
              </w:rPr>
              <w:fldChar w:fldCharType="begin"/>
            </w:r>
            <w:r w:rsidR="00515314">
              <w:rPr>
                <w:noProof/>
                <w:webHidden/>
              </w:rPr>
              <w:instrText xml:space="preserve"> PAGEREF _Toc523393983 \h </w:instrText>
            </w:r>
            <w:r w:rsidR="00515314">
              <w:rPr>
                <w:noProof/>
                <w:webHidden/>
              </w:rPr>
            </w:r>
            <w:r w:rsidR="00515314">
              <w:rPr>
                <w:noProof/>
                <w:webHidden/>
              </w:rPr>
              <w:fldChar w:fldCharType="separate"/>
            </w:r>
            <w:r w:rsidR="00515314">
              <w:rPr>
                <w:noProof/>
                <w:webHidden/>
              </w:rPr>
              <w:t>7</w:t>
            </w:r>
            <w:r w:rsidR="00515314">
              <w:rPr>
                <w:noProof/>
                <w:webHidden/>
              </w:rPr>
              <w:fldChar w:fldCharType="end"/>
            </w:r>
          </w:hyperlink>
        </w:p>
        <w:p w14:paraId="2E2185F0" w14:textId="77777777" w:rsidR="00515314" w:rsidRDefault="00C05EC8">
          <w:pPr>
            <w:pStyle w:val="TOC3"/>
            <w:tabs>
              <w:tab w:val="left" w:pos="1320"/>
              <w:tab w:val="right" w:leader="dot" w:pos="8494"/>
            </w:tabs>
            <w:rPr>
              <w:rFonts w:eastAsiaTheme="minorEastAsia"/>
              <w:noProof/>
              <w:lang w:eastAsia="es-PE"/>
            </w:rPr>
          </w:pPr>
          <w:hyperlink w:anchor="_Toc523393984" w:history="1">
            <w:r w:rsidR="00515314" w:rsidRPr="001A0720">
              <w:rPr>
                <w:rStyle w:val="Hyperlink"/>
                <w:i/>
                <w:noProof/>
              </w:rPr>
              <w:t xml:space="preserve">2.1.2 </w:t>
            </w:r>
            <w:r w:rsidR="00515314">
              <w:rPr>
                <w:rFonts w:eastAsiaTheme="minorEastAsia"/>
                <w:noProof/>
                <w:lang w:eastAsia="es-PE"/>
              </w:rPr>
              <w:tab/>
            </w:r>
            <w:r w:rsidR="00515314" w:rsidRPr="001A0720">
              <w:rPr>
                <w:rStyle w:val="Hyperlink"/>
                <w:i/>
                <w:noProof/>
              </w:rPr>
              <w:t>Sobre el desarrollo de la gestión descentralizada</w:t>
            </w:r>
            <w:r w:rsidR="00515314">
              <w:rPr>
                <w:noProof/>
                <w:webHidden/>
              </w:rPr>
              <w:tab/>
            </w:r>
            <w:r w:rsidR="00515314">
              <w:rPr>
                <w:noProof/>
                <w:webHidden/>
              </w:rPr>
              <w:fldChar w:fldCharType="begin"/>
            </w:r>
            <w:r w:rsidR="00515314">
              <w:rPr>
                <w:noProof/>
                <w:webHidden/>
              </w:rPr>
              <w:instrText xml:space="preserve"> PAGEREF _Toc523393984 \h </w:instrText>
            </w:r>
            <w:r w:rsidR="00515314">
              <w:rPr>
                <w:noProof/>
                <w:webHidden/>
              </w:rPr>
            </w:r>
            <w:r w:rsidR="00515314">
              <w:rPr>
                <w:noProof/>
                <w:webHidden/>
              </w:rPr>
              <w:fldChar w:fldCharType="separate"/>
            </w:r>
            <w:r w:rsidR="00515314">
              <w:rPr>
                <w:noProof/>
                <w:webHidden/>
              </w:rPr>
              <w:t>10</w:t>
            </w:r>
            <w:r w:rsidR="00515314">
              <w:rPr>
                <w:noProof/>
                <w:webHidden/>
              </w:rPr>
              <w:fldChar w:fldCharType="end"/>
            </w:r>
          </w:hyperlink>
        </w:p>
        <w:p w14:paraId="571C23C0" w14:textId="77777777" w:rsidR="00515314" w:rsidRDefault="00C05EC8">
          <w:pPr>
            <w:pStyle w:val="TOC3"/>
            <w:tabs>
              <w:tab w:val="left" w:pos="1320"/>
              <w:tab w:val="right" w:leader="dot" w:pos="8494"/>
            </w:tabs>
            <w:rPr>
              <w:rFonts w:eastAsiaTheme="minorEastAsia"/>
              <w:noProof/>
              <w:lang w:eastAsia="es-PE"/>
            </w:rPr>
          </w:pPr>
          <w:hyperlink w:anchor="_Toc523393985" w:history="1">
            <w:r w:rsidR="00515314" w:rsidRPr="001A0720">
              <w:rPr>
                <w:rStyle w:val="Hyperlink"/>
                <w:i/>
                <w:noProof/>
              </w:rPr>
              <w:t>2.1.3</w:t>
            </w:r>
            <w:r w:rsidR="00515314">
              <w:rPr>
                <w:rFonts w:eastAsiaTheme="minorEastAsia"/>
                <w:noProof/>
                <w:lang w:eastAsia="es-PE"/>
              </w:rPr>
              <w:tab/>
            </w:r>
            <w:r w:rsidR="00515314" w:rsidRPr="001A0720">
              <w:rPr>
                <w:rStyle w:val="Hyperlink"/>
                <w:i/>
                <w:noProof/>
              </w:rPr>
              <w:t>Sobre el fortalecimiento de las capacidades de integración económica (mancomunidades).</w:t>
            </w:r>
            <w:r w:rsidR="00515314">
              <w:rPr>
                <w:noProof/>
                <w:webHidden/>
              </w:rPr>
              <w:tab/>
            </w:r>
            <w:r w:rsidR="00515314">
              <w:rPr>
                <w:noProof/>
                <w:webHidden/>
              </w:rPr>
              <w:fldChar w:fldCharType="begin"/>
            </w:r>
            <w:r w:rsidR="00515314">
              <w:rPr>
                <w:noProof/>
                <w:webHidden/>
              </w:rPr>
              <w:instrText xml:space="preserve"> PAGEREF _Toc523393985 \h </w:instrText>
            </w:r>
            <w:r w:rsidR="00515314">
              <w:rPr>
                <w:noProof/>
                <w:webHidden/>
              </w:rPr>
            </w:r>
            <w:r w:rsidR="00515314">
              <w:rPr>
                <w:noProof/>
                <w:webHidden/>
              </w:rPr>
              <w:fldChar w:fldCharType="separate"/>
            </w:r>
            <w:r w:rsidR="00515314">
              <w:rPr>
                <w:noProof/>
                <w:webHidden/>
              </w:rPr>
              <w:t>15</w:t>
            </w:r>
            <w:r w:rsidR="00515314">
              <w:rPr>
                <w:noProof/>
                <w:webHidden/>
              </w:rPr>
              <w:fldChar w:fldCharType="end"/>
            </w:r>
          </w:hyperlink>
        </w:p>
        <w:p w14:paraId="6D94553D" w14:textId="77777777" w:rsidR="00515314" w:rsidRDefault="00C05EC8">
          <w:pPr>
            <w:pStyle w:val="TOC3"/>
            <w:tabs>
              <w:tab w:val="left" w:pos="1320"/>
              <w:tab w:val="right" w:leader="dot" w:pos="8494"/>
            </w:tabs>
            <w:rPr>
              <w:rFonts w:eastAsiaTheme="minorEastAsia"/>
              <w:noProof/>
              <w:lang w:eastAsia="es-PE"/>
            </w:rPr>
          </w:pPr>
          <w:hyperlink w:anchor="_Toc523393986" w:history="1">
            <w:r w:rsidR="00515314" w:rsidRPr="001A0720">
              <w:rPr>
                <w:rStyle w:val="Hyperlink"/>
                <w:i/>
                <w:noProof/>
              </w:rPr>
              <w:t>2.1.4</w:t>
            </w:r>
            <w:r w:rsidR="00515314">
              <w:rPr>
                <w:rFonts w:eastAsiaTheme="minorEastAsia"/>
                <w:noProof/>
                <w:lang w:eastAsia="es-PE"/>
              </w:rPr>
              <w:tab/>
            </w:r>
            <w:r w:rsidR="00515314" w:rsidRPr="001A0720">
              <w:rPr>
                <w:rStyle w:val="Hyperlink"/>
                <w:i/>
                <w:noProof/>
              </w:rPr>
              <w:t>Sobre los centros de Mejor Atención al Ciudadano (MAC)</w:t>
            </w:r>
            <w:r w:rsidR="00515314">
              <w:rPr>
                <w:noProof/>
                <w:webHidden/>
              </w:rPr>
              <w:tab/>
            </w:r>
            <w:r w:rsidR="00515314">
              <w:rPr>
                <w:noProof/>
                <w:webHidden/>
              </w:rPr>
              <w:fldChar w:fldCharType="begin"/>
            </w:r>
            <w:r w:rsidR="00515314">
              <w:rPr>
                <w:noProof/>
                <w:webHidden/>
              </w:rPr>
              <w:instrText xml:space="preserve"> PAGEREF _Toc523393986 \h </w:instrText>
            </w:r>
            <w:r w:rsidR="00515314">
              <w:rPr>
                <w:noProof/>
                <w:webHidden/>
              </w:rPr>
            </w:r>
            <w:r w:rsidR="00515314">
              <w:rPr>
                <w:noProof/>
                <w:webHidden/>
              </w:rPr>
              <w:fldChar w:fldCharType="separate"/>
            </w:r>
            <w:r w:rsidR="00515314">
              <w:rPr>
                <w:noProof/>
                <w:webHidden/>
              </w:rPr>
              <w:t>17</w:t>
            </w:r>
            <w:r w:rsidR="00515314">
              <w:rPr>
                <w:noProof/>
                <w:webHidden/>
              </w:rPr>
              <w:fldChar w:fldCharType="end"/>
            </w:r>
          </w:hyperlink>
        </w:p>
        <w:p w14:paraId="6E96F2DA" w14:textId="77777777" w:rsidR="00515314" w:rsidRDefault="00C05EC8">
          <w:pPr>
            <w:pStyle w:val="TOC3"/>
            <w:tabs>
              <w:tab w:val="left" w:pos="1320"/>
              <w:tab w:val="right" w:leader="dot" w:pos="8494"/>
            </w:tabs>
            <w:rPr>
              <w:rFonts w:eastAsiaTheme="minorEastAsia"/>
              <w:noProof/>
              <w:lang w:eastAsia="es-PE"/>
            </w:rPr>
          </w:pPr>
          <w:hyperlink w:anchor="_Toc523393987" w:history="1">
            <w:r w:rsidR="00515314" w:rsidRPr="001A0720">
              <w:rPr>
                <w:rStyle w:val="Hyperlink"/>
                <w:i/>
                <w:noProof/>
              </w:rPr>
              <w:t>2.1.5</w:t>
            </w:r>
            <w:r w:rsidR="00515314">
              <w:rPr>
                <w:rFonts w:eastAsiaTheme="minorEastAsia"/>
                <w:noProof/>
                <w:lang w:eastAsia="es-PE"/>
              </w:rPr>
              <w:tab/>
            </w:r>
            <w:r w:rsidR="00515314" w:rsidRPr="001A0720">
              <w:rPr>
                <w:rStyle w:val="Hyperlink"/>
                <w:i/>
                <w:noProof/>
              </w:rPr>
              <w:t>Sobre el sistema Sayhuite</w:t>
            </w:r>
            <w:r w:rsidR="00515314">
              <w:rPr>
                <w:noProof/>
                <w:webHidden/>
              </w:rPr>
              <w:tab/>
            </w:r>
            <w:r w:rsidR="00515314">
              <w:rPr>
                <w:noProof/>
                <w:webHidden/>
              </w:rPr>
              <w:fldChar w:fldCharType="begin"/>
            </w:r>
            <w:r w:rsidR="00515314">
              <w:rPr>
                <w:noProof/>
                <w:webHidden/>
              </w:rPr>
              <w:instrText xml:space="preserve"> PAGEREF _Toc523393987 \h </w:instrText>
            </w:r>
            <w:r w:rsidR="00515314">
              <w:rPr>
                <w:noProof/>
                <w:webHidden/>
              </w:rPr>
            </w:r>
            <w:r w:rsidR="00515314">
              <w:rPr>
                <w:noProof/>
                <w:webHidden/>
              </w:rPr>
              <w:fldChar w:fldCharType="separate"/>
            </w:r>
            <w:r w:rsidR="00515314">
              <w:rPr>
                <w:noProof/>
                <w:webHidden/>
              </w:rPr>
              <w:t>19</w:t>
            </w:r>
            <w:r w:rsidR="00515314">
              <w:rPr>
                <w:noProof/>
                <w:webHidden/>
              </w:rPr>
              <w:fldChar w:fldCharType="end"/>
            </w:r>
          </w:hyperlink>
        </w:p>
        <w:p w14:paraId="2FEF9267" w14:textId="77777777" w:rsidR="00515314" w:rsidRDefault="00C05EC8">
          <w:pPr>
            <w:pStyle w:val="TOC3"/>
            <w:tabs>
              <w:tab w:val="left" w:pos="1320"/>
              <w:tab w:val="right" w:leader="dot" w:pos="8494"/>
            </w:tabs>
            <w:rPr>
              <w:rFonts w:eastAsiaTheme="minorEastAsia"/>
              <w:noProof/>
              <w:lang w:eastAsia="es-PE"/>
            </w:rPr>
          </w:pPr>
          <w:hyperlink w:anchor="_Toc523393988" w:history="1">
            <w:r w:rsidR="00515314" w:rsidRPr="001A0720">
              <w:rPr>
                <w:rStyle w:val="Hyperlink"/>
                <w:i/>
                <w:noProof/>
              </w:rPr>
              <w:t>2.1.6</w:t>
            </w:r>
            <w:r w:rsidR="00515314">
              <w:rPr>
                <w:rFonts w:eastAsiaTheme="minorEastAsia"/>
                <w:noProof/>
                <w:lang w:eastAsia="es-PE"/>
              </w:rPr>
              <w:tab/>
            </w:r>
            <w:r w:rsidR="00515314" w:rsidRPr="001A0720">
              <w:rPr>
                <w:rStyle w:val="Hyperlink"/>
                <w:i/>
                <w:noProof/>
              </w:rPr>
              <w:t>Sobre la coordinación interinstitucional e intergubernamental</w:t>
            </w:r>
            <w:r w:rsidR="00515314">
              <w:rPr>
                <w:noProof/>
                <w:webHidden/>
              </w:rPr>
              <w:tab/>
            </w:r>
            <w:r w:rsidR="00515314">
              <w:rPr>
                <w:noProof/>
                <w:webHidden/>
              </w:rPr>
              <w:fldChar w:fldCharType="begin"/>
            </w:r>
            <w:r w:rsidR="00515314">
              <w:rPr>
                <w:noProof/>
                <w:webHidden/>
              </w:rPr>
              <w:instrText xml:space="preserve"> PAGEREF _Toc523393988 \h </w:instrText>
            </w:r>
            <w:r w:rsidR="00515314">
              <w:rPr>
                <w:noProof/>
                <w:webHidden/>
              </w:rPr>
            </w:r>
            <w:r w:rsidR="00515314">
              <w:rPr>
                <w:noProof/>
                <w:webHidden/>
              </w:rPr>
              <w:fldChar w:fldCharType="separate"/>
            </w:r>
            <w:r w:rsidR="00515314">
              <w:rPr>
                <w:noProof/>
                <w:webHidden/>
              </w:rPr>
              <w:t>21</w:t>
            </w:r>
            <w:r w:rsidR="00515314">
              <w:rPr>
                <w:noProof/>
                <w:webHidden/>
              </w:rPr>
              <w:fldChar w:fldCharType="end"/>
            </w:r>
          </w:hyperlink>
        </w:p>
        <w:p w14:paraId="14D040FA" w14:textId="77777777" w:rsidR="00515314" w:rsidRDefault="00C05EC8">
          <w:pPr>
            <w:pStyle w:val="TOC3"/>
            <w:tabs>
              <w:tab w:val="left" w:pos="1320"/>
              <w:tab w:val="right" w:leader="dot" w:pos="8494"/>
            </w:tabs>
            <w:rPr>
              <w:rFonts w:eastAsiaTheme="minorEastAsia"/>
              <w:noProof/>
              <w:lang w:eastAsia="es-PE"/>
            </w:rPr>
          </w:pPr>
          <w:hyperlink w:anchor="_Toc523393989" w:history="1">
            <w:r w:rsidR="00515314" w:rsidRPr="001A0720">
              <w:rPr>
                <w:rStyle w:val="Hyperlink"/>
                <w:i/>
                <w:noProof/>
              </w:rPr>
              <w:t>2.1.7</w:t>
            </w:r>
            <w:r w:rsidR="00515314">
              <w:rPr>
                <w:rFonts w:eastAsiaTheme="minorEastAsia"/>
                <w:noProof/>
                <w:lang w:eastAsia="es-PE"/>
              </w:rPr>
              <w:tab/>
            </w:r>
            <w:r w:rsidR="00515314" w:rsidRPr="001A0720">
              <w:rPr>
                <w:rStyle w:val="Hyperlink"/>
                <w:i/>
                <w:noProof/>
              </w:rPr>
              <w:t>Otras actividades</w:t>
            </w:r>
            <w:r w:rsidR="00515314">
              <w:rPr>
                <w:noProof/>
                <w:webHidden/>
              </w:rPr>
              <w:tab/>
            </w:r>
            <w:r w:rsidR="00515314">
              <w:rPr>
                <w:noProof/>
                <w:webHidden/>
              </w:rPr>
              <w:fldChar w:fldCharType="begin"/>
            </w:r>
            <w:r w:rsidR="00515314">
              <w:rPr>
                <w:noProof/>
                <w:webHidden/>
              </w:rPr>
              <w:instrText xml:space="preserve"> PAGEREF _Toc523393989 \h </w:instrText>
            </w:r>
            <w:r w:rsidR="00515314">
              <w:rPr>
                <w:noProof/>
                <w:webHidden/>
              </w:rPr>
            </w:r>
            <w:r w:rsidR="00515314">
              <w:rPr>
                <w:noProof/>
                <w:webHidden/>
              </w:rPr>
              <w:fldChar w:fldCharType="separate"/>
            </w:r>
            <w:r w:rsidR="00515314">
              <w:rPr>
                <w:noProof/>
                <w:webHidden/>
              </w:rPr>
              <w:t>24</w:t>
            </w:r>
            <w:r w:rsidR="00515314">
              <w:rPr>
                <w:noProof/>
                <w:webHidden/>
              </w:rPr>
              <w:fldChar w:fldCharType="end"/>
            </w:r>
          </w:hyperlink>
        </w:p>
        <w:p w14:paraId="14597C35" w14:textId="77777777" w:rsidR="00515314" w:rsidRDefault="00C05EC8">
          <w:pPr>
            <w:pStyle w:val="TOC2"/>
            <w:tabs>
              <w:tab w:val="left" w:pos="880"/>
              <w:tab w:val="right" w:leader="dot" w:pos="8494"/>
            </w:tabs>
            <w:rPr>
              <w:rFonts w:eastAsiaTheme="minorEastAsia"/>
              <w:noProof/>
              <w:lang w:eastAsia="es-PE"/>
            </w:rPr>
          </w:pPr>
          <w:hyperlink w:anchor="_Toc523393990" w:history="1">
            <w:r w:rsidR="00515314" w:rsidRPr="001A0720">
              <w:rPr>
                <w:rStyle w:val="Hyperlink"/>
                <w:b/>
                <w:noProof/>
              </w:rPr>
              <w:t>2.2</w:t>
            </w:r>
            <w:r w:rsidR="00515314">
              <w:rPr>
                <w:rFonts w:eastAsiaTheme="minorEastAsia"/>
                <w:noProof/>
                <w:lang w:eastAsia="es-PE"/>
              </w:rPr>
              <w:tab/>
            </w:r>
            <w:r w:rsidR="00515314" w:rsidRPr="001A0720">
              <w:rPr>
                <w:rStyle w:val="Hyperlink"/>
                <w:b/>
                <w:noProof/>
              </w:rPr>
              <w:t>Eficiencia</w:t>
            </w:r>
            <w:r w:rsidR="00515314">
              <w:rPr>
                <w:noProof/>
                <w:webHidden/>
              </w:rPr>
              <w:tab/>
            </w:r>
            <w:r w:rsidR="00515314">
              <w:rPr>
                <w:noProof/>
                <w:webHidden/>
              </w:rPr>
              <w:fldChar w:fldCharType="begin"/>
            </w:r>
            <w:r w:rsidR="00515314">
              <w:rPr>
                <w:noProof/>
                <w:webHidden/>
              </w:rPr>
              <w:instrText xml:space="preserve"> PAGEREF _Toc523393990 \h </w:instrText>
            </w:r>
            <w:r w:rsidR="00515314">
              <w:rPr>
                <w:noProof/>
                <w:webHidden/>
              </w:rPr>
            </w:r>
            <w:r w:rsidR="00515314">
              <w:rPr>
                <w:noProof/>
                <w:webHidden/>
              </w:rPr>
              <w:fldChar w:fldCharType="separate"/>
            </w:r>
            <w:r w:rsidR="00515314">
              <w:rPr>
                <w:noProof/>
                <w:webHidden/>
              </w:rPr>
              <w:t>24</w:t>
            </w:r>
            <w:r w:rsidR="00515314">
              <w:rPr>
                <w:noProof/>
                <w:webHidden/>
              </w:rPr>
              <w:fldChar w:fldCharType="end"/>
            </w:r>
          </w:hyperlink>
        </w:p>
        <w:p w14:paraId="47FEB85F" w14:textId="77777777" w:rsidR="00515314" w:rsidRDefault="00C05EC8">
          <w:pPr>
            <w:pStyle w:val="TOC2"/>
            <w:tabs>
              <w:tab w:val="left" w:pos="880"/>
              <w:tab w:val="right" w:leader="dot" w:pos="8494"/>
            </w:tabs>
            <w:rPr>
              <w:rFonts w:eastAsiaTheme="minorEastAsia"/>
              <w:noProof/>
              <w:lang w:eastAsia="es-PE"/>
            </w:rPr>
          </w:pPr>
          <w:hyperlink w:anchor="_Toc523393991" w:history="1">
            <w:r w:rsidR="00515314" w:rsidRPr="001A0720">
              <w:rPr>
                <w:rStyle w:val="Hyperlink"/>
                <w:b/>
                <w:noProof/>
              </w:rPr>
              <w:t>2.3</w:t>
            </w:r>
            <w:r w:rsidR="00515314">
              <w:rPr>
                <w:rFonts w:eastAsiaTheme="minorEastAsia"/>
                <w:noProof/>
                <w:lang w:eastAsia="es-PE"/>
              </w:rPr>
              <w:tab/>
            </w:r>
            <w:r w:rsidR="00515314" w:rsidRPr="001A0720">
              <w:rPr>
                <w:rStyle w:val="Hyperlink"/>
                <w:b/>
                <w:noProof/>
              </w:rPr>
              <w:t>Pertinencia</w:t>
            </w:r>
            <w:r w:rsidR="00515314">
              <w:rPr>
                <w:noProof/>
                <w:webHidden/>
              </w:rPr>
              <w:tab/>
            </w:r>
            <w:r w:rsidR="00515314">
              <w:rPr>
                <w:noProof/>
                <w:webHidden/>
              </w:rPr>
              <w:fldChar w:fldCharType="begin"/>
            </w:r>
            <w:r w:rsidR="00515314">
              <w:rPr>
                <w:noProof/>
                <w:webHidden/>
              </w:rPr>
              <w:instrText xml:space="preserve"> PAGEREF _Toc523393991 \h </w:instrText>
            </w:r>
            <w:r w:rsidR="00515314">
              <w:rPr>
                <w:noProof/>
                <w:webHidden/>
              </w:rPr>
            </w:r>
            <w:r w:rsidR="00515314">
              <w:rPr>
                <w:noProof/>
                <w:webHidden/>
              </w:rPr>
              <w:fldChar w:fldCharType="separate"/>
            </w:r>
            <w:r w:rsidR="00515314">
              <w:rPr>
                <w:noProof/>
                <w:webHidden/>
              </w:rPr>
              <w:t>25</w:t>
            </w:r>
            <w:r w:rsidR="00515314">
              <w:rPr>
                <w:noProof/>
                <w:webHidden/>
              </w:rPr>
              <w:fldChar w:fldCharType="end"/>
            </w:r>
          </w:hyperlink>
        </w:p>
        <w:p w14:paraId="11F3FA6B" w14:textId="77777777" w:rsidR="00515314" w:rsidRDefault="00C05EC8">
          <w:pPr>
            <w:pStyle w:val="TOC2"/>
            <w:tabs>
              <w:tab w:val="left" w:pos="880"/>
              <w:tab w:val="right" w:leader="dot" w:pos="8494"/>
            </w:tabs>
            <w:rPr>
              <w:rFonts w:eastAsiaTheme="minorEastAsia"/>
              <w:noProof/>
              <w:lang w:eastAsia="es-PE"/>
            </w:rPr>
          </w:pPr>
          <w:hyperlink w:anchor="_Toc523393992" w:history="1">
            <w:r w:rsidR="00515314" w:rsidRPr="001A0720">
              <w:rPr>
                <w:rStyle w:val="Hyperlink"/>
                <w:b/>
                <w:noProof/>
              </w:rPr>
              <w:t>2.4</w:t>
            </w:r>
            <w:r w:rsidR="00515314">
              <w:rPr>
                <w:rFonts w:eastAsiaTheme="minorEastAsia"/>
                <w:noProof/>
                <w:lang w:eastAsia="es-PE"/>
              </w:rPr>
              <w:tab/>
            </w:r>
            <w:r w:rsidR="00515314" w:rsidRPr="001A0720">
              <w:rPr>
                <w:rStyle w:val="Hyperlink"/>
                <w:b/>
                <w:noProof/>
              </w:rPr>
              <w:t>Sostenibilidad</w:t>
            </w:r>
            <w:r w:rsidR="00515314">
              <w:rPr>
                <w:noProof/>
                <w:webHidden/>
              </w:rPr>
              <w:tab/>
            </w:r>
            <w:r w:rsidR="00515314">
              <w:rPr>
                <w:noProof/>
                <w:webHidden/>
              </w:rPr>
              <w:fldChar w:fldCharType="begin"/>
            </w:r>
            <w:r w:rsidR="00515314">
              <w:rPr>
                <w:noProof/>
                <w:webHidden/>
              </w:rPr>
              <w:instrText xml:space="preserve"> PAGEREF _Toc523393992 \h </w:instrText>
            </w:r>
            <w:r w:rsidR="00515314">
              <w:rPr>
                <w:noProof/>
                <w:webHidden/>
              </w:rPr>
            </w:r>
            <w:r w:rsidR="00515314">
              <w:rPr>
                <w:noProof/>
                <w:webHidden/>
              </w:rPr>
              <w:fldChar w:fldCharType="separate"/>
            </w:r>
            <w:r w:rsidR="00515314">
              <w:rPr>
                <w:noProof/>
                <w:webHidden/>
              </w:rPr>
              <w:t>26</w:t>
            </w:r>
            <w:r w:rsidR="00515314">
              <w:rPr>
                <w:noProof/>
                <w:webHidden/>
              </w:rPr>
              <w:fldChar w:fldCharType="end"/>
            </w:r>
          </w:hyperlink>
        </w:p>
        <w:p w14:paraId="57DA8F8B" w14:textId="77777777" w:rsidR="00515314" w:rsidRDefault="00C05EC8">
          <w:pPr>
            <w:pStyle w:val="TOC1"/>
            <w:tabs>
              <w:tab w:val="left" w:pos="440"/>
              <w:tab w:val="right" w:leader="dot" w:pos="8494"/>
            </w:tabs>
            <w:rPr>
              <w:rFonts w:eastAsiaTheme="minorEastAsia"/>
              <w:noProof/>
              <w:lang w:eastAsia="es-PE"/>
            </w:rPr>
          </w:pPr>
          <w:hyperlink w:anchor="_Toc523393993" w:history="1">
            <w:r w:rsidR="00515314" w:rsidRPr="001A0720">
              <w:rPr>
                <w:rStyle w:val="Hyperlink"/>
                <w:b/>
                <w:noProof/>
              </w:rPr>
              <w:t>3</w:t>
            </w:r>
            <w:r w:rsidR="00515314">
              <w:rPr>
                <w:rFonts w:eastAsiaTheme="minorEastAsia"/>
                <w:noProof/>
                <w:lang w:eastAsia="es-PE"/>
              </w:rPr>
              <w:tab/>
            </w:r>
            <w:r w:rsidR="00515314" w:rsidRPr="001A0720">
              <w:rPr>
                <w:rStyle w:val="Hyperlink"/>
                <w:b/>
                <w:noProof/>
              </w:rPr>
              <w:t>Aplicación de enfoques relevantes para PNUD</w:t>
            </w:r>
            <w:r w:rsidR="00515314">
              <w:rPr>
                <w:noProof/>
                <w:webHidden/>
              </w:rPr>
              <w:tab/>
            </w:r>
            <w:r w:rsidR="00515314">
              <w:rPr>
                <w:noProof/>
                <w:webHidden/>
              </w:rPr>
              <w:fldChar w:fldCharType="begin"/>
            </w:r>
            <w:r w:rsidR="00515314">
              <w:rPr>
                <w:noProof/>
                <w:webHidden/>
              </w:rPr>
              <w:instrText xml:space="preserve"> PAGEREF _Toc523393993 \h </w:instrText>
            </w:r>
            <w:r w:rsidR="00515314">
              <w:rPr>
                <w:noProof/>
                <w:webHidden/>
              </w:rPr>
            </w:r>
            <w:r w:rsidR="00515314">
              <w:rPr>
                <w:noProof/>
                <w:webHidden/>
              </w:rPr>
              <w:fldChar w:fldCharType="separate"/>
            </w:r>
            <w:r w:rsidR="00515314">
              <w:rPr>
                <w:noProof/>
                <w:webHidden/>
              </w:rPr>
              <w:t>27</w:t>
            </w:r>
            <w:r w:rsidR="00515314">
              <w:rPr>
                <w:noProof/>
                <w:webHidden/>
              </w:rPr>
              <w:fldChar w:fldCharType="end"/>
            </w:r>
          </w:hyperlink>
        </w:p>
        <w:p w14:paraId="76C1BBEE" w14:textId="77777777" w:rsidR="00515314" w:rsidRDefault="00C05EC8">
          <w:pPr>
            <w:pStyle w:val="TOC1"/>
            <w:tabs>
              <w:tab w:val="left" w:pos="440"/>
              <w:tab w:val="right" w:leader="dot" w:pos="8494"/>
            </w:tabs>
            <w:rPr>
              <w:rFonts w:eastAsiaTheme="minorEastAsia"/>
              <w:noProof/>
              <w:lang w:eastAsia="es-PE"/>
            </w:rPr>
          </w:pPr>
          <w:hyperlink w:anchor="_Toc523393994" w:history="1">
            <w:r w:rsidR="00515314" w:rsidRPr="001A0720">
              <w:rPr>
                <w:rStyle w:val="Hyperlink"/>
                <w:b/>
                <w:noProof/>
              </w:rPr>
              <w:t>4</w:t>
            </w:r>
            <w:r w:rsidR="00515314">
              <w:rPr>
                <w:rFonts w:eastAsiaTheme="minorEastAsia"/>
                <w:noProof/>
                <w:lang w:eastAsia="es-PE"/>
              </w:rPr>
              <w:tab/>
            </w:r>
            <w:r w:rsidR="00515314" w:rsidRPr="001A0720">
              <w:rPr>
                <w:rStyle w:val="Hyperlink"/>
                <w:b/>
                <w:noProof/>
              </w:rPr>
              <w:t>Determinación de buenas prácticas</w:t>
            </w:r>
            <w:r w:rsidR="00515314">
              <w:rPr>
                <w:noProof/>
                <w:webHidden/>
              </w:rPr>
              <w:tab/>
            </w:r>
            <w:r w:rsidR="00515314">
              <w:rPr>
                <w:noProof/>
                <w:webHidden/>
              </w:rPr>
              <w:fldChar w:fldCharType="begin"/>
            </w:r>
            <w:r w:rsidR="00515314">
              <w:rPr>
                <w:noProof/>
                <w:webHidden/>
              </w:rPr>
              <w:instrText xml:space="preserve"> PAGEREF _Toc523393994 \h </w:instrText>
            </w:r>
            <w:r w:rsidR="00515314">
              <w:rPr>
                <w:noProof/>
                <w:webHidden/>
              </w:rPr>
            </w:r>
            <w:r w:rsidR="00515314">
              <w:rPr>
                <w:noProof/>
                <w:webHidden/>
              </w:rPr>
              <w:fldChar w:fldCharType="separate"/>
            </w:r>
            <w:r w:rsidR="00515314">
              <w:rPr>
                <w:noProof/>
                <w:webHidden/>
              </w:rPr>
              <w:t>28</w:t>
            </w:r>
            <w:r w:rsidR="00515314">
              <w:rPr>
                <w:noProof/>
                <w:webHidden/>
              </w:rPr>
              <w:fldChar w:fldCharType="end"/>
            </w:r>
          </w:hyperlink>
        </w:p>
        <w:p w14:paraId="0153A402" w14:textId="77777777" w:rsidR="00515314" w:rsidRDefault="00C05EC8">
          <w:pPr>
            <w:pStyle w:val="TOC1"/>
            <w:tabs>
              <w:tab w:val="left" w:pos="440"/>
              <w:tab w:val="right" w:leader="dot" w:pos="8494"/>
            </w:tabs>
            <w:rPr>
              <w:rFonts w:eastAsiaTheme="minorEastAsia"/>
              <w:noProof/>
              <w:lang w:eastAsia="es-PE"/>
            </w:rPr>
          </w:pPr>
          <w:hyperlink w:anchor="_Toc523393995" w:history="1">
            <w:r w:rsidR="00515314" w:rsidRPr="001A0720">
              <w:rPr>
                <w:rStyle w:val="Hyperlink"/>
                <w:b/>
                <w:noProof/>
              </w:rPr>
              <w:t>5</w:t>
            </w:r>
            <w:r w:rsidR="00515314">
              <w:rPr>
                <w:rFonts w:eastAsiaTheme="minorEastAsia"/>
                <w:noProof/>
                <w:lang w:eastAsia="es-PE"/>
              </w:rPr>
              <w:tab/>
            </w:r>
            <w:r w:rsidR="00515314" w:rsidRPr="001A0720">
              <w:rPr>
                <w:rStyle w:val="Hyperlink"/>
                <w:b/>
                <w:noProof/>
              </w:rPr>
              <w:t>Conclusiones y Recomendaciones</w:t>
            </w:r>
            <w:r w:rsidR="00515314">
              <w:rPr>
                <w:noProof/>
                <w:webHidden/>
              </w:rPr>
              <w:tab/>
            </w:r>
            <w:r w:rsidR="00515314">
              <w:rPr>
                <w:noProof/>
                <w:webHidden/>
              </w:rPr>
              <w:fldChar w:fldCharType="begin"/>
            </w:r>
            <w:r w:rsidR="00515314">
              <w:rPr>
                <w:noProof/>
                <w:webHidden/>
              </w:rPr>
              <w:instrText xml:space="preserve"> PAGEREF _Toc523393995 \h </w:instrText>
            </w:r>
            <w:r w:rsidR="00515314">
              <w:rPr>
                <w:noProof/>
                <w:webHidden/>
              </w:rPr>
            </w:r>
            <w:r w:rsidR="00515314">
              <w:rPr>
                <w:noProof/>
                <w:webHidden/>
              </w:rPr>
              <w:fldChar w:fldCharType="separate"/>
            </w:r>
            <w:r w:rsidR="00515314">
              <w:rPr>
                <w:noProof/>
                <w:webHidden/>
              </w:rPr>
              <w:t>30</w:t>
            </w:r>
            <w:r w:rsidR="00515314">
              <w:rPr>
                <w:noProof/>
                <w:webHidden/>
              </w:rPr>
              <w:fldChar w:fldCharType="end"/>
            </w:r>
          </w:hyperlink>
        </w:p>
        <w:p w14:paraId="00C78EA9" w14:textId="77777777" w:rsidR="00515314" w:rsidRDefault="00C05EC8">
          <w:pPr>
            <w:pStyle w:val="TOC1"/>
            <w:tabs>
              <w:tab w:val="left" w:pos="440"/>
              <w:tab w:val="right" w:leader="dot" w:pos="8494"/>
            </w:tabs>
            <w:rPr>
              <w:rFonts w:eastAsiaTheme="minorEastAsia"/>
              <w:noProof/>
              <w:lang w:eastAsia="es-PE"/>
            </w:rPr>
          </w:pPr>
          <w:hyperlink w:anchor="_Toc523393996" w:history="1">
            <w:r w:rsidR="00515314" w:rsidRPr="001A0720">
              <w:rPr>
                <w:rStyle w:val="Hyperlink"/>
                <w:b/>
                <w:noProof/>
              </w:rPr>
              <w:t>6</w:t>
            </w:r>
            <w:r w:rsidR="00515314">
              <w:rPr>
                <w:rFonts w:eastAsiaTheme="minorEastAsia"/>
                <w:noProof/>
                <w:lang w:eastAsia="es-PE"/>
              </w:rPr>
              <w:tab/>
            </w:r>
            <w:r w:rsidR="00515314" w:rsidRPr="001A0720">
              <w:rPr>
                <w:rStyle w:val="Hyperlink"/>
                <w:b/>
                <w:noProof/>
              </w:rPr>
              <w:t>Anexo</w:t>
            </w:r>
            <w:r w:rsidR="00515314">
              <w:rPr>
                <w:noProof/>
                <w:webHidden/>
              </w:rPr>
              <w:tab/>
            </w:r>
            <w:r w:rsidR="00515314">
              <w:rPr>
                <w:noProof/>
                <w:webHidden/>
              </w:rPr>
              <w:fldChar w:fldCharType="begin"/>
            </w:r>
            <w:r w:rsidR="00515314">
              <w:rPr>
                <w:noProof/>
                <w:webHidden/>
              </w:rPr>
              <w:instrText xml:space="preserve"> PAGEREF _Toc523393996 \h </w:instrText>
            </w:r>
            <w:r w:rsidR="00515314">
              <w:rPr>
                <w:noProof/>
                <w:webHidden/>
              </w:rPr>
            </w:r>
            <w:r w:rsidR="00515314">
              <w:rPr>
                <w:noProof/>
                <w:webHidden/>
              </w:rPr>
              <w:fldChar w:fldCharType="separate"/>
            </w:r>
            <w:r w:rsidR="00515314">
              <w:rPr>
                <w:noProof/>
                <w:webHidden/>
              </w:rPr>
              <w:t>34</w:t>
            </w:r>
            <w:r w:rsidR="00515314">
              <w:rPr>
                <w:noProof/>
                <w:webHidden/>
              </w:rPr>
              <w:fldChar w:fldCharType="end"/>
            </w:r>
          </w:hyperlink>
        </w:p>
        <w:p w14:paraId="02B8AA23" w14:textId="77777777" w:rsidR="00515314" w:rsidRDefault="00C05EC8">
          <w:pPr>
            <w:pStyle w:val="TOC2"/>
            <w:tabs>
              <w:tab w:val="left" w:pos="880"/>
              <w:tab w:val="right" w:leader="dot" w:pos="8494"/>
            </w:tabs>
            <w:rPr>
              <w:rFonts w:eastAsiaTheme="minorEastAsia"/>
              <w:noProof/>
              <w:lang w:eastAsia="es-PE"/>
            </w:rPr>
          </w:pPr>
          <w:hyperlink w:anchor="_Toc523393997" w:history="1">
            <w:r w:rsidR="00515314" w:rsidRPr="001A0720">
              <w:rPr>
                <w:rStyle w:val="Hyperlink"/>
                <w:b/>
                <w:noProof/>
              </w:rPr>
              <w:t>6.1</w:t>
            </w:r>
            <w:r w:rsidR="00515314">
              <w:rPr>
                <w:rFonts w:eastAsiaTheme="minorEastAsia"/>
                <w:noProof/>
                <w:lang w:eastAsia="es-PE"/>
              </w:rPr>
              <w:tab/>
            </w:r>
            <w:r w:rsidR="00515314" w:rsidRPr="001A0720">
              <w:rPr>
                <w:rStyle w:val="Hyperlink"/>
                <w:b/>
                <w:noProof/>
              </w:rPr>
              <w:t>Entrevistas realizadas</w:t>
            </w:r>
            <w:r w:rsidR="00515314">
              <w:rPr>
                <w:noProof/>
                <w:webHidden/>
              </w:rPr>
              <w:tab/>
            </w:r>
            <w:r w:rsidR="00515314">
              <w:rPr>
                <w:noProof/>
                <w:webHidden/>
              </w:rPr>
              <w:fldChar w:fldCharType="begin"/>
            </w:r>
            <w:r w:rsidR="00515314">
              <w:rPr>
                <w:noProof/>
                <w:webHidden/>
              </w:rPr>
              <w:instrText xml:space="preserve"> PAGEREF _Toc523393997 \h </w:instrText>
            </w:r>
            <w:r w:rsidR="00515314">
              <w:rPr>
                <w:noProof/>
                <w:webHidden/>
              </w:rPr>
            </w:r>
            <w:r w:rsidR="00515314">
              <w:rPr>
                <w:noProof/>
                <w:webHidden/>
              </w:rPr>
              <w:fldChar w:fldCharType="separate"/>
            </w:r>
            <w:r w:rsidR="00515314">
              <w:rPr>
                <w:noProof/>
                <w:webHidden/>
              </w:rPr>
              <w:t>34</w:t>
            </w:r>
            <w:r w:rsidR="00515314">
              <w:rPr>
                <w:noProof/>
                <w:webHidden/>
              </w:rPr>
              <w:fldChar w:fldCharType="end"/>
            </w:r>
          </w:hyperlink>
        </w:p>
        <w:p w14:paraId="0163BD4C" w14:textId="77777777" w:rsidR="00515314" w:rsidRDefault="00C05EC8">
          <w:pPr>
            <w:pStyle w:val="TOC2"/>
            <w:tabs>
              <w:tab w:val="left" w:pos="880"/>
              <w:tab w:val="right" w:leader="dot" w:pos="8494"/>
            </w:tabs>
            <w:rPr>
              <w:rFonts w:eastAsiaTheme="minorEastAsia"/>
              <w:noProof/>
              <w:lang w:eastAsia="es-PE"/>
            </w:rPr>
          </w:pPr>
          <w:hyperlink w:anchor="_Toc523393998" w:history="1">
            <w:r w:rsidR="00515314" w:rsidRPr="001A0720">
              <w:rPr>
                <w:rStyle w:val="Hyperlink"/>
                <w:rFonts w:cstheme="minorHAnsi"/>
                <w:b/>
                <w:noProof/>
              </w:rPr>
              <w:t xml:space="preserve">6.2 </w:t>
            </w:r>
            <w:r w:rsidR="00515314">
              <w:rPr>
                <w:rFonts w:eastAsiaTheme="minorEastAsia"/>
                <w:noProof/>
                <w:lang w:eastAsia="es-PE"/>
              </w:rPr>
              <w:tab/>
            </w:r>
            <w:r w:rsidR="00515314" w:rsidRPr="001A0720">
              <w:rPr>
                <w:rStyle w:val="Hyperlink"/>
                <w:rFonts w:cstheme="minorHAnsi"/>
                <w:b/>
                <w:noProof/>
              </w:rPr>
              <w:t>Documentos revisados</w:t>
            </w:r>
            <w:r w:rsidR="00515314">
              <w:rPr>
                <w:noProof/>
                <w:webHidden/>
              </w:rPr>
              <w:tab/>
            </w:r>
            <w:r w:rsidR="00515314">
              <w:rPr>
                <w:noProof/>
                <w:webHidden/>
              </w:rPr>
              <w:fldChar w:fldCharType="begin"/>
            </w:r>
            <w:r w:rsidR="00515314">
              <w:rPr>
                <w:noProof/>
                <w:webHidden/>
              </w:rPr>
              <w:instrText xml:space="preserve"> PAGEREF _Toc523393998 \h </w:instrText>
            </w:r>
            <w:r w:rsidR="00515314">
              <w:rPr>
                <w:noProof/>
                <w:webHidden/>
              </w:rPr>
            </w:r>
            <w:r w:rsidR="00515314">
              <w:rPr>
                <w:noProof/>
                <w:webHidden/>
              </w:rPr>
              <w:fldChar w:fldCharType="separate"/>
            </w:r>
            <w:r w:rsidR="00515314">
              <w:rPr>
                <w:noProof/>
                <w:webHidden/>
              </w:rPr>
              <w:t>35</w:t>
            </w:r>
            <w:r w:rsidR="00515314">
              <w:rPr>
                <w:noProof/>
                <w:webHidden/>
              </w:rPr>
              <w:fldChar w:fldCharType="end"/>
            </w:r>
          </w:hyperlink>
        </w:p>
        <w:p w14:paraId="29F0F06D" w14:textId="342BA586" w:rsidR="00CF5ACA" w:rsidRPr="009A3727" w:rsidRDefault="00CF5ACA" w:rsidP="009A3727">
          <w:pPr>
            <w:spacing w:line="240" w:lineRule="auto"/>
          </w:pPr>
          <w:r w:rsidRPr="009A3727">
            <w:rPr>
              <w:bCs/>
              <w:noProof/>
            </w:rPr>
            <w:fldChar w:fldCharType="end"/>
          </w:r>
        </w:p>
      </w:sdtContent>
    </w:sdt>
    <w:p w14:paraId="0C1A9BE6" w14:textId="73DB833E" w:rsidR="0065356A" w:rsidRDefault="0065356A">
      <w:pPr>
        <w:rPr>
          <w:b/>
        </w:rPr>
      </w:pPr>
      <w:r>
        <w:rPr>
          <w:b/>
        </w:rPr>
        <w:br w:type="page"/>
      </w:r>
    </w:p>
    <w:p w14:paraId="13B928B4" w14:textId="77777777" w:rsidR="007B3406" w:rsidRPr="00515314" w:rsidRDefault="007B3406" w:rsidP="00E6306A">
      <w:pPr>
        <w:pStyle w:val="Heading1"/>
        <w:rPr>
          <w:b/>
          <w:color w:val="000000" w:themeColor="text1"/>
          <w:sz w:val="28"/>
          <w:szCs w:val="28"/>
        </w:rPr>
      </w:pPr>
      <w:bookmarkStart w:id="0" w:name="_Toc523393979"/>
      <w:r w:rsidRPr="00515314">
        <w:rPr>
          <w:b/>
          <w:color w:val="000000" w:themeColor="text1"/>
          <w:sz w:val="28"/>
          <w:szCs w:val="28"/>
        </w:rPr>
        <w:lastRenderedPageBreak/>
        <w:t>Resumen Ejecutivo</w:t>
      </w:r>
      <w:bookmarkEnd w:id="0"/>
    </w:p>
    <w:p w14:paraId="650D630A" w14:textId="3D711E18" w:rsidR="007B3406" w:rsidRDefault="007B3406">
      <w:pPr>
        <w:rPr>
          <w:b/>
          <w:sz w:val="28"/>
          <w:szCs w:val="28"/>
        </w:rPr>
      </w:pPr>
    </w:p>
    <w:p w14:paraId="23DFA2C4" w14:textId="41AD59C0" w:rsidR="00A864AF" w:rsidRPr="00857BCB" w:rsidRDefault="00A864AF" w:rsidP="006C47E9">
      <w:pPr>
        <w:jc w:val="both"/>
        <w:rPr>
          <w:sz w:val="24"/>
          <w:szCs w:val="24"/>
        </w:rPr>
      </w:pPr>
      <w:r w:rsidRPr="00857BCB">
        <w:rPr>
          <w:sz w:val="24"/>
          <w:szCs w:val="24"/>
        </w:rPr>
        <w:t xml:space="preserve">En esta evaluación, analizamos </w:t>
      </w:r>
      <w:r w:rsidR="00515314" w:rsidRPr="00857BCB">
        <w:rPr>
          <w:sz w:val="24"/>
          <w:szCs w:val="24"/>
        </w:rPr>
        <w:t>el desempeño</w:t>
      </w:r>
      <w:r w:rsidRPr="00857BCB">
        <w:rPr>
          <w:sz w:val="24"/>
          <w:szCs w:val="24"/>
        </w:rPr>
        <w:t xml:space="preserve"> del proyecto “Fortalecimiento del Proceso de Descentralización y Modernización del Estado” en cuatro indicadores</w:t>
      </w:r>
      <w:r w:rsidR="00582C0A" w:rsidRPr="00857BCB">
        <w:rPr>
          <w:sz w:val="24"/>
          <w:szCs w:val="24"/>
        </w:rPr>
        <w:t xml:space="preserve"> priorizados por los estándares de evaluación de PNUD: eficacia, eficiencia, pertinencia y sostenibilidad. </w:t>
      </w:r>
      <w:r w:rsidR="005F5172" w:rsidRPr="00857BCB">
        <w:rPr>
          <w:sz w:val="24"/>
          <w:szCs w:val="24"/>
        </w:rPr>
        <w:t>Asimismo, prestamos atención a la aplicación de los enfoques priorizados por PNUD: territorialidad, género, derechos humanos e interculturalidad.</w:t>
      </w:r>
      <w:r w:rsidR="00EB1B08" w:rsidRPr="00857BCB">
        <w:rPr>
          <w:sz w:val="24"/>
          <w:szCs w:val="24"/>
        </w:rPr>
        <w:t xml:space="preserve"> De esta evaluación encontramos lecciones aprendidas </w:t>
      </w:r>
      <w:r w:rsidR="003B4C4D" w:rsidRPr="00857BCB">
        <w:rPr>
          <w:sz w:val="24"/>
          <w:szCs w:val="24"/>
        </w:rPr>
        <w:t>positivas</w:t>
      </w:r>
      <w:r w:rsidR="00EB1B08" w:rsidRPr="00857BCB">
        <w:rPr>
          <w:sz w:val="24"/>
          <w:szCs w:val="24"/>
        </w:rPr>
        <w:t xml:space="preserve"> alrededor de </w:t>
      </w:r>
      <w:r w:rsidR="000B21F7" w:rsidRPr="00857BCB">
        <w:rPr>
          <w:sz w:val="24"/>
          <w:szCs w:val="24"/>
        </w:rPr>
        <w:t>cuatro</w:t>
      </w:r>
      <w:r w:rsidR="00EB1B08" w:rsidRPr="00857BCB">
        <w:rPr>
          <w:sz w:val="24"/>
          <w:szCs w:val="24"/>
        </w:rPr>
        <w:t xml:space="preserve"> resultados</w:t>
      </w:r>
      <w:r w:rsidR="000B21F7" w:rsidRPr="00857BCB">
        <w:rPr>
          <w:sz w:val="24"/>
          <w:szCs w:val="24"/>
        </w:rPr>
        <w:t xml:space="preserve">: </w:t>
      </w:r>
      <w:r w:rsidR="00AE5820" w:rsidRPr="00857BCB">
        <w:rPr>
          <w:sz w:val="24"/>
          <w:szCs w:val="24"/>
        </w:rPr>
        <w:t>la creación de los GORE</w:t>
      </w:r>
      <w:r w:rsidR="000B21F7" w:rsidRPr="00857BCB">
        <w:rPr>
          <w:sz w:val="24"/>
          <w:szCs w:val="24"/>
        </w:rPr>
        <w:t xml:space="preserve"> que innova en las relaciones intergubernamentales;</w:t>
      </w:r>
      <w:r w:rsidR="00AE5820" w:rsidRPr="00857BCB">
        <w:rPr>
          <w:sz w:val="24"/>
          <w:szCs w:val="24"/>
        </w:rPr>
        <w:t xml:space="preserve"> la implementación del MAC Lima Este</w:t>
      </w:r>
      <w:r w:rsidR="000B21F7" w:rsidRPr="00857BCB">
        <w:rPr>
          <w:sz w:val="24"/>
          <w:szCs w:val="24"/>
        </w:rPr>
        <w:t xml:space="preserve"> que amplía la estrategia de</w:t>
      </w:r>
      <w:r w:rsidR="001C2193" w:rsidRPr="00857BCB">
        <w:rPr>
          <w:sz w:val="24"/>
          <w:szCs w:val="24"/>
        </w:rPr>
        <w:t xml:space="preserve"> llevar hasta el ciudadano la</w:t>
      </w:r>
      <w:r w:rsidR="000B21F7" w:rsidRPr="00857BCB">
        <w:rPr>
          <w:sz w:val="24"/>
          <w:szCs w:val="24"/>
        </w:rPr>
        <w:t xml:space="preserve"> </w:t>
      </w:r>
      <w:r w:rsidR="001C2193" w:rsidRPr="00857BCB">
        <w:rPr>
          <w:sz w:val="24"/>
          <w:szCs w:val="24"/>
        </w:rPr>
        <w:t>simplificación administrativa</w:t>
      </w:r>
      <w:r w:rsidR="00B61ED2" w:rsidRPr="00857BCB">
        <w:rPr>
          <w:sz w:val="24"/>
          <w:szCs w:val="24"/>
        </w:rPr>
        <w:t xml:space="preserve">, </w:t>
      </w:r>
      <w:r w:rsidR="00AE5820" w:rsidRPr="00857BCB">
        <w:rPr>
          <w:sz w:val="24"/>
          <w:szCs w:val="24"/>
        </w:rPr>
        <w:t xml:space="preserve">el diseño del sistema </w:t>
      </w:r>
      <w:proofErr w:type="spellStart"/>
      <w:r w:rsidR="00AE5820" w:rsidRPr="00857BCB">
        <w:rPr>
          <w:sz w:val="24"/>
          <w:szCs w:val="24"/>
        </w:rPr>
        <w:t>Sayhuite</w:t>
      </w:r>
      <w:proofErr w:type="spellEnd"/>
      <w:r w:rsidR="00B61ED2" w:rsidRPr="00857BCB">
        <w:rPr>
          <w:sz w:val="24"/>
          <w:szCs w:val="24"/>
        </w:rPr>
        <w:t xml:space="preserve"> </w:t>
      </w:r>
      <w:r w:rsidR="001C2193" w:rsidRPr="00857BCB">
        <w:rPr>
          <w:sz w:val="24"/>
          <w:szCs w:val="24"/>
        </w:rPr>
        <w:t xml:space="preserve">que avanza en el gobierno digital, </w:t>
      </w:r>
      <w:r w:rsidR="00B61ED2" w:rsidRPr="00857BCB">
        <w:rPr>
          <w:sz w:val="24"/>
          <w:szCs w:val="24"/>
        </w:rPr>
        <w:t>y el trabajo de fortalecimiento de mancomunidades</w:t>
      </w:r>
      <w:r w:rsidR="001C2193" w:rsidRPr="00857BCB">
        <w:rPr>
          <w:sz w:val="24"/>
          <w:szCs w:val="24"/>
        </w:rPr>
        <w:t xml:space="preserve"> que permite una posibilidad de romper la tendencia a la fragmentación de unidades de gobierno</w:t>
      </w:r>
      <w:r w:rsidR="00B61ED2" w:rsidRPr="00857BCB">
        <w:rPr>
          <w:sz w:val="24"/>
          <w:szCs w:val="24"/>
        </w:rPr>
        <w:t xml:space="preserve">. De otro lado, resaltamos los problemas que encontramos con las evaluaciones a </w:t>
      </w:r>
      <w:r w:rsidR="000B21F7" w:rsidRPr="00857BCB">
        <w:rPr>
          <w:sz w:val="24"/>
          <w:szCs w:val="24"/>
        </w:rPr>
        <w:t>las transferencias</w:t>
      </w:r>
      <w:r w:rsidR="00B61ED2" w:rsidRPr="00857BCB">
        <w:rPr>
          <w:sz w:val="24"/>
          <w:szCs w:val="24"/>
        </w:rPr>
        <w:t xml:space="preserve"> de competencias y la determinación de Acciones de Mejora Continua</w:t>
      </w:r>
      <w:r w:rsidR="008F6BBA" w:rsidRPr="00857BCB">
        <w:rPr>
          <w:sz w:val="24"/>
          <w:szCs w:val="24"/>
        </w:rPr>
        <w:t xml:space="preserve"> que se llevaron adelante </w:t>
      </w:r>
      <w:r w:rsidR="001C2193" w:rsidRPr="00857BCB">
        <w:rPr>
          <w:sz w:val="24"/>
          <w:szCs w:val="24"/>
        </w:rPr>
        <w:t>entre</w:t>
      </w:r>
      <w:r w:rsidR="008F6BBA" w:rsidRPr="00857BCB">
        <w:rPr>
          <w:sz w:val="24"/>
          <w:szCs w:val="24"/>
        </w:rPr>
        <w:t xml:space="preserve"> 2013</w:t>
      </w:r>
      <w:r w:rsidR="001C2193" w:rsidRPr="00857BCB">
        <w:rPr>
          <w:sz w:val="24"/>
          <w:szCs w:val="24"/>
        </w:rPr>
        <w:t xml:space="preserve"> y 2016</w:t>
      </w:r>
      <w:r w:rsidR="00B61ED2" w:rsidRPr="00857BCB">
        <w:rPr>
          <w:sz w:val="24"/>
          <w:szCs w:val="24"/>
        </w:rPr>
        <w:t>.</w:t>
      </w:r>
    </w:p>
    <w:p w14:paraId="49C683ED" w14:textId="257AD3BC" w:rsidR="002C6919" w:rsidRPr="00857BCB" w:rsidRDefault="000876B4" w:rsidP="006C47E9">
      <w:pPr>
        <w:jc w:val="both"/>
        <w:rPr>
          <w:sz w:val="24"/>
          <w:szCs w:val="24"/>
        </w:rPr>
      </w:pPr>
      <w:r w:rsidRPr="00857BCB">
        <w:rPr>
          <w:sz w:val="24"/>
          <w:szCs w:val="24"/>
        </w:rPr>
        <w:t>E</w:t>
      </w:r>
      <w:r w:rsidR="006C1EC1" w:rsidRPr="00857BCB">
        <w:rPr>
          <w:sz w:val="24"/>
          <w:szCs w:val="24"/>
        </w:rPr>
        <w:t xml:space="preserve">l </w:t>
      </w:r>
      <w:r w:rsidR="00C02F00" w:rsidRPr="00857BCB">
        <w:rPr>
          <w:sz w:val="24"/>
          <w:szCs w:val="24"/>
        </w:rPr>
        <w:t>proyecto</w:t>
      </w:r>
      <w:r w:rsidR="006219F4" w:rsidRPr="00857BCB">
        <w:rPr>
          <w:sz w:val="24"/>
          <w:szCs w:val="24"/>
        </w:rPr>
        <w:t xml:space="preserve"> 00059</w:t>
      </w:r>
      <w:r w:rsidR="0098350F" w:rsidRPr="00857BCB">
        <w:rPr>
          <w:sz w:val="24"/>
          <w:szCs w:val="24"/>
        </w:rPr>
        <w:t>451</w:t>
      </w:r>
      <w:r w:rsidR="00F35CAA" w:rsidRPr="00857BCB">
        <w:rPr>
          <w:sz w:val="24"/>
          <w:szCs w:val="24"/>
        </w:rPr>
        <w:t xml:space="preserve"> deja importantes lecciones sobre</w:t>
      </w:r>
      <w:r w:rsidR="001C2193" w:rsidRPr="00857BCB">
        <w:rPr>
          <w:sz w:val="24"/>
          <w:szCs w:val="24"/>
        </w:rPr>
        <w:t xml:space="preserve"> grandes objetivos sostenidos y</w:t>
      </w:r>
      <w:r w:rsidR="00D37C93" w:rsidRPr="00857BCB">
        <w:rPr>
          <w:sz w:val="24"/>
          <w:szCs w:val="24"/>
        </w:rPr>
        <w:t xml:space="preserve"> dinámica</w:t>
      </w:r>
      <w:r w:rsidR="001C2193" w:rsidRPr="00857BCB">
        <w:rPr>
          <w:sz w:val="24"/>
          <w:szCs w:val="24"/>
        </w:rPr>
        <w:t>s</w:t>
      </w:r>
      <w:r w:rsidR="00D37C93" w:rsidRPr="00857BCB">
        <w:rPr>
          <w:sz w:val="24"/>
          <w:szCs w:val="24"/>
        </w:rPr>
        <w:t xml:space="preserve"> de</w:t>
      </w:r>
      <w:r w:rsidR="00F35CAA" w:rsidRPr="00857BCB">
        <w:rPr>
          <w:sz w:val="24"/>
          <w:szCs w:val="24"/>
        </w:rPr>
        <w:t xml:space="preserve"> cambio de políticas</w:t>
      </w:r>
      <w:r w:rsidR="00D37C93" w:rsidRPr="00857BCB">
        <w:rPr>
          <w:sz w:val="24"/>
          <w:szCs w:val="24"/>
        </w:rPr>
        <w:t xml:space="preserve"> en tres gestiones presidenciales</w:t>
      </w:r>
      <w:r w:rsidR="00BA4D11" w:rsidRPr="00857BCB">
        <w:rPr>
          <w:sz w:val="24"/>
          <w:szCs w:val="24"/>
        </w:rPr>
        <w:t>. Dado que el proyecto</w:t>
      </w:r>
      <w:r w:rsidR="00442C9A" w:rsidRPr="00857BCB">
        <w:rPr>
          <w:sz w:val="24"/>
          <w:szCs w:val="24"/>
        </w:rPr>
        <w:t xml:space="preserve"> con</w:t>
      </w:r>
      <w:r w:rsidR="00C02F00" w:rsidRPr="00857BCB">
        <w:rPr>
          <w:sz w:val="24"/>
          <w:szCs w:val="24"/>
        </w:rPr>
        <w:t xml:space="preserve"> PNUD </w:t>
      </w:r>
      <w:r w:rsidR="0098350F" w:rsidRPr="00857BCB">
        <w:rPr>
          <w:sz w:val="24"/>
          <w:szCs w:val="24"/>
        </w:rPr>
        <w:t xml:space="preserve">manejó </w:t>
      </w:r>
      <w:r w:rsidR="00C02F00" w:rsidRPr="00857BCB">
        <w:rPr>
          <w:sz w:val="24"/>
          <w:szCs w:val="24"/>
        </w:rPr>
        <w:t>fondos del propio Estado</w:t>
      </w:r>
      <w:r w:rsidR="00BA4D11" w:rsidRPr="00857BCB">
        <w:rPr>
          <w:sz w:val="24"/>
          <w:szCs w:val="24"/>
        </w:rPr>
        <w:t xml:space="preserve">, aquel </w:t>
      </w:r>
      <w:r w:rsidR="00970CB2" w:rsidRPr="00857BCB">
        <w:rPr>
          <w:sz w:val="24"/>
          <w:szCs w:val="24"/>
        </w:rPr>
        <w:t xml:space="preserve">tuvo </w:t>
      </w:r>
      <w:r w:rsidR="00C02F00" w:rsidRPr="00857BCB">
        <w:rPr>
          <w:sz w:val="24"/>
          <w:szCs w:val="24"/>
        </w:rPr>
        <w:t xml:space="preserve">un doble carácter: por un lado </w:t>
      </w:r>
      <w:r w:rsidR="006C1EC1" w:rsidRPr="00857BCB">
        <w:rPr>
          <w:sz w:val="24"/>
          <w:szCs w:val="24"/>
        </w:rPr>
        <w:t xml:space="preserve">tuvo </w:t>
      </w:r>
      <w:r w:rsidR="00442C9A" w:rsidRPr="00857BCB">
        <w:rPr>
          <w:sz w:val="24"/>
          <w:szCs w:val="24"/>
        </w:rPr>
        <w:t xml:space="preserve">una </w:t>
      </w:r>
      <w:r w:rsidR="001C2193" w:rsidRPr="00857BCB">
        <w:rPr>
          <w:i/>
          <w:sz w:val="24"/>
          <w:szCs w:val="24"/>
        </w:rPr>
        <w:t>faceta externa</w:t>
      </w:r>
      <w:r w:rsidR="00442C9A" w:rsidRPr="00857BCB">
        <w:rPr>
          <w:sz w:val="24"/>
          <w:szCs w:val="24"/>
        </w:rPr>
        <w:t xml:space="preserve"> (por la cual</w:t>
      </w:r>
      <w:r w:rsidR="00524224" w:rsidRPr="00857BCB">
        <w:rPr>
          <w:sz w:val="24"/>
          <w:szCs w:val="24"/>
        </w:rPr>
        <w:t xml:space="preserve"> PNUD</w:t>
      </w:r>
      <w:r w:rsidR="00B0324A" w:rsidRPr="00857BCB">
        <w:rPr>
          <w:sz w:val="24"/>
          <w:szCs w:val="24"/>
        </w:rPr>
        <w:t xml:space="preserve"> e</w:t>
      </w:r>
      <w:r w:rsidRPr="00857BCB">
        <w:rPr>
          <w:sz w:val="24"/>
          <w:szCs w:val="24"/>
        </w:rPr>
        <w:t>ra</w:t>
      </w:r>
      <w:r w:rsidR="00B0324A" w:rsidRPr="00857BCB">
        <w:rPr>
          <w:sz w:val="24"/>
          <w:szCs w:val="24"/>
        </w:rPr>
        <w:t xml:space="preserve"> garante </w:t>
      </w:r>
      <w:r w:rsidR="001C2193" w:rsidRPr="00857BCB">
        <w:rPr>
          <w:sz w:val="24"/>
          <w:szCs w:val="24"/>
        </w:rPr>
        <w:t xml:space="preserve">externo </w:t>
      </w:r>
      <w:r w:rsidR="00B0324A" w:rsidRPr="00857BCB">
        <w:rPr>
          <w:sz w:val="24"/>
          <w:szCs w:val="24"/>
        </w:rPr>
        <w:t>de sus actividades</w:t>
      </w:r>
      <w:r w:rsidR="00524224" w:rsidRPr="00857BCB">
        <w:rPr>
          <w:sz w:val="24"/>
          <w:szCs w:val="24"/>
        </w:rPr>
        <w:t xml:space="preserve">) </w:t>
      </w:r>
      <w:r w:rsidR="00442C9A" w:rsidRPr="00857BCB">
        <w:rPr>
          <w:sz w:val="24"/>
          <w:szCs w:val="24"/>
        </w:rPr>
        <w:t>pero</w:t>
      </w:r>
      <w:r w:rsidR="00C02F00" w:rsidRPr="00857BCB">
        <w:rPr>
          <w:sz w:val="24"/>
          <w:szCs w:val="24"/>
        </w:rPr>
        <w:t xml:space="preserve"> al mismo tiempo</w:t>
      </w:r>
      <w:r w:rsidR="00C576B8" w:rsidRPr="00857BCB">
        <w:rPr>
          <w:sz w:val="24"/>
          <w:szCs w:val="24"/>
        </w:rPr>
        <w:t xml:space="preserve"> -al </w:t>
      </w:r>
      <w:r w:rsidR="006C7C6A" w:rsidRPr="00857BCB">
        <w:rPr>
          <w:sz w:val="24"/>
          <w:szCs w:val="24"/>
        </w:rPr>
        <w:t>tratarse de</w:t>
      </w:r>
      <w:r w:rsidR="00C576B8" w:rsidRPr="00857BCB">
        <w:rPr>
          <w:sz w:val="24"/>
          <w:szCs w:val="24"/>
        </w:rPr>
        <w:t xml:space="preserve"> recursos públicos-</w:t>
      </w:r>
      <w:r w:rsidR="00C02F00" w:rsidRPr="00857BCB">
        <w:rPr>
          <w:sz w:val="24"/>
          <w:szCs w:val="24"/>
        </w:rPr>
        <w:t xml:space="preserve"> </w:t>
      </w:r>
      <w:r w:rsidR="00D37C93" w:rsidRPr="00857BCB">
        <w:rPr>
          <w:sz w:val="24"/>
          <w:szCs w:val="24"/>
        </w:rPr>
        <w:t>tuvo</w:t>
      </w:r>
      <w:r w:rsidR="00524224" w:rsidRPr="00857BCB">
        <w:rPr>
          <w:sz w:val="24"/>
          <w:szCs w:val="24"/>
        </w:rPr>
        <w:t xml:space="preserve"> una </w:t>
      </w:r>
      <w:r w:rsidR="00524224" w:rsidRPr="00857BCB">
        <w:rPr>
          <w:i/>
          <w:sz w:val="24"/>
          <w:szCs w:val="24"/>
        </w:rPr>
        <w:t>faceta interna</w:t>
      </w:r>
      <w:r w:rsidR="00524224" w:rsidRPr="00857BCB">
        <w:rPr>
          <w:sz w:val="24"/>
          <w:szCs w:val="24"/>
        </w:rPr>
        <w:t xml:space="preserve"> que le</w:t>
      </w:r>
      <w:r w:rsidR="00E97229" w:rsidRPr="00857BCB">
        <w:rPr>
          <w:sz w:val="24"/>
          <w:szCs w:val="24"/>
        </w:rPr>
        <w:t xml:space="preserve"> da un liderazgo mucho más fuerte a la institución pública</w:t>
      </w:r>
      <w:r w:rsidRPr="00857BCB">
        <w:rPr>
          <w:sz w:val="24"/>
          <w:szCs w:val="24"/>
        </w:rPr>
        <w:t xml:space="preserve"> sobre el organismo cooperante</w:t>
      </w:r>
      <w:r w:rsidR="00E97229" w:rsidRPr="00857BCB">
        <w:rPr>
          <w:sz w:val="24"/>
          <w:szCs w:val="24"/>
        </w:rPr>
        <w:t xml:space="preserve">. </w:t>
      </w:r>
      <w:r w:rsidR="006B4D23" w:rsidRPr="00857BCB">
        <w:rPr>
          <w:sz w:val="24"/>
          <w:szCs w:val="24"/>
        </w:rPr>
        <w:t>Precisamente esta faceta interna</w:t>
      </w:r>
      <w:r w:rsidR="00E97229" w:rsidRPr="00857BCB">
        <w:rPr>
          <w:sz w:val="24"/>
          <w:szCs w:val="24"/>
        </w:rPr>
        <w:t xml:space="preserve"> </w:t>
      </w:r>
      <w:r w:rsidR="00A72FE1" w:rsidRPr="00857BCB">
        <w:rPr>
          <w:sz w:val="24"/>
          <w:szCs w:val="24"/>
        </w:rPr>
        <w:t xml:space="preserve">permitió </w:t>
      </w:r>
      <w:r w:rsidR="006B4D23" w:rsidRPr="00857BCB">
        <w:rPr>
          <w:sz w:val="24"/>
          <w:szCs w:val="24"/>
        </w:rPr>
        <w:t xml:space="preserve">que el proyecto se </w:t>
      </w:r>
      <w:r w:rsidR="00A72FE1" w:rsidRPr="00857BCB">
        <w:rPr>
          <w:sz w:val="24"/>
          <w:szCs w:val="24"/>
        </w:rPr>
        <w:t xml:space="preserve">haya adecuado </w:t>
      </w:r>
      <w:r w:rsidR="00524224" w:rsidRPr="00857BCB">
        <w:rPr>
          <w:sz w:val="24"/>
          <w:szCs w:val="24"/>
        </w:rPr>
        <w:t>con relativa facilidad</w:t>
      </w:r>
      <w:r w:rsidR="00C02F00" w:rsidRPr="00857BCB">
        <w:rPr>
          <w:sz w:val="24"/>
          <w:szCs w:val="24"/>
        </w:rPr>
        <w:t xml:space="preserve"> a las políticas</w:t>
      </w:r>
      <w:r w:rsidR="00524224" w:rsidRPr="00857BCB">
        <w:rPr>
          <w:sz w:val="24"/>
          <w:szCs w:val="24"/>
        </w:rPr>
        <w:t xml:space="preserve"> prioritarias</w:t>
      </w:r>
      <w:r w:rsidR="00F23E54" w:rsidRPr="00857BCB">
        <w:rPr>
          <w:sz w:val="24"/>
          <w:szCs w:val="24"/>
        </w:rPr>
        <w:t xml:space="preserve"> cambiantes</w:t>
      </w:r>
      <w:r w:rsidR="00524224" w:rsidRPr="00857BCB">
        <w:rPr>
          <w:sz w:val="24"/>
          <w:szCs w:val="24"/>
        </w:rPr>
        <w:t xml:space="preserve"> </w:t>
      </w:r>
      <w:r w:rsidR="00F23E54" w:rsidRPr="00857BCB">
        <w:rPr>
          <w:sz w:val="24"/>
          <w:szCs w:val="24"/>
        </w:rPr>
        <w:t>de las distintas gestiones de gobierno</w:t>
      </w:r>
      <w:r w:rsidR="00C02F00" w:rsidRPr="00857BCB">
        <w:rPr>
          <w:sz w:val="24"/>
          <w:szCs w:val="24"/>
        </w:rPr>
        <w:t xml:space="preserve">. </w:t>
      </w:r>
      <w:r w:rsidR="00524224" w:rsidRPr="00857BCB">
        <w:rPr>
          <w:sz w:val="24"/>
          <w:szCs w:val="24"/>
        </w:rPr>
        <w:t>En ese sentido, e</w:t>
      </w:r>
      <w:r w:rsidR="00C02F00" w:rsidRPr="00857BCB">
        <w:rPr>
          <w:sz w:val="24"/>
          <w:szCs w:val="24"/>
        </w:rPr>
        <w:t>l indicador de pertinencia</w:t>
      </w:r>
      <w:r w:rsidR="00F94815" w:rsidRPr="00857BCB">
        <w:rPr>
          <w:sz w:val="24"/>
          <w:szCs w:val="24"/>
        </w:rPr>
        <w:t xml:space="preserve"> </w:t>
      </w:r>
      <w:r w:rsidR="001C2193" w:rsidRPr="00857BCB">
        <w:rPr>
          <w:sz w:val="24"/>
          <w:szCs w:val="24"/>
        </w:rPr>
        <w:t xml:space="preserve">  </w:t>
      </w:r>
      <w:r w:rsidR="00F94815" w:rsidRPr="00857BCB">
        <w:rPr>
          <w:sz w:val="24"/>
          <w:szCs w:val="24"/>
        </w:rPr>
        <w:t>para el proyecto</w:t>
      </w:r>
      <w:r w:rsidR="006C1EC1" w:rsidRPr="00857BCB">
        <w:rPr>
          <w:sz w:val="24"/>
          <w:szCs w:val="24"/>
        </w:rPr>
        <w:t xml:space="preserve"> fue</w:t>
      </w:r>
      <w:r w:rsidR="00C02F00" w:rsidRPr="00857BCB">
        <w:rPr>
          <w:sz w:val="24"/>
          <w:szCs w:val="24"/>
        </w:rPr>
        <w:t xml:space="preserve"> siempre</w:t>
      </w:r>
      <w:r w:rsidR="00A72FE1" w:rsidRPr="00857BCB">
        <w:rPr>
          <w:sz w:val="24"/>
          <w:szCs w:val="24"/>
        </w:rPr>
        <w:t xml:space="preserve"> </w:t>
      </w:r>
      <w:r w:rsidR="00524224" w:rsidRPr="00857BCB">
        <w:rPr>
          <w:sz w:val="24"/>
          <w:szCs w:val="24"/>
        </w:rPr>
        <w:t>alto</w:t>
      </w:r>
      <w:r w:rsidR="00C02F00" w:rsidRPr="00857BCB">
        <w:rPr>
          <w:sz w:val="24"/>
          <w:szCs w:val="24"/>
        </w:rPr>
        <w:t xml:space="preserve">. </w:t>
      </w:r>
      <w:r w:rsidR="00524224" w:rsidRPr="00857BCB">
        <w:rPr>
          <w:sz w:val="24"/>
          <w:szCs w:val="24"/>
        </w:rPr>
        <w:t xml:space="preserve">Sin embargo, </w:t>
      </w:r>
      <w:r w:rsidR="00C02F00" w:rsidRPr="00857BCB">
        <w:rPr>
          <w:sz w:val="24"/>
          <w:szCs w:val="24"/>
        </w:rPr>
        <w:t>el indicador de sostenibilidad</w:t>
      </w:r>
      <w:r w:rsidR="00524224" w:rsidRPr="00857BCB">
        <w:rPr>
          <w:sz w:val="24"/>
          <w:szCs w:val="24"/>
        </w:rPr>
        <w:t xml:space="preserve"> se </w:t>
      </w:r>
      <w:r w:rsidR="00FD38BA" w:rsidRPr="00857BCB">
        <w:rPr>
          <w:sz w:val="24"/>
          <w:szCs w:val="24"/>
        </w:rPr>
        <w:t>vio</w:t>
      </w:r>
      <w:r w:rsidR="009B3E62" w:rsidRPr="00857BCB">
        <w:rPr>
          <w:sz w:val="24"/>
          <w:szCs w:val="24"/>
        </w:rPr>
        <w:t xml:space="preserve"> </w:t>
      </w:r>
      <w:r w:rsidR="001615B6" w:rsidRPr="00857BCB">
        <w:rPr>
          <w:sz w:val="24"/>
          <w:szCs w:val="24"/>
        </w:rPr>
        <w:t xml:space="preserve">parcialmente </w:t>
      </w:r>
      <w:r w:rsidR="00524224" w:rsidRPr="00857BCB">
        <w:rPr>
          <w:sz w:val="24"/>
          <w:szCs w:val="24"/>
        </w:rPr>
        <w:t>afectado por estos cambios: c</w:t>
      </w:r>
      <w:r w:rsidR="00C02F00" w:rsidRPr="00857BCB">
        <w:rPr>
          <w:sz w:val="24"/>
          <w:szCs w:val="24"/>
        </w:rPr>
        <w:t xml:space="preserve">uando </w:t>
      </w:r>
      <w:r w:rsidR="009B3E62" w:rsidRPr="00857BCB">
        <w:rPr>
          <w:sz w:val="24"/>
          <w:szCs w:val="24"/>
        </w:rPr>
        <w:t>cambi</w:t>
      </w:r>
      <w:r w:rsidR="001C2193" w:rsidRPr="00857BCB">
        <w:rPr>
          <w:sz w:val="24"/>
          <w:szCs w:val="24"/>
        </w:rPr>
        <w:t>a</w:t>
      </w:r>
      <w:r w:rsidR="009B3E62" w:rsidRPr="00857BCB">
        <w:rPr>
          <w:sz w:val="24"/>
          <w:szCs w:val="24"/>
        </w:rPr>
        <w:t xml:space="preserve"> </w:t>
      </w:r>
      <w:r w:rsidR="00C02F00" w:rsidRPr="00857BCB">
        <w:rPr>
          <w:sz w:val="24"/>
          <w:szCs w:val="24"/>
        </w:rPr>
        <w:t xml:space="preserve">el gobierno, </w:t>
      </w:r>
      <w:r w:rsidR="009B3E62" w:rsidRPr="00857BCB">
        <w:rPr>
          <w:sz w:val="24"/>
          <w:szCs w:val="24"/>
        </w:rPr>
        <w:t>cambi</w:t>
      </w:r>
      <w:r w:rsidR="001C2193" w:rsidRPr="00857BCB">
        <w:rPr>
          <w:sz w:val="24"/>
          <w:szCs w:val="24"/>
        </w:rPr>
        <w:t>a</w:t>
      </w:r>
      <w:r w:rsidR="009B3E62" w:rsidRPr="00857BCB">
        <w:rPr>
          <w:sz w:val="24"/>
          <w:szCs w:val="24"/>
        </w:rPr>
        <w:t xml:space="preserve"> </w:t>
      </w:r>
      <w:r w:rsidR="00C02F00" w:rsidRPr="00857BCB">
        <w:rPr>
          <w:sz w:val="24"/>
          <w:szCs w:val="24"/>
        </w:rPr>
        <w:t>la política</w:t>
      </w:r>
      <w:r w:rsidR="00524224" w:rsidRPr="00857BCB">
        <w:rPr>
          <w:sz w:val="24"/>
          <w:szCs w:val="24"/>
        </w:rPr>
        <w:t xml:space="preserve">, y no </w:t>
      </w:r>
      <w:r w:rsidR="001C2193" w:rsidRPr="00857BCB">
        <w:rPr>
          <w:sz w:val="24"/>
          <w:szCs w:val="24"/>
        </w:rPr>
        <w:t>siempre se hacen esfuerzos por</w:t>
      </w:r>
      <w:r w:rsidR="00A5608A" w:rsidRPr="00857BCB">
        <w:rPr>
          <w:sz w:val="24"/>
          <w:szCs w:val="24"/>
        </w:rPr>
        <w:t xml:space="preserve"> establecer continuidades</w:t>
      </w:r>
      <w:r w:rsidR="00757975" w:rsidRPr="00857BCB">
        <w:rPr>
          <w:sz w:val="24"/>
          <w:szCs w:val="24"/>
        </w:rPr>
        <w:t xml:space="preserve"> entre una y otra</w:t>
      </w:r>
      <w:r w:rsidR="00A5608A" w:rsidRPr="00857BCB">
        <w:rPr>
          <w:sz w:val="24"/>
          <w:szCs w:val="24"/>
        </w:rPr>
        <w:t xml:space="preserve"> gestión</w:t>
      </w:r>
      <w:r w:rsidR="00F94815" w:rsidRPr="00857BCB">
        <w:rPr>
          <w:sz w:val="24"/>
          <w:szCs w:val="24"/>
        </w:rPr>
        <w:t>.</w:t>
      </w:r>
      <w:r w:rsidR="009B3E62" w:rsidRPr="00857BCB">
        <w:rPr>
          <w:sz w:val="24"/>
          <w:szCs w:val="24"/>
        </w:rPr>
        <w:t xml:space="preserve"> </w:t>
      </w:r>
      <w:r w:rsidR="00F94815" w:rsidRPr="00857BCB">
        <w:rPr>
          <w:sz w:val="24"/>
          <w:szCs w:val="24"/>
        </w:rPr>
        <w:t>E</w:t>
      </w:r>
      <w:r w:rsidR="009B3E62" w:rsidRPr="00857BCB">
        <w:rPr>
          <w:sz w:val="24"/>
          <w:szCs w:val="24"/>
        </w:rPr>
        <w:t>l caso más notorio de esta dinámica fue el de las evaluaciones a las transferencias de competencias que dirigió la Secretaría de Descentralización entre 2013 y 2016</w:t>
      </w:r>
      <w:r w:rsidR="00757975" w:rsidRPr="00857BCB">
        <w:rPr>
          <w:sz w:val="24"/>
          <w:szCs w:val="24"/>
        </w:rPr>
        <w:t xml:space="preserve">. </w:t>
      </w:r>
      <w:r w:rsidR="00F8032A" w:rsidRPr="00857BCB">
        <w:rPr>
          <w:sz w:val="24"/>
          <w:szCs w:val="24"/>
        </w:rPr>
        <w:t>Es decir</w:t>
      </w:r>
      <w:r w:rsidR="00757975" w:rsidRPr="00857BCB">
        <w:rPr>
          <w:sz w:val="24"/>
          <w:szCs w:val="24"/>
        </w:rPr>
        <w:t>, l</w:t>
      </w:r>
      <w:r w:rsidR="00AF452C" w:rsidRPr="00857BCB">
        <w:rPr>
          <w:sz w:val="24"/>
          <w:szCs w:val="24"/>
        </w:rPr>
        <w:t>a alta pertinencia del proyecto</w:t>
      </w:r>
      <w:r w:rsidR="00757975" w:rsidRPr="00857BCB">
        <w:rPr>
          <w:sz w:val="24"/>
          <w:szCs w:val="24"/>
        </w:rPr>
        <w:t xml:space="preserve"> </w:t>
      </w:r>
      <w:r w:rsidR="009B3E62" w:rsidRPr="00857BCB">
        <w:rPr>
          <w:sz w:val="24"/>
          <w:szCs w:val="24"/>
        </w:rPr>
        <w:t xml:space="preserve">encontró </w:t>
      </w:r>
      <w:r w:rsidR="00AF745B" w:rsidRPr="00857BCB">
        <w:rPr>
          <w:sz w:val="24"/>
          <w:szCs w:val="24"/>
        </w:rPr>
        <w:t>como dificultad baja sostenibilidad</w:t>
      </w:r>
      <w:r w:rsidR="00FD38BA" w:rsidRPr="00857BCB">
        <w:rPr>
          <w:sz w:val="24"/>
          <w:szCs w:val="24"/>
        </w:rPr>
        <w:t xml:space="preserve"> de algunos de sus componentes</w:t>
      </w:r>
      <w:r w:rsidR="00AF745B" w:rsidRPr="00857BCB">
        <w:rPr>
          <w:sz w:val="24"/>
          <w:szCs w:val="24"/>
        </w:rPr>
        <w:t>.</w:t>
      </w:r>
      <w:r w:rsidR="002C6919" w:rsidRPr="00857BCB">
        <w:rPr>
          <w:sz w:val="24"/>
          <w:szCs w:val="24"/>
        </w:rPr>
        <w:t xml:space="preserve"> </w:t>
      </w:r>
    </w:p>
    <w:p w14:paraId="379C496C" w14:textId="1C1B0946" w:rsidR="007B3406" w:rsidRPr="00857BCB" w:rsidRDefault="002C6919" w:rsidP="006C47E9">
      <w:pPr>
        <w:jc w:val="both"/>
        <w:rPr>
          <w:sz w:val="24"/>
          <w:szCs w:val="24"/>
        </w:rPr>
      </w:pPr>
      <w:r w:rsidRPr="00857BCB">
        <w:rPr>
          <w:sz w:val="24"/>
          <w:szCs w:val="24"/>
        </w:rPr>
        <w:t>No obstante, otros componentes del proyecto</w:t>
      </w:r>
      <w:r w:rsidR="00411367" w:rsidRPr="00857BCB">
        <w:rPr>
          <w:sz w:val="24"/>
          <w:szCs w:val="24"/>
        </w:rPr>
        <w:t xml:space="preserve"> de alta pertinencia</w:t>
      </w:r>
      <w:r w:rsidRPr="00857BCB">
        <w:rPr>
          <w:sz w:val="24"/>
          <w:szCs w:val="24"/>
        </w:rPr>
        <w:t xml:space="preserve"> sí sobrevivieron a cambio</w:t>
      </w:r>
      <w:r w:rsidR="00F8032A" w:rsidRPr="00857BCB">
        <w:rPr>
          <w:sz w:val="24"/>
          <w:szCs w:val="24"/>
        </w:rPr>
        <w:t>s en la</w:t>
      </w:r>
      <w:r w:rsidRPr="00857BCB">
        <w:rPr>
          <w:sz w:val="24"/>
          <w:szCs w:val="24"/>
        </w:rPr>
        <w:t xml:space="preserve"> gestión: aquellos vinculados a la agenda de modernización</w:t>
      </w:r>
      <w:r w:rsidR="00131345" w:rsidRPr="00857BCB">
        <w:rPr>
          <w:sz w:val="24"/>
          <w:szCs w:val="24"/>
        </w:rPr>
        <w:t xml:space="preserve"> como </w:t>
      </w:r>
      <w:proofErr w:type="spellStart"/>
      <w:r w:rsidR="00131345" w:rsidRPr="00857BCB">
        <w:rPr>
          <w:sz w:val="24"/>
          <w:szCs w:val="24"/>
        </w:rPr>
        <w:t>Sayhuite</w:t>
      </w:r>
      <w:proofErr w:type="spellEnd"/>
      <w:r w:rsidR="00131345" w:rsidRPr="00857BCB">
        <w:rPr>
          <w:sz w:val="24"/>
          <w:szCs w:val="24"/>
        </w:rPr>
        <w:t xml:space="preserve"> y </w:t>
      </w:r>
      <w:r w:rsidR="00FD096B" w:rsidRPr="00857BCB">
        <w:rPr>
          <w:sz w:val="24"/>
          <w:szCs w:val="24"/>
        </w:rPr>
        <w:t>MAC</w:t>
      </w:r>
      <w:r w:rsidRPr="00857BCB">
        <w:rPr>
          <w:sz w:val="24"/>
          <w:szCs w:val="24"/>
        </w:rPr>
        <w:t>.</w:t>
      </w:r>
      <w:r w:rsidR="001615B6" w:rsidRPr="00857BCB">
        <w:rPr>
          <w:sz w:val="24"/>
          <w:szCs w:val="24"/>
        </w:rPr>
        <w:t xml:space="preserve"> Esto se explica porque los mismos estuvieron asociados a planes </w:t>
      </w:r>
      <w:r w:rsidR="008D4B1E" w:rsidRPr="00857BCB">
        <w:rPr>
          <w:sz w:val="24"/>
          <w:szCs w:val="24"/>
        </w:rPr>
        <w:t>específicos</w:t>
      </w:r>
      <w:r w:rsidR="00FE0F21" w:rsidRPr="00857BCB">
        <w:rPr>
          <w:sz w:val="24"/>
          <w:szCs w:val="24"/>
        </w:rPr>
        <w:t xml:space="preserve"> del Estado Peruano</w:t>
      </w:r>
      <w:r w:rsidR="005C64A9" w:rsidRPr="00857BCB">
        <w:rPr>
          <w:sz w:val="24"/>
          <w:szCs w:val="24"/>
        </w:rPr>
        <w:t xml:space="preserve"> (como el Plan de Modernización de 2013) que acotaban las alternativas</w:t>
      </w:r>
      <w:r w:rsidR="00131345" w:rsidRPr="00857BCB">
        <w:rPr>
          <w:sz w:val="24"/>
          <w:szCs w:val="24"/>
        </w:rPr>
        <w:t xml:space="preserve"> de manera mucho más</w:t>
      </w:r>
      <w:r w:rsidR="00FD096B" w:rsidRPr="00857BCB">
        <w:rPr>
          <w:sz w:val="24"/>
          <w:szCs w:val="24"/>
        </w:rPr>
        <w:t xml:space="preserve"> clara que para el caso </w:t>
      </w:r>
      <w:r w:rsidR="008D4B1E" w:rsidRPr="00857BCB">
        <w:rPr>
          <w:sz w:val="24"/>
          <w:szCs w:val="24"/>
        </w:rPr>
        <w:t>de las a</w:t>
      </w:r>
      <w:r w:rsidR="00F8032A" w:rsidRPr="00857BCB">
        <w:rPr>
          <w:sz w:val="24"/>
          <w:szCs w:val="24"/>
        </w:rPr>
        <w:t>cciones vinculadas al fortalecimiento</w:t>
      </w:r>
      <w:r w:rsidR="00FD096B" w:rsidRPr="00857BCB">
        <w:rPr>
          <w:sz w:val="24"/>
          <w:szCs w:val="24"/>
        </w:rPr>
        <w:t xml:space="preserve"> de</w:t>
      </w:r>
      <w:r w:rsidR="00F8032A" w:rsidRPr="00857BCB">
        <w:rPr>
          <w:sz w:val="24"/>
          <w:szCs w:val="24"/>
        </w:rPr>
        <w:t xml:space="preserve"> la</w:t>
      </w:r>
      <w:r w:rsidR="00FD096B" w:rsidRPr="00857BCB">
        <w:rPr>
          <w:sz w:val="24"/>
          <w:szCs w:val="24"/>
        </w:rPr>
        <w:t xml:space="preserve"> descentralización.</w:t>
      </w:r>
    </w:p>
    <w:p w14:paraId="759E4511" w14:textId="77777777" w:rsidR="004D1379" w:rsidRPr="00857BCB" w:rsidRDefault="004D1379">
      <w:pPr>
        <w:rPr>
          <w:b/>
          <w:sz w:val="24"/>
          <w:szCs w:val="24"/>
        </w:rPr>
      </w:pPr>
    </w:p>
    <w:p w14:paraId="0D10092D" w14:textId="6C78E962" w:rsidR="007B3406" w:rsidRDefault="007B3406">
      <w:pPr>
        <w:rPr>
          <w:b/>
          <w:sz w:val="28"/>
          <w:szCs w:val="28"/>
        </w:rPr>
      </w:pPr>
      <w:r>
        <w:rPr>
          <w:b/>
          <w:sz w:val="28"/>
          <w:szCs w:val="28"/>
        </w:rPr>
        <w:br w:type="page"/>
      </w:r>
    </w:p>
    <w:p w14:paraId="076942FD" w14:textId="190C6F21" w:rsidR="003C4221" w:rsidRPr="003F1892" w:rsidRDefault="0065356A" w:rsidP="00E70362">
      <w:pPr>
        <w:pStyle w:val="ListParagraph"/>
        <w:numPr>
          <w:ilvl w:val="0"/>
          <w:numId w:val="1"/>
        </w:numPr>
        <w:jc w:val="both"/>
        <w:outlineLvl w:val="0"/>
        <w:rPr>
          <w:b/>
          <w:sz w:val="28"/>
          <w:szCs w:val="28"/>
        </w:rPr>
      </w:pPr>
      <w:bookmarkStart w:id="1" w:name="_Toc523393980"/>
      <w:r w:rsidRPr="003F1892">
        <w:rPr>
          <w:b/>
          <w:sz w:val="28"/>
          <w:szCs w:val="28"/>
        </w:rPr>
        <w:lastRenderedPageBreak/>
        <w:t>Introducción: el c</w:t>
      </w:r>
      <w:r w:rsidR="003C4221" w:rsidRPr="003F1892">
        <w:rPr>
          <w:b/>
          <w:sz w:val="28"/>
          <w:szCs w:val="28"/>
        </w:rPr>
        <w:t>ontexto político cambiante</w:t>
      </w:r>
      <w:r w:rsidRPr="003F1892">
        <w:rPr>
          <w:b/>
          <w:sz w:val="28"/>
          <w:szCs w:val="28"/>
        </w:rPr>
        <w:t xml:space="preserve"> por el que pasó el proyecto</w:t>
      </w:r>
      <w:bookmarkEnd w:id="1"/>
    </w:p>
    <w:p w14:paraId="60877C66" w14:textId="27EF3DA2" w:rsidR="002E69C4" w:rsidRPr="00857BCB" w:rsidRDefault="002E69C4" w:rsidP="00E70362">
      <w:pPr>
        <w:pStyle w:val="ListParagraph"/>
        <w:ind w:left="360"/>
        <w:jc w:val="both"/>
        <w:rPr>
          <w:b/>
          <w:sz w:val="24"/>
          <w:szCs w:val="24"/>
        </w:rPr>
      </w:pPr>
    </w:p>
    <w:p w14:paraId="145AF799" w14:textId="3A6B0A20" w:rsidR="00E030A8" w:rsidRPr="00857BCB" w:rsidRDefault="009124C2" w:rsidP="00265FAA">
      <w:pPr>
        <w:pStyle w:val="ListParagraph"/>
        <w:ind w:left="0"/>
        <w:jc w:val="both"/>
        <w:rPr>
          <w:sz w:val="24"/>
          <w:szCs w:val="24"/>
        </w:rPr>
      </w:pPr>
      <w:r w:rsidRPr="00857BCB">
        <w:rPr>
          <w:sz w:val="24"/>
          <w:szCs w:val="24"/>
        </w:rPr>
        <w:t>El proyecto</w:t>
      </w:r>
      <w:r w:rsidR="00CF5ACA" w:rsidRPr="00857BCB">
        <w:rPr>
          <w:sz w:val="24"/>
          <w:szCs w:val="24"/>
        </w:rPr>
        <w:t xml:space="preserve"> “</w:t>
      </w:r>
      <w:r w:rsidR="005251B8" w:rsidRPr="00857BCB">
        <w:rPr>
          <w:sz w:val="24"/>
          <w:szCs w:val="24"/>
        </w:rPr>
        <w:t>Fortalecimiento del Proceso de Descentralización y Modernización del Estado</w:t>
      </w:r>
      <w:r w:rsidR="00CF5ACA" w:rsidRPr="00857BCB">
        <w:rPr>
          <w:sz w:val="24"/>
          <w:szCs w:val="24"/>
        </w:rPr>
        <w:t>”</w:t>
      </w:r>
      <w:r w:rsidR="005251B8" w:rsidRPr="00857BCB">
        <w:rPr>
          <w:sz w:val="24"/>
          <w:szCs w:val="24"/>
        </w:rPr>
        <w:t xml:space="preserve"> </w:t>
      </w:r>
      <w:r w:rsidRPr="00857BCB">
        <w:rPr>
          <w:sz w:val="24"/>
          <w:szCs w:val="24"/>
        </w:rPr>
        <w:t xml:space="preserve">se implementó </w:t>
      </w:r>
      <w:r w:rsidR="00701625" w:rsidRPr="00857BCB">
        <w:rPr>
          <w:sz w:val="24"/>
          <w:szCs w:val="24"/>
        </w:rPr>
        <w:t>desde</w:t>
      </w:r>
      <w:r w:rsidR="00600422" w:rsidRPr="00857BCB">
        <w:rPr>
          <w:sz w:val="24"/>
          <w:szCs w:val="24"/>
        </w:rPr>
        <w:t xml:space="preserve"> marzo</w:t>
      </w:r>
      <w:r w:rsidR="00685FE5" w:rsidRPr="00857BCB">
        <w:rPr>
          <w:sz w:val="24"/>
          <w:szCs w:val="24"/>
        </w:rPr>
        <w:t xml:space="preserve"> de</w:t>
      </w:r>
      <w:r w:rsidRPr="00857BCB">
        <w:rPr>
          <w:sz w:val="24"/>
          <w:szCs w:val="24"/>
        </w:rPr>
        <w:t xml:space="preserve"> 2010 </w:t>
      </w:r>
      <w:r w:rsidR="00600422" w:rsidRPr="00857BCB">
        <w:rPr>
          <w:sz w:val="24"/>
          <w:szCs w:val="24"/>
        </w:rPr>
        <w:t>hasta el 31 de diciembre de</w:t>
      </w:r>
      <w:r w:rsidRPr="00857BCB">
        <w:rPr>
          <w:sz w:val="24"/>
          <w:szCs w:val="24"/>
        </w:rPr>
        <w:t xml:space="preserve"> 2017</w:t>
      </w:r>
      <w:r w:rsidR="00625900" w:rsidRPr="00857BCB">
        <w:rPr>
          <w:sz w:val="24"/>
          <w:szCs w:val="24"/>
        </w:rPr>
        <w:t xml:space="preserve"> con </w:t>
      </w:r>
      <w:r w:rsidR="001D002A" w:rsidRPr="00857BCB">
        <w:rPr>
          <w:sz w:val="24"/>
          <w:szCs w:val="24"/>
        </w:rPr>
        <w:t>la asistencia técnica</w:t>
      </w:r>
      <w:r w:rsidR="00625900" w:rsidRPr="00857BCB">
        <w:rPr>
          <w:sz w:val="24"/>
          <w:szCs w:val="24"/>
        </w:rPr>
        <w:t xml:space="preserve"> del Programa de Naciones Unidas para el Desarrollo (PNUD)</w:t>
      </w:r>
      <w:r w:rsidR="00847158" w:rsidRPr="00857BCB">
        <w:rPr>
          <w:sz w:val="24"/>
          <w:szCs w:val="24"/>
        </w:rPr>
        <w:t>.</w:t>
      </w:r>
      <w:r w:rsidR="00011293" w:rsidRPr="00857BCB">
        <w:rPr>
          <w:sz w:val="24"/>
          <w:szCs w:val="24"/>
        </w:rPr>
        <w:t xml:space="preserve"> El proyecto se ejecutó con recursos del Estado Peruano, transferidos a PNUD para su administración.</w:t>
      </w:r>
      <w:r w:rsidR="00847158" w:rsidRPr="00857BCB">
        <w:rPr>
          <w:sz w:val="24"/>
          <w:szCs w:val="24"/>
        </w:rPr>
        <w:t xml:space="preserve"> Durante este período</w:t>
      </w:r>
      <w:r w:rsidR="00011293" w:rsidRPr="00857BCB">
        <w:rPr>
          <w:sz w:val="24"/>
          <w:szCs w:val="24"/>
        </w:rPr>
        <w:t xml:space="preserve"> de casi ocho años</w:t>
      </w:r>
      <w:r w:rsidR="00847158" w:rsidRPr="00857BCB">
        <w:rPr>
          <w:sz w:val="24"/>
          <w:szCs w:val="24"/>
        </w:rPr>
        <w:t>, hubo alternancia entre tres presidencias (Alan García, Ollanta Humala y Pedro Pablo Kuczynski)</w:t>
      </w:r>
      <w:r w:rsidR="0029536E" w:rsidRPr="00857BCB">
        <w:rPr>
          <w:sz w:val="24"/>
          <w:szCs w:val="24"/>
        </w:rPr>
        <w:t xml:space="preserve"> y </w:t>
      </w:r>
      <w:r w:rsidR="00323DE0" w:rsidRPr="00857BCB">
        <w:rPr>
          <w:sz w:val="24"/>
          <w:szCs w:val="24"/>
        </w:rPr>
        <w:t>doce presidentes del Consejo de Ministros</w:t>
      </w:r>
      <w:r w:rsidR="00EF4328" w:rsidRPr="00857BCB">
        <w:rPr>
          <w:rStyle w:val="FootnoteReference"/>
          <w:sz w:val="24"/>
          <w:szCs w:val="24"/>
        </w:rPr>
        <w:footnoteReference w:id="2"/>
      </w:r>
      <w:r w:rsidR="003715BC" w:rsidRPr="00857BCB">
        <w:rPr>
          <w:sz w:val="24"/>
          <w:szCs w:val="24"/>
        </w:rPr>
        <w:t>, contraparte estatal del proyecto.</w:t>
      </w:r>
      <w:r w:rsidR="006D3BA3" w:rsidRPr="00857BCB">
        <w:rPr>
          <w:sz w:val="24"/>
          <w:szCs w:val="24"/>
        </w:rPr>
        <w:t xml:space="preserve"> A ello </w:t>
      </w:r>
      <w:r w:rsidR="00DB3E84" w:rsidRPr="00857BCB">
        <w:rPr>
          <w:sz w:val="24"/>
          <w:szCs w:val="24"/>
        </w:rPr>
        <w:t>hay</w:t>
      </w:r>
      <w:r w:rsidR="006D3BA3" w:rsidRPr="00857BCB">
        <w:rPr>
          <w:sz w:val="24"/>
          <w:szCs w:val="24"/>
        </w:rPr>
        <w:t xml:space="preserve"> que agregar los cambios de titularidad en </w:t>
      </w:r>
      <w:r w:rsidR="00EA0E39" w:rsidRPr="00857BCB">
        <w:rPr>
          <w:sz w:val="24"/>
          <w:szCs w:val="24"/>
        </w:rPr>
        <w:t>las secretarías</w:t>
      </w:r>
      <w:r w:rsidR="00701625" w:rsidRPr="00857BCB">
        <w:rPr>
          <w:sz w:val="24"/>
          <w:szCs w:val="24"/>
        </w:rPr>
        <w:t xml:space="preserve"> a cargo de su ejecución: </w:t>
      </w:r>
      <w:r w:rsidR="006D3BA3" w:rsidRPr="00857BCB">
        <w:rPr>
          <w:sz w:val="24"/>
          <w:szCs w:val="24"/>
        </w:rPr>
        <w:t>las secretarías de descentralización</w:t>
      </w:r>
      <w:r w:rsidR="00AC5851" w:rsidRPr="00857BCB">
        <w:rPr>
          <w:sz w:val="24"/>
          <w:szCs w:val="24"/>
        </w:rPr>
        <w:t xml:space="preserve">, </w:t>
      </w:r>
      <w:r w:rsidR="00810DFB" w:rsidRPr="00857BCB">
        <w:rPr>
          <w:sz w:val="24"/>
          <w:szCs w:val="24"/>
        </w:rPr>
        <w:t>gestión pública y</w:t>
      </w:r>
      <w:r w:rsidR="00104EEF" w:rsidRPr="00857BCB">
        <w:rPr>
          <w:sz w:val="24"/>
          <w:szCs w:val="24"/>
        </w:rPr>
        <w:t xml:space="preserve"> </w:t>
      </w:r>
      <w:r w:rsidR="00810DFB" w:rsidRPr="00857BCB">
        <w:rPr>
          <w:sz w:val="24"/>
          <w:szCs w:val="24"/>
        </w:rPr>
        <w:t>gobierno electrónico</w:t>
      </w:r>
      <w:r w:rsidR="00104EEF" w:rsidRPr="00857BCB">
        <w:rPr>
          <w:sz w:val="24"/>
          <w:szCs w:val="24"/>
        </w:rPr>
        <w:t xml:space="preserve"> (hoy llamada de gobierno digital)</w:t>
      </w:r>
      <w:r w:rsidR="00701625" w:rsidRPr="00857BCB">
        <w:rPr>
          <w:sz w:val="24"/>
          <w:szCs w:val="24"/>
        </w:rPr>
        <w:t>. Además de los cambios en los responsables de los organismos públicos, en el periodo de vigencia del proyecto hubo tambi</w:t>
      </w:r>
      <w:r w:rsidR="00E030A8" w:rsidRPr="00857BCB">
        <w:rPr>
          <w:sz w:val="24"/>
          <w:szCs w:val="24"/>
        </w:rPr>
        <w:t>én cambios</w:t>
      </w:r>
      <w:r w:rsidR="00732E53" w:rsidRPr="00857BCB">
        <w:rPr>
          <w:sz w:val="24"/>
          <w:szCs w:val="24"/>
        </w:rPr>
        <w:t xml:space="preserve"> </w:t>
      </w:r>
      <w:r w:rsidR="007E7D8F" w:rsidRPr="00857BCB">
        <w:rPr>
          <w:sz w:val="24"/>
          <w:szCs w:val="24"/>
        </w:rPr>
        <w:t>institucionales</w:t>
      </w:r>
      <w:r w:rsidR="00E030A8" w:rsidRPr="00857BCB">
        <w:rPr>
          <w:sz w:val="24"/>
          <w:szCs w:val="24"/>
        </w:rPr>
        <w:t xml:space="preserve"> </w:t>
      </w:r>
      <w:r w:rsidR="00560F44" w:rsidRPr="00857BCB">
        <w:rPr>
          <w:sz w:val="24"/>
          <w:szCs w:val="24"/>
        </w:rPr>
        <w:t>importantes</w:t>
      </w:r>
      <w:r w:rsidR="00E030A8" w:rsidRPr="00857BCB">
        <w:rPr>
          <w:sz w:val="24"/>
          <w:szCs w:val="24"/>
        </w:rPr>
        <w:t xml:space="preserve">, como el </w:t>
      </w:r>
      <w:r w:rsidR="00732E53" w:rsidRPr="00857BCB">
        <w:rPr>
          <w:sz w:val="24"/>
          <w:szCs w:val="24"/>
        </w:rPr>
        <w:t>d</w:t>
      </w:r>
      <w:r w:rsidR="00E030A8" w:rsidRPr="00857BCB">
        <w:rPr>
          <w:sz w:val="24"/>
          <w:szCs w:val="24"/>
        </w:rPr>
        <w:t xml:space="preserve">el </w:t>
      </w:r>
      <w:r w:rsidR="00081A5C" w:rsidRPr="00857BCB">
        <w:rPr>
          <w:sz w:val="24"/>
          <w:szCs w:val="24"/>
        </w:rPr>
        <w:t>Reglamento de Organización y Funciones de PCM</w:t>
      </w:r>
      <w:r w:rsidR="00E030A8" w:rsidRPr="00857BCB">
        <w:rPr>
          <w:sz w:val="24"/>
          <w:szCs w:val="24"/>
        </w:rPr>
        <w:t xml:space="preserve"> que crea el </w:t>
      </w:r>
      <w:r w:rsidR="007E7D8F" w:rsidRPr="00857BCB">
        <w:rPr>
          <w:sz w:val="24"/>
          <w:szCs w:val="24"/>
        </w:rPr>
        <w:t>Viceministerio</w:t>
      </w:r>
      <w:r w:rsidR="00E030A8" w:rsidRPr="00857BCB">
        <w:rPr>
          <w:sz w:val="24"/>
          <w:szCs w:val="24"/>
        </w:rPr>
        <w:t xml:space="preserve"> de Gobernanza del Territorio, al que </w:t>
      </w:r>
      <w:r w:rsidR="000B5FB9" w:rsidRPr="00857BCB">
        <w:rPr>
          <w:sz w:val="24"/>
          <w:szCs w:val="24"/>
        </w:rPr>
        <w:t xml:space="preserve">fue </w:t>
      </w:r>
      <w:r w:rsidR="00E030A8" w:rsidRPr="00857BCB">
        <w:rPr>
          <w:sz w:val="24"/>
          <w:szCs w:val="24"/>
        </w:rPr>
        <w:t xml:space="preserve">adscrita la Secretaría de </w:t>
      </w:r>
      <w:r w:rsidR="006B0DF5" w:rsidRPr="00857BCB">
        <w:rPr>
          <w:sz w:val="24"/>
          <w:szCs w:val="24"/>
        </w:rPr>
        <w:t>Descentralización</w:t>
      </w:r>
      <w:r w:rsidR="00810DFB" w:rsidRPr="00857BCB">
        <w:rPr>
          <w:sz w:val="24"/>
          <w:szCs w:val="24"/>
        </w:rPr>
        <w:t>.</w:t>
      </w:r>
      <w:r w:rsidR="006632AB" w:rsidRPr="00857BCB">
        <w:rPr>
          <w:sz w:val="24"/>
          <w:szCs w:val="24"/>
        </w:rPr>
        <w:t xml:space="preserve"> </w:t>
      </w:r>
    </w:p>
    <w:p w14:paraId="317351AB" w14:textId="77777777" w:rsidR="00E030A8" w:rsidRPr="00857BCB" w:rsidRDefault="00E030A8" w:rsidP="00265FAA">
      <w:pPr>
        <w:pStyle w:val="ListParagraph"/>
        <w:ind w:left="0"/>
        <w:jc w:val="both"/>
        <w:rPr>
          <w:sz w:val="24"/>
          <w:szCs w:val="24"/>
        </w:rPr>
      </w:pPr>
    </w:p>
    <w:p w14:paraId="5FE7BD34" w14:textId="3954A98E" w:rsidR="009124C2" w:rsidRPr="00857BCB" w:rsidRDefault="006632AB" w:rsidP="00265FAA">
      <w:pPr>
        <w:pStyle w:val="ListParagraph"/>
        <w:ind w:left="0"/>
        <w:jc w:val="both"/>
        <w:rPr>
          <w:sz w:val="24"/>
          <w:szCs w:val="24"/>
        </w:rPr>
      </w:pPr>
      <w:r w:rsidRPr="00857BCB">
        <w:rPr>
          <w:sz w:val="24"/>
          <w:szCs w:val="24"/>
        </w:rPr>
        <w:t xml:space="preserve">Las revisiones sustantivas </w:t>
      </w:r>
      <w:r w:rsidR="00E030A8" w:rsidRPr="00857BCB">
        <w:rPr>
          <w:sz w:val="24"/>
          <w:szCs w:val="24"/>
        </w:rPr>
        <w:t xml:space="preserve">operadas en </w:t>
      </w:r>
      <w:r w:rsidRPr="00857BCB">
        <w:rPr>
          <w:sz w:val="24"/>
          <w:szCs w:val="24"/>
        </w:rPr>
        <w:t xml:space="preserve">el proyecto </w:t>
      </w:r>
      <w:r w:rsidR="00E030A8" w:rsidRPr="00857BCB">
        <w:rPr>
          <w:sz w:val="24"/>
          <w:szCs w:val="24"/>
        </w:rPr>
        <w:t xml:space="preserve">muestran también </w:t>
      </w:r>
      <w:r w:rsidRPr="00857BCB">
        <w:rPr>
          <w:sz w:val="24"/>
          <w:szCs w:val="24"/>
        </w:rPr>
        <w:t>cambios</w:t>
      </w:r>
      <w:r w:rsidR="005F2724" w:rsidRPr="00857BCB">
        <w:rPr>
          <w:sz w:val="24"/>
          <w:szCs w:val="24"/>
        </w:rPr>
        <w:t xml:space="preserve"> </w:t>
      </w:r>
      <w:r w:rsidR="00E030A8" w:rsidRPr="00857BCB">
        <w:rPr>
          <w:sz w:val="24"/>
          <w:szCs w:val="24"/>
        </w:rPr>
        <w:t>en los énfasis</w:t>
      </w:r>
      <w:r w:rsidR="005F2724" w:rsidRPr="00857BCB">
        <w:rPr>
          <w:sz w:val="24"/>
          <w:szCs w:val="24"/>
        </w:rPr>
        <w:t xml:space="preserve"> </w:t>
      </w:r>
      <w:r w:rsidR="00E030A8" w:rsidRPr="00857BCB">
        <w:rPr>
          <w:sz w:val="24"/>
          <w:szCs w:val="24"/>
        </w:rPr>
        <w:t>y la orientación de las actividades</w:t>
      </w:r>
      <w:r w:rsidR="005F2724" w:rsidRPr="00857BCB">
        <w:rPr>
          <w:sz w:val="24"/>
          <w:szCs w:val="24"/>
        </w:rPr>
        <w:t xml:space="preserve">, </w:t>
      </w:r>
      <w:r w:rsidR="00104EEF" w:rsidRPr="00857BCB">
        <w:rPr>
          <w:sz w:val="24"/>
          <w:szCs w:val="24"/>
        </w:rPr>
        <w:t>atribuible</w:t>
      </w:r>
      <w:r w:rsidR="00E030A8" w:rsidRPr="00857BCB">
        <w:rPr>
          <w:sz w:val="24"/>
          <w:szCs w:val="24"/>
        </w:rPr>
        <w:t>s</w:t>
      </w:r>
      <w:r w:rsidR="00104EEF" w:rsidRPr="00857BCB">
        <w:rPr>
          <w:sz w:val="24"/>
          <w:szCs w:val="24"/>
        </w:rPr>
        <w:t xml:space="preserve"> a</w:t>
      </w:r>
      <w:r w:rsidR="005F2724" w:rsidRPr="00857BCB">
        <w:rPr>
          <w:sz w:val="24"/>
          <w:szCs w:val="24"/>
        </w:rPr>
        <w:t xml:space="preserve"> la rotación de funcionarios</w:t>
      </w:r>
      <w:r w:rsidR="00863C55" w:rsidRPr="00857BCB">
        <w:rPr>
          <w:sz w:val="24"/>
          <w:szCs w:val="24"/>
        </w:rPr>
        <w:t xml:space="preserve"> y</w:t>
      </w:r>
      <w:r w:rsidR="0055587E" w:rsidRPr="00857BCB">
        <w:rPr>
          <w:sz w:val="24"/>
          <w:szCs w:val="24"/>
        </w:rPr>
        <w:t xml:space="preserve"> la aparición de</w:t>
      </w:r>
      <w:r w:rsidR="00863C55" w:rsidRPr="00857BCB">
        <w:rPr>
          <w:sz w:val="24"/>
          <w:szCs w:val="24"/>
        </w:rPr>
        <w:t xml:space="preserve"> nuevos compromisos y </w:t>
      </w:r>
      <w:r w:rsidR="00E030A8" w:rsidRPr="00857BCB">
        <w:rPr>
          <w:sz w:val="24"/>
          <w:szCs w:val="24"/>
        </w:rPr>
        <w:t>prioridades</w:t>
      </w:r>
      <w:r w:rsidR="00863C55" w:rsidRPr="00857BCB">
        <w:rPr>
          <w:sz w:val="24"/>
          <w:szCs w:val="24"/>
        </w:rPr>
        <w:t xml:space="preserve"> de política </w:t>
      </w:r>
      <w:r w:rsidR="00E030A8" w:rsidRPr="00857BCB">
        <w:rPr>
          <w:sz w:val="24"/>
          <w:szCs w:val="24"/>
        </w:rPr>
        <w:t>en e</w:t>
      </w:r>
      <w:r w:rsidR="00863C55" w:rsidRPr="00857BCB">
        <w:rPr>
          <w:sz w:val="24"/>
          <w:szCs w:val="24"/>
        </w:rPr>
        <w:t>l Estado Peruano que podían articular</w:t>
      </w:r>
      <w:r w:rsidR="00E030A8" w:rsidRPr="00857BCB">
        <w:rPr>
          <w:sz w:val="24"/>
          <w:szCs w:val="24"/>
        </w:rPr>
        <w:t>se</w:t>
      </w:r>
      <w:r w:rsidR="00863C55" w:rsidRPr="00857BCB">
        <w:rPr>
          <w:sz w:val="24"/>
          <w:szCs w:val="24"/>
        </w:rPr>
        <w:t xml:space="preserve"> con el proyecto</w:t>
      </w:r>
      <w:r w:rsidR="005F2724" w:rsidRPr="00857BCB">
        <w:rPr>
          <w:sz w:val="24"/>
          <w:szCs w:val="24"/>
        </w:rPr>
        <w:t xml:space="preserve">. </w:t>
      </w:r>
      <w:r w:rsidR="00E030A8" w:rsidRPr="00857BCB">
        <w:rPr>
          <w:sz w:val="24"/>
          <w:szCs w:val="24"/>
        </w:rPr>
        <w:t xml:space="preserve">Ubicado </w:t>
      </w:r>
      <w:r w:rsidR="002B1E37" w:rsidRPr="00857BCB">
        <w:rPr>
          <w:sz w:val="24"/>
          <w:szCs w:val="24"/>
        </w:rPr>
        <w:t xml:space="preserve">en la Presidencia del Consejo de Ministros, </w:t>
      </w:r>
      <w:r w:rsidR="00E030A8" w:rsidRPr="00857BCB">
        <w:rPr>
          <w:sz w:val="24"/>
          <w:szCs w:val="24"/>
        </w:rPr>
        <w:t>en el centro de</w:t>
      </w:r>
      <w:r w:rsidR="002B1E37" w:rsidRPr="00857BCB">
        <w:rPr>
          <w:sz w:val="24"/>
          <w:szCs w:val="24"/>
        </w:rPr>
        <w:t xml:space="preserve"> las</w:t>
      </w:r>
      <w:r w:rsidR="00E030A8" w:rsidRPr="00857BCB">
        <w:rPr>
          <w:sz w:val="24"/>
          <w:szCs w:val="24"/>
        </w:rPr>
        <w:t xml:space="preserve"> definiciones de</w:t>
      </w:r>
      <w:r w:rsidR="00AD3850" w:rsidRPr="00857BCB">
        <w:rPr>
          <w:sz w:val="24"/>
          <w:szCs w:val="24"/>
        </w:rPr>
        <w:t xml:space="preserve"> </w:t>
      </w:r>
      <w:r w:rsidR="00E030A8" w:rsidRPr="00857BCB">
        <w:rPr>
          <w:sz w:val="24"/>
          <w:szCs w:val="24"/>
        </w:rPr>
        <w:t>política nacional</w:t>
      </w:r>
      <w:r w:rsidR="007E7D8F" w:rsidRPr="00857BCB">
        <w:rPr>
          <w:sz w:val="24"/>
          <w:szCs w:val="24"/>
        </w:rPr>
        <w:t>,</w:t>
      </w:r>
      <w:r w:rsidR="00E030A8" w:rsidRPr="00857BCB">
        <w:rPr>
          <w:sz w:val="24"/>
          <w:szCs w:val="24"/>
        </w:rPr>
        <w:t xml:space="preserve"> el proyecto debió adecuarse a </w:t>
      </w:r>
      <w:r w:rsidR="0025182B" w:rsidRPr="00857BCB">
        <w:rPr>
          <w:sz w:val="24"/>
          <w:szCs w:val="24"/>
        </w:rPr>
        <w:t xml:space="preserve">estos </w:t>
      </w:r>
      <w:r w:rsidR="00E030A8" w:rsidRPr="00857BCB">
        <w:rPr>
          <w:sz w:val="24"/>
          <w:szCs w:val="24"/>
        </w:rPr>
        <w:t>cambios políticos.</w:t>
      </w:r>
    </w:p>
    <w:p w14:paraId="40401136" w14:textId="77946E09" w:rsidR="00104EEF" w:rsidRPr="00857BCB" w:rsidRDefault="00104EEF" w:rsidP="00265FAA">
      <w:pPr>
        <w:pStyle w:val="ListParagraph"/>
        <w:ind w:left="0"/>
        <w:jc w:val="both"/>
        <w:rPr>
          <w:sz w:val="24"/>
          <w:szCs w:val="24"/>
        </w:rPr>
      </w:pPr>
    </w:p>
    <w:p w14:paraId="144E3540" w14:textId="4C4511B4" w:rsidR="00104EEF" w:rsidRPr="00857BCB" w:rsidRDefault="00666307" w:rsidP="00265FAA">
      <w:pPr>
        <w:pStyle w:val="ListParagraph"/>
        <w:ind w:left="0"/>
        <w:jc w:val="both"/>
        <w:rPr>
          <w:sz w:val="24"/>
          <w:szCs w:val="24"/>
        </w:rPr>
      </w:pPr>
      <w:r w:rsidRPr="00857BCB">
        <w:rPr>
          <w:sz w:val="24"/>
          <w:szCs w:val="24"/>
        </w:rPr>
        <w:t xml:space="preserve">Una </w:t>
      </w:r>
      <w:r w:rsidR="00E030A8" w:rsidRPr="00857BCB">
        <w:rPr>
          <w:sz w:val="24"/>
          <w:szCs w:val="24"/>
        </w:rPr>
        <w:t>mirada</w:t>
      </w:r>
      <w:r w:rsidRPr="00857BCB">
        <w:rPr>
          <w:sz w:val="24"/>
          <w:szCs w:val="24"/>
        </w:rPr>
        <w:t xml:space="preserve"> inicial </w:t>
      </w:r>
      <w:r w:rsidR="00E030A8" w:rsidRPr="00857BCB">
        <w:rPr>
          <w:sz w:val="24"/>
          <w:szCs w:val="24"/>
        </w:rPr>
        <w:t xml:space="preserve">a los cambios de Gobierno </w:t>
      </w:r>
      <w:r w:rsidR="00E01105" w:rsidRPr="00857BCB">
        <w:rPr>
          <w:sz w:val="24"/>
          <w:szCs w:val="24"/>
        </w:rPr>
        <w:t>nos muestra los siguientes énfasis:</w:t>
      </w:r>
    </w:p>
    <w:p w14:paraId="07DB2198" w14:textId="7CA473A5" w:rsidR="00E01105" w:rsidRPr="00857BCB" w:rsidRDefault="00E01105" w:rsidP="00265FAA">
      <w:pPr>
        <w:pStyle w:val="ListParagraph"/>
        <w:ind w:left="0"/>
        <w:jc w:val="both"/>
        <w:rPr>
          <w:sz w:val="24"/>
          <w:szCs w:val="24"/>
        </w:rPr>
      </w:pPr>
    </w:p>
    <w:p w14:paraId="4BF58052" w14:textId="10C50434" w:rsidR="00E01105" w:rsidRPr="00857BCB" w:rsidRDefault="00E01105" w:rsidP="00E030A8">
      <w:pPr>
        <w:pStyle w:val="ListParagraph"/>
        <w:numPr>
          <w:ilvl w:val="0"/>
          <w:numId w:val="2"/>
        </w:numPr>
        <w:ind w:left="397" w:hanging="397"/>
        <w:jc w:val="both"/>
        <w:rPr>
          <w:sz w:val="24"/>
          <w:szCs w:val="24"/>
        </w:rPr>
      </w:pPr>
      <w:r w:rsidRPr="00857BCB">
        <w:rPr>
          <w:i/>
          <w:sz w:val="24"/>
          <w:szCs w:val="24"/>
        </w:rPr>
        <w:t>Presidencia de Alan García</w:t>
      </w:r>
      <w:r w:rsidRPr="00857BCB">
        <w:rPr>
          <w:sz w:val="24"/>
          <w:szCs w:val="24"/>
        </w:rPr>
        <w:t>. El proyecto inició sus actividades a fines de la presidencia de Alan García</w:t>
      </w:r>
      <w:r w:rsidR="00AE0D64" w:rsidRPr="00857BCB">
        <w:rPr>
          <w:sz w:val="24"/>
          <w:szCs w:val="24"/>
        </w:rPr>
        <w:t xml:space="preserve"> en 2010</w:t>
      </w:r>
      <w:r w:rsidR="00615A4F" w:rsidRPr="00857BCB">
        <w:rPr>
          <w:sz w:val="24"/>
          <w:szCs w:val="24"/>
        </w:rPr>
        <w:t>.</w:t>
      </w:r>
      <w:r w:rsidR="00AD3383" w:rsidRPr="00857BCB">
        <w:rPr>
          <w:sz w:val="24"/>
          <w:szCs w:val="24"/>
        </w:rPr>
        <w:t xml:space="preserve"> </w:t>
      </w:r>
      <w:r w:rsidR="00FC2F7D" w:rsidRPr="00857BCB">
        <w:rPr>
          <w:sz w:val="24"/>
          <w:szCs w:val="24"/>
        </w:rPr>
        <w:t>Temprano en 2011</w:t>
      </w:r>
      <w:r w:rsidR="00AD3383" w:rsidRPr="00857BCB">
        <w:rPr>
          <w:sz w:val="24"/>
          <w:szCs w:val="24"/>
        </w:rPr>
        <w:t>, hubo una revisión sustantiva.</w:t>
      </w:r>
      <w:r w:rsidR="00615A4F" w:rsidRPr="00857BCB">
        <w:rPr>
          <w:sz w:val="24"/>
          <w:szCs w:val="24"/>
        </w:rPr>
        <w:t xml:space="preserve"> Los documentos del proyecto a los que tuvimos acceso muestran como</w:t>
      </w:r>
      <w:r w:rsidR="00BD40A1" w:rsidRPr="00857BCB">
        <w:rPr>
          <w:sz w:val="24"/>
          <w:szCs w:val="24"/>
        </w:rPr>
        <w:t xml:space="preserve"> eje de la intervención</w:t>
      </w:r>
      <w:r w:rsidR="00D146CD" w:rsidRPr="00857BCB">
        <w:rPr>
          <w:sz w:val="24"/>
          <w:szCs w:val="24"/>
        </w:rPr>
        <w:t xml:space="preserve"> el trabajo a nivel de</w:t>
      </w:r>
      <w:r w:rsidR="00BD40A1" w:rsidRPr="00857BCB">
        <w:rPr>
          <w:sz w:val="24"/>
          <w:szCs w:val="24"/>
        </w:rPr>
        <w:t xml:space="preserve"> las “instancias regionales del Poder Ejecutivo” y como</w:t>
      </w:r>
      <w:r w:rsidR="00615A4F" w:rsidRPr="00857BCB">
        <w:rPr>
          <w:sz w:val="24"/>
          <w:szCs w:val="24"/>
        </w:rPr>
        <w:t xml:space="preserve"> prioridades el impulso a actividades de trabajo articulado en el VRAE</w:t>
      </w:r>
      <w:r w:rsidR="00615A4F" w:rsidRPr="00857BCB">
        <w:rPr>
          <w:rStyle w:val="FootnoteReference"/>
          <w:sz w:val="24"/>
          <w:szCs w:val="24"/>
        </w:rPr>
        <w:footnoteReference w:id="3"/>
      </w:r>
      <w:r w:rsidR="00076D65" w:rsidRPr="00857BCB">
        <w:rPr>
          <w:sz w:val="24"/>
          <w:szCs w:val="24"/>
        </w:rPr>
        <w:t xml:space="preserve"> y</w:t>
      </w:r>
      <w:r w:rsidR="00E87876" w:rsidRPr="00857BCB">
        <w:rPr>
          <w:sz w:val="24"/>
          <w:szCs w:val="24"/>
        </w:rPr>
        <w:t xml:space="preserve"> el interés por</w:t>
      </w:r>
      <w:r w:rsidR="00076D65" w:rsidRPr="00857BCB">
        <w:rPr>
          <w:sz w:val="24"/>
          <w:szCs w:val="24"/>
        </w:rPr>
        <w:t xml:space="preserve"> la generación de diagnósticos sobre el estado de l</w:t>
      </w:r>
      <w:r w:rsidR="002D30CE" w:rsidRPr="00857BCB">
        <w:rPr>
          <w:sz w:val="24"/>
          <w:szCs w:val="24"/>
        </w:rPr>
        <w:t xml:space="preserve">as oficinas del </w:t>
      </w:r>
      <w:r w:rsidR="00E87876" w:rsidRPr="00857BCB">
        <w:rPr>
          <w:sz w:val="24"/>
          <w:szCs w:val="24"/>
        </w:rPr>
        <w:t>Ejecutivo</w:t>
      </w:r>
      <w:r w:rsidR="002D30CE" w:rsidRPr="00857BCB">
        <w:rPr>
          <w:sz w:val="24"/>
          <w:szCs w:val="24"/>
        </w:rPr>
        <w:t xml:space="preserve"> vinculadas al proceso de descentralización y articulación intersectorial.</w:t>
      </w:r>
    </w:p>
    <w:p w14:paraId="4C55B739" w14:textId="77777777" w:rsidR="00855BCA" w:rsidRPr="00857BCB" w:rsidRDefault="00855BCA" w:rsidP="00E030A8">
      <w:pPr>
        <w:pStyle w:val="ListParagraph"/>
        <w:ind w:left="397" w:hanging="397"/>
        <w:jc w:val="both"/>
        <w:rPr>
          <w:sz w:val="24"/>
          <w:szCs w:val="24"/>
        </w:rPr>
      </w:pPr>
    </w:p>
    <w:p w14:paraId="60937955" w14:textId="713F0240" w:rsidR="002D30CE" w:rsidRPr="00857BCB" w:rsidRDefault="004B01C0" w:rsidP="00E030A8">
      <w:pPr>
        <w:pStyle w:val="ListParagraph"/>
        <w:numPr>
          <w:ilvl w:val="0"/>
          <w:numId w:val="2"/>
        </w:numPr>
        <w:ind w:left="397" w:hanging="397"/>
        <w:jc w:val="both"/>
        <w:rPr>
          <w:sz w:val="24"/>
          <w:szCs w:val="24"/>
        </w:rPr>
      </w:pPr>
      <w:r w:rsidRPr="00857BCB">
        <w:rPr>
          <w:i/>
          <w:sz w:val="24"/>
          <w:szCs w:val="24"/>
        </w:rPr>
        <w:lastRenderedPageBreak/>
        <w:t>Presidencia de Ollanta Humala</w:t>
      </w:r>
      <w:r w:rsidRPr="00857BCB">
        <w:rPr>
          <w:sz w:val="24"/>
          <w:szCs w:val="24"/>
        </w:rPr>
        <w:t xml:space="preserve">. </w:t>
      </w:r>
      <w:r w:rsidR="0011314D" w:rsidRPr="00857BCB">
        <w:rPr>
          <w:sz w:val="24"/>
          <w:szCs w:val="24"/>
        </w:rPr>
        <w:t>Es el gobierno donde se dieron la mayor parte de actividades del proyecto.</w:t>
      </w:r>
      <w:r w:rsidR="00E87876" w:rsidRPr="00857BCB">
        <w:rPr>
          <w:sz w:val="24"/>
          <w:szCs w:val="24"/>
        </w:rPr>
        <w:t xml:space="preserve"> Pasó por revisiones sustantivas en 2013 y 2015.</w:t>
      </w:r>
      <w:r w:rsidR="0011314D" w:rsidRPr="00857BCB">
        <w:rPr>
          <w:sz w:val="24"/>
          <w:szCs w:val="24"/>
        </w:rPr>
        <w:t xml:space="preserve"> </w:t>
      </w:r>
      <w:r w:rsidR="00616FEC" w:rsidRPr="00857BCB">
        <w:rPr>
          <w:sz w:val="24"/>
          <w:szCs w:val="24"/>
        </w:rPr>
        <w:t>Las prioridades de gestión se vieron reflejadas en</w:t>
      </w:r>
      <w:r w:rsidR="001A4F0C" w:rsidRPr="00857BCB">
        <w:rPr>
          <w:sz w:val="24"/>
          <w:szCs w:val="24"/>
        </w:rPr>
        <w:t xml:space="preserve"> las evaluaciones al proceso de transferencia de competencias a los gobiernos regionales y </w:t>
      </w:r>
      <w:r w:rsidR="006B1323" w:rsidRPr="00857BCB">
        <w:rPr>
          <w:sz w:val="24"/>
          <w:szCs w:val="24"/>
        </w:rPr>
        <w:t>el inicio del diseño de las Acciones de Mejora Continua</w:t>
      </w:r>
      <w:r w:rsidR="002827B2" w:rsidRPr="00857BCB">
        <w:rPr>
          <w:sz w:val="24"/>
          <w:szCs w:val="24"/>
        </w:rPr>
        <w:t xml:space="preserve"> (AMC)</w:t>
      </w:r>
      <w:r w:rsidR="001A4F0C" w:rsidRPr="00857BCB">
        <w:rPr>
          <w:sz w:val="24"/>
          <w:szCs w:val="24"/>
        </w:rPr>
        <w:t>. Asimismo, fue importante</w:t>
      </w:r>
      <w:r w:rsidR="00616FEC" w:rsidRPr="00857BCB">
        <w:rPr>
          <w:sz w:val="24"/>
          <w:szCs w:val="24"/>
        </w:rPr>
        <w:t xml:space="preserve"> la articulación del proyecto con la agenda de modernización del Estado</w:t>
      </w:r>
      <w:r w:rsidR="005D7DB5" w:rsidRPr="00857BCB">
        <w:rPr>
          <w:sz w:val="24"/>
          <w:szCs w:val="24"/>
        </w:rPr>
        <w:t xml:space="preserve">, </w:t>
      </w:r>
      <w:r w:rsidR="008D5757" w:rsidRPr="00857BCB">
        <w:rPr>
          <w:sz w:val="24"/>
          <w:szCs w:val="24"/>
        </w:rPr>
        <w:t>principalmente</w:t>
      </w:r>
      <w:r w:rsidR="005D7DB5" w:rsidRPr="00857BCB">
        <w:rPr>
          <w:sz w:val="24"/>
          <w:szCs w:val="24"/>
        </w:rPr>
        <w:t xml:space="preserve"> el potenciamiento de</w:t>
      </w:r>
      <w:r w:rsidR="00D5588F" w:rsidRPr="00857BCB">
        <w:rPr>
          <w:sz w:val="24"/>
          <w:szCs w:val="24"/>
        </w:rPr>
        <w:t xml:space="preserve">l sistema </w:t>
      </w:r>
      <w:r w:rsidR="00E030A8" w:rsidRPr="00857BCB">
        <w:rPr>
          <w:sz w:val="24"/>
          <w:szCs w:val="24"/>
        </w:rPr>
        <w:t>georreferenciado</w:t>
      </w:r>
      <w:r w:rsidR="00AD5C3E" w:rsidRPr="00857BCB">
        <w:rPr>
          <w:sz w:val="24"/>
          <w:szCs w:val="24"/>
        </w:rPr>
        <w:t xml:space="preserve"> </w:t>
      </w:r>
      <w:proofErr w:type="spellStart"/>
      <w:r w:rsidR="00AD5C3E" w:rsidRPr="00857BCB">
        <w:rPr>
          <w:sz w:val="24"/>
          <w:szCs w:val="24"/>
        </w:rPr>
        <w:t>Say</w:t>
      </w:r>
      <w:r w:rsidR="009B353C" w:rsidRPr="00857BCB">
        <w:rPr>
          <w:sz w:val="24"/>
          <w:szCs w:val="24"/>
        </w:rPr>
        <w:t>hu</w:t>
      </w:r>
      <w:r w:rsidR="00AD5C3E" w:rsidRPr="00857BCB">
        <w:rPr>
          <w:sz w:val="24"/>
          <w:szCs w:val="24"/>
        </w:rPr>
        <w:t>ite</w:t>
      </w:r>
      <w:proofErr w:type="spellEnd"/>
      <w:r w:rsidR="00D5588F" w:rsidRPr="00857BCB">
        <w:rPr>
          <w:sz w:val="24"/>
          <w:szCs w:val="24"/>
        </w:rPr>
        <w:t xml:space="preserve"> y en </w:t>
      </w:r>
      <w:r w:rsidR="00BE7602" w:rsidRPr="00857BCB">
        <w:rPr>
          <w:sz w:val="24"/>
          <w:szCs w:val="24"/>
        </w:rPr>
        <w:t>los últimos años</w:t>
      </w:r>
      <w:r w:rsidR="007D6269" w:rsidRPr="00857BCB">
        <w:rPr>
          <w:sz w:val="24"/>
          <w:szCs w:val="24"/>
        </w:rPr>
        <w:t xml:space="preserve"> con </w:t>
      </w:r>
      <w:r w:rsidR="00BE7602" w:rsidRPr="00857BCB">
        <w:rPr>
          <w:sz w:val="24"/>
          <w:szCs w:val="24"/>
        </w:rPr>
        <w:t xml:space="preserve">la implementación </w:t>
      </w:r>
      <w:r w:rsidR="009B353C" w:rsidRPr="00857BCB">
        <w:rPr>
          <w:sz w:val="24"/>
          <w:szCs w:val="24"/>
        </w:rPr>
        <w:t>del Centro de</w:t>
      </w:r>
      <w:r w:rsidR="00BE7602" w:rsidRPr="00857BCB">
        <w:rPr>
          <w:sz w:val="24"/>
          <w:szCs w:val="24"/>
        </w:rPr>
        <w:t xml:space="preserve"> Mejor Atención al Ciudadano</w:t>
      </w:r>
      <w:r w:rsidR="009B353C" w:rsidRPr="00857BCB">
        <w:rPr>
          <w:sz w:val="24"/>
          <w:szCs w:val="24"/>
        </w:rPr>
        <w:t xml:space="preserve"> Lima Este</w:t>
      </w:r>
      <w:r w:rsidR="00BE7602" w:rsidRPr="00857BCB">
        <w:rPr>
          <w:sz w:val="24"/>
          <w:szCs w:val="24"/>
        </w:rPr>
        <w:t xml:space="preserve"> (MAC</w:t>
      </w:r>
      <w:r w:rsidR="009B353C" w:rsidRPr="00857BCB">
        <w:rPr>
          <w:sz w:val="24"/>
          <w:szCs w:val="24"/>
        </w:rPr>
        <w:t xml:space="preserve"> Lima Este</w:t>
      </w:r>
      <w:r w:rsidR="00BE7602" w:rsidRPr="00857BCB">
        <w:rPr>
          <w:sz w:val="24"/>
          <w:szCs w:val="24"/>
        </w:rPr>
        <w:t>)</w:t>
      </w:r>
      <w:r w:rsidR="007D6269" w:rsidRPr="00857BCB">
        <w:rPr>
          <w:sz w:val="24"/>
          <w:szCs w:val="24"/>
        </w:rPr>
        <w:t>.</w:t>
      </w:r>
    </w:p>
    <w:p w14:paraId="4EDD8EBE" w14:textId="77777777" w:rsidR="00CC6CB5" w:rsidRPr="00857BCB" w:rsidRDefault="00CC6CB5" w:rsidP="00E030A8">
      <w:pPr>
        <w:pStyle w:val="ListParagraph"/>
        <w:ind w:left="397" w:hanging="397"/>
        <w:rPr>
          <w:sz w:val="24"/>
          <w:szCs w:val="24"/>
        </w:rPr>
      </w:pPr>
    </w:p>
    <w:p w14:paraId="6A93788C" w14:textId="19463668" w:rsidR="009124C2" w:rsidRPr="00857BCB" w:rsidRDefault="000318A7" w:rsidP="00F42BD7">
      <w:pPr>
        <w:pStyle w:val="ListParagraph"/>
        <w:numPr>
          <w:ilvl w:val="0"/>
          <w:numId w:val="2"/>
        </w:numPr>
        <w:ind w:left="397" w:hanging="397"/>
        <w:jc w:val="both"/>
        <w:rPr>
          <w:sz w:val="24"/>
          <w:szCs w:val="24"/>
        </w:rPr>
      </w:pPr>
      <w:r w:rsidRPr="00857BCB">
        <w:rPr>
          <w:i/>
          <w:sz w:val="24"/>
          <w:szCs w:val="24"/>
        </w:rPr>
        <w:t>Presidencia de Pedro Pablo Kuczynski</w:t>
      </w:r>
      <w:r w:rsidRPr="00857BCB">
        <w:rPr>
          <w:sz w:val="24"/>
          <w:szCs w:val="24"/>
        </w:rPr>
        <w:t xml:space="preserve">. </w:t>
      </w:r>
      <w:r w:rsidR="007A04F7" w:rsidRPr="00857BCB">
        <w:rPr>
          <w:sz w:val="24"/>
          <w:szCs w:val="24"/>
        </w:rPr>
        <w:t>En este gobierno</w:t>
      </w:r>
      <w:r w:rsidR="005D640A" w:rsidRPr="00857BCB">
        <w:rPr>
          <w:sz w:val="24"/>
          <w:szCs w:val="24"/>
        </w:rPr>
        <w:t>, particularmente desde 2017,</w:t>
      </w:r>
      <w:r w:rsidR="007A04F7" w:rsidRPr="00857BCB">
        <w:rPr>
          <w:sz w:val="24"/>
          <w:szCs w:val="24"/>
        </w:rPr>
        <w:t xml:space="preserve"> se </w:t>
      </w:r>
      <w:r w:rsidR="00970878" w:rsidRPr="00857BCB">
        <w:rPr>
          <w:sz w:val="24"/>
          <w:szCs w:val="24"/>
        </w:rPr>
        <w:t>retoma</w:t>
      </w:r>
      <w:r w:rsidR="007A04F7" w:rsidRPr="00857BCB">
        <w:rPr>
          <w:sz w:val="24"/>
          <w:szCs w:val="24"/>
        </w:rPr>
        <w:t xml:space="preserve"> el énfasis en el resultado </w:t>
      </w:r>
      <w:r w:rsidR="00970878" w:rsidRPr="00857BCB">
        <w:rPr>
          <w:sz w:val="24"/>
          <w:szCs w:val="24"/>
        </w:rPr>
        <w:t>1</w:t>
      </w:r>
      <w:r w:rsidR="007A04F7" w:rsidRPr="00857BCB">
        <w:rPr>
          <w:sz w:val="24"/>
          <w:szCs w:val="24"/>
        </w:rPr>
        <w:t xml:space="preserve"> sobre descentralización</w:t>
      </w:r>
      <w:r w:rsidR="00E63D11" w:rsidRPr="00857BCB">
        <w:rPr>
          <w:sz w:val="24"/>
          <w:szCs w:val="24"/>
        </w:rPr>
        <w:t xml:space="preserve"> con el desarrollo de varias consultorías</w:t>
      </w:r>
      <w:r w:rsidR="007A54DE" w:rsidRPr="00857BCB">
        <w:rPr>
          <w:sz w:val="24"/>
          <w:szCs w:val="24"/>
        </w:rPr>
        <w:t xml:space="preserve"> que exploraban nuevas sendas de política para</w:t>
      </w:r>
      <w:r w:rsidR="00F42BD7" w:rsidRPr="00857BCB">
        <w:rPr>
          <w:sz w:val="24"/>
          <w:szCs w:val="24"/>
        </w:rPr>
        <w:t xml:space="preserve"> la Secretaría de Descentralización (SD)</w:t>
      </w:r>
      <w:r w:rsidR="007A04F7" w:rsidRPr="00857BCB">
        <w:rPr>
          <w:sz w:val="24"/>
          <w:szCs w:val="24"/>
        </w:rPr>
        <w:t>.</w:t>
      </w:r>
      <w:r w:rsidR="00E9040A" w:rsidRPr="00857BCB">
        <w:rPr>
          <w:sz w:val="24"/>
          <w:szCs w:val="24"/>
        </w:rPr>
        <w:t xml:space="preserve"> Entre las principales innovaciones</w:t>
      </w:r>
      <w:r w:rsidR="00B71BB4" w:rsidRPr="00857BCB">
        <w:rPr>
          <w:sz w:val="24"/>
          <w:szCs w:val="24"/>
        </w:rPr>
        <w:t xml:space="preserve"> facilitadas por el proyecto </w:t>
      </w:r>
      <w:r w:rsidR="00F42BD7" w:rsidRPr="00857BCB">
        <w:rPr>
          <w:sz w:val="24"/>
          <w:szCs w:val="24"/>
        </w:rPr>
        <w:t>destaca</w:t>
      </w:r>
      <w:r w:rsidR="00E9040A" w:rsidRPr="00857BCB">
        <w:rPr>
          <w:sz w:val="24"/>
          <w:szCs w:val="24"/>
        </w:rPr>
        <w:t xml:space="preserve"> l</w:t>
      </w:r>
      <w:r w:rsidR="005B7D21" w:rsidRPr="00857BCB">
        <w:rPr>
          <w:sz w:val="24"/>
          <w:szCs w:val="24"/>
        </w:rPr>
        <w:t xml:space="preserve">a coordinación </w:t>
      </w:r>
      <w:r w:rsidR="00D4323E" w:rsidRPr="00857BCB">
        <w:rPr>
          <w:sz w:val="24"/>
          <w:szCs w:val="24"/>
        </w:rPr>
        <w:t>intergubernamental</w:t>
      </w:r>
      <w:r w:rsidR="005B7D21" w:rsidRPr="00857BCB">
        <w:rPr>
          <w:sz w:val="24"/>
          <w:szCs w:val="24"/>
        </w:rPr>
        <w:t xml:space="preserve"> a través de los </w:t>
      </w:r>
      <w:r w:rsidR="00A85D73" w:rsidRPr="00857BCB">
        <w:rPr>
          <w:sz w:val="24"/>
          <w:szCs w:val="24"/>
        </w:rPr>
        <w:t xml:space="preserve">GORE Ejecutivo y </w:t>
      </w:r>
      <w:proofErr w:type="spellStart"/>
      <w:r w:rsidR="00A85D73" w:rsidRPr="00857BCB">
        <w:rPr>
          <w:sz w:val="24"/>
          <w:szCs w:val="24"/>
        </w:rPr>
        <w:t>Muni</w:t>
      </w:r>
      <w:proofErr w:type="spellEnd"/>
      <w:r w:rsidR="00A85D73" w:rsidRPr="00857BCB">
        <w:rPr>
          <w:sz w:val="24"/>
          <w:szCs w:val="24"/>
        </w:rPr>
        <w:t xml:space="preserve"> Ejecutivo</w:t>
      </w:r>
      <w:r w:rsidR="005B7D21" w:rsidRPr="00857BCB">
        <w:rPr>
          <w:sz w:val="24"/>
          <w:szCs w:val="24"/>
        </w:rPr>
        <w:t>.</w:t>
      </w:r>
    </w:p>
    <w:p w14:paraId="07AA2259" w14:textId="66F3D4E5" w:rsidR="002E69C4" w:rsidRPr="00857BCB" w:rsidRDefault="002E69C4" w:rsidP="00265FAA">
      <w:pPr>
        <w:pStyle w:val="ListParagraph"/>
        <w:ind w:left="0"/>
        <w:jc w:val="both"/>
        <w:rPr>
          <w:sz w:val="24"/>
          <w:szCs w:val="24"/>
        </w:rPr>
      </w:pPr>
    </w:p>
    <w:p w14:paraId="333B41B0" w14:textId="6FBEC55F" w:rsidR="005F18D8" w:rsidRPr="00857BCB" w:rsidRDefault="00F42BD7" w:rsidP="00265FAA">
      <w:pPr>
        <w:pStyle w:val="ListParagraph"/>
        <w:ind w:left="0"/>
        <w:jc w:val="both"/>
        <w:rPr>
          <w:sz w:val="24"/>
          <w:szCs w:val="24"/>
        </w:rPr>
      </w:pPr>
      <w:r w:rsidRPr="00857BCB">
        <w:rPr>
          <w:sz w:val="24"/>
          <w:szCs w:val="24"/>
        </w:rPr>
        <w:t xml:space="preserve">Como señalábamos, a </w:t>
      </w:r>
      <w:r w:rsidR="007B209B" w:rsidRPr="00857BCB">
        <w:rPr>
          <w:sz w:val="24"/>
          <w:szCs w:val="24"/>
        </w:rPr>
        <w:t>estos</w:t>
      </w:r>
      <w:r w:rsidR="004A28E7" w:rsidRPr="00857BCB">
        <w:rPr>
          <w:sz w:val="24"/>
          <w:szCs w:val="24"/>
        </w:rPr>
        <w:t xml:space="preserve"> cambios políticos se le sum</w:t>
      </w:r>
      <w:r w:rsidR="00CC6644" w:rsidRPr="00857BCB">
        <w:rPr>
          <w:sz w:val="24"/>
          <w:szCs w:val="24"/>
        </w:rPr>
        <w:t>ó</w:t>
      </w:r>
      <w:r w:rsidR="004A28E7" w:rsidRPr="00857BCB">
        <w:rPr>
          <w:sz w:val="24"/>
          <w:szCs w:val="24"/>
        </w:rPr>
        <w:t xml:space="preserve"> la </w:t>
      </w:r>
      <w:r w:rsidR="003E5FF6" w:rsidRPr="00857BCB">
        <w:rPr>
          <w:sz w:val="24"/>
          <w:szCs w:val="24"/>
        </w:rPr>
        <w:t>aprobación</w:t>
      </w:r>
      <w:r w:rsidR="004A28E7" w:rsidRPr="00857BCB">
        <w:rPr>
          <w:sz w:val="24"/>
          <w:szCs w:val="24"/>
        </w:rPr>
        <w:t xml:space="preserve"> de </w:t>
      </w:r>
      <w:r w:rsidR="0084680F" w:rsidRPr="00857BCB">
        <w:rPr>
          <w:sz w:val="24"/>
          <w:szCs w:val="24"/>
        </w:rPr>
        <w:t>normas</w:t>
      </w:r>
      <w:r w:rsidR="004C76A3" w:rsidRPr="00857BCB">
        <w:rPr>
          <w:sz w:val="24"/>
          <w:szCs w:val="24"/>
        </w:rPr>
        <w:t xml:space="preserve"> y planes</w:t>
      </w:r>
      <w:r w:rsidR="004A28E7" w:rsidRPr="00857BCB">
        <w:rPr>
          <w:sz w:val="24"/>
          <w:szCs w:val="24"/>
        </w:rPr>
        <w:t xml:space="preserve"> que</w:t>
      </w:r>
      <w:r w:rsidR="007E708F" w:rsidRPr="00857BCB">
        <w:rPr>
          <w:sz w:val="24"/>
          <w:szCs w:val="24"/>
        </w:rPr>
        <w:t xml:space="preserve"> materializaron el proceso de descentralización y </w:t>
      </w:r>
      <w:r w:rsidR="00E9040A" w:rsidRPr="00857BCB">
        <w:rPr>
          <w:sz w:val="24"/>
          <w:szCs w:val="24"/>
        </w:rPr>
        <w:t xml:space="preserve">el </w:t>
      </w:r>
      <w:r w:rsidR="007E708F" w:rsidRPr="00857BCB">
        <w:rPr>
          <w:sz w:val="24"/>
          <w:szCs w:val="24"/>
        </w:rPr>
        <w:t>de modernización del Estado</w:t>
      </w:r>
      <w:r w:rsidR="004C76A3" w:rsidRPr="00857BCB">
        <w:rPr>
          <w:sz w:val="24"/>
          <w:szCs w:val="24"/>
        </w:rPr>
        <w:t>, particularmente</w:t>
      </w:r>
      <w:r w:rsidR="007E708F" w:rsidRPr="00857BCB">
        <w:rPr>
          <w:sz w:val="24"/>
          <w:szCs w:val="24"/>
        </w:rPr>
        <w:t xml:space="preserve"> este último</w:t>
      </w:r>
      <w:r w:rsidR="00DC0AB5" w:rsidRPr="00857BCB">
        <w:rPr>
          <w:sz w:val="24"/>
          <w:szCs w:val="24"/>
        </w:rPr>
        <w:t>.</w:t>
      </w:r>
      <w:r w:rsidR="007E708F" w:rsidRPr="00857BCB">
        <w:rPr>
          <w:sz w:val="24"/>
          <w:szCs w:val="24"/>
        </w:rPr>
        <w:t xml:space="preserve"> </w:t>
      </w:r>
      <w:r w:rsidR="00DC0AB5" w:rsidRPr="00857BCB">
        <w:rPr>
          <w:sz w:val="24"/>
          <w:szCs w:val="24"/>
        </w:rPr>
        <w:t xml:space="preserve">Un </w:t>
      </w:r>
      <w:r w:rsidR="00993F84" w:rsidRPr="00857BCB">
        <w:rPr>
          <w:sz w:val="24"/>
          <w:szCs w:val="24"/>
        </w:rPr>
        <w:t xml:space="preserve">primer </w:t>
      </w:r>
      <w:r w:rsidR="00AA70CC" w:rsidRPr="00857BCB">
        <w:rPr>
          <w:sz w:val="24"/>
          <w:szCs w:val="24"/>
        </w:rPr>
        <w:t>antecedente</w:t>
      </w:r>
      <w:r w:rsidR="00DC0AB5" w:rsidRPr="00857BCB">
        <w:rPr>
          <w:sz w:val="24"/>
          <w:szCs w:val="24"/>
        </w:rPr>
        <w:t xml:space="preserve"> de la modernización</w:t>
      </w:r>
      <w:r w:rsidR="00993F84" w:rsidRPr="00857BCB">
        <w:rPr>
          <w:sz w:val="24"/>
          <w:szCs w:val="24"/>
        </w:rPr>
        <w:t xml:space="preserve"> fue la </w:t>
      </w:r>
      <w:r w:rsidR="00AA70CC" w:rsidRPr="00857BCB">
        <w:rPr>
          <w:sz w:val="24"/>
          <w:szCs w:val="24"/>
        </w:rPr>
        <w:t xml:space="preserve">Ley Marco de Modernización del </w:t>
      </w:r>
      <w:r w:rsidR="00993F84" w:rsidRPr="00857BCB">
        <w:rPr>
          <w:sz w:val="24"/>
          <w:szCs w:val="24"/>
        </w:rPr>
        <w:t>Estado (ley 27658)</w:t>
      </w:r>
      <w:r w:rsidR="00AB6A2B" w:rsidRPr="00857BCB">
        <w:rPr>
          <w:sz w:val="24"/>
          <w:szCs w:val="24"/>
        </w:rPr>
        <w:t xml:space="preserve"> de 2002</w:t>
      </w:r>
      <w:r w:rsidR="009951C5" w:rsidRPr="00857BCB">
        <w:rPr>
          <w:sz w:val="24"/>
          <w:szCs w:val="24"/>
        </w:rPr>
        <w:t xml:space="preserve">, que por diez años no </w:t>
      </w:r>
      <w:r w:rsidR="007E7D8F" w:rsidRPr="00857BCB">
        <w:rPr>
          <w:sz w:val="24"/>
          <w:szCs w:val="24"/>
        </w:rPr>
        <w:t>había llegado a</w:t>
      </w:r>
      <w:r w:rsidR="009951C5" w:rsidRPr="00857BCB">
        <w:rPr>
          <w:sz w:val="24"/>
          <w:szCs w:val="24"/>
        </w:rPr>
        <w:t xml:space="preserve"> </w:t>
      </w:r>
      <w:proofErr w:type="spellStart"/>
      <w:r w:rsidR="00910B2D" w:rsidRPr="00857BCB">
        <w:rPr>
          <w:sz w:val="24"/>
          <w:szCs w:val="24"/>
        </w:rPr>
        <w:t>operacionalizarse</w:t>
      </w:r>
      <w:proofErr w:type="spellEnd"/>
      <w:r w:rsidR="00AB6A2B" w:rsidRPr="00857BCB">
        <w:rPr>
          <w:sz w:val="24"/>
          <w:szCs w:val="24"/>
        </w:rPr>
        <w:t xml:space="preserve">. </w:t>
      </w:r>
      <w:r w:rsidR="00910B2D" w:rsidRPr="00857BCB">
        <w:rPr>
          <w:sz w:val="24"/>
          <w:szCs w:val="24"/>
        </w:rPr>
        <w:t>El cambio se dio desde 2012 con</w:t>
      </w:r>
      <w:r w:rsidR="00AB6A2B" w:rsidRPr="00857BCB">
        <w:rPr>
          <w:sz w:val="24"/>
          <w:szCs w:val="24"/>
        </w:rPr>
        <w:t xml:space="preserve"> la aprobación del primer Plan de Acción de Gobierno Abierto 2012-2013</w:t>
      </w:r>
      <w:r w:rsidR="007E708F" w:rsidRPr="00857BCB">
        <w:rPr>
          <w:sz w:val="24"/>
          <w:szCs w:val="24"/>
        </w:rPr>
        <w:t xml:space="preserve"> en el marco de las obligaciones asumidas por el Perú ante la Alianza de Gobierno Abierto (AGA)</w:t>
      </w:r>
      <w:r w:rsidR="00AA70CC" w:rsidRPr="00857BCB">
        <w:rPr>
          <w:sz w:val="24"/>
          <w:szCs w:val="24"/>
        </w:rPr>
        <w:t xml:space="preserve">. Posteriormente </w:t>
      </w:r>
      <w:r w:rsidR="00DC0AB5" w:rsidRPr="00857BCB">
        <w:rPr>
          <w:sz w:val="24"/>
          <w:szCs w:val="24"/>
        </w:rPr>
        <w:t>un hito importante fue</w:t>
      </w:r>
      <w:r w:rsidR="00C50F79" w:rsidRPr="00857BCB">
        <w:rPr>
          <w:sz w:val="24"/>
          <w:szCs w:val="24"/>
        </w:rPr>
        <w:t xml:space="preserve"> la</w:t>
      </w:r>
      <w:r w:rsidR="00597DA9" w:rsidRPr="00857BCB">
        <w:rPr>
          <w:sz w:val="24"/>
          <w:szCs w:val="24"/>
        </w:rPr>
        <w:t xml:space="preserve"> aprobación de la</w:t>
      </w:r>
      <w:r w:rsidR="00C50F79" w:rsidRPr="00857BCB">
        <w:rPr>
          <w:sz w:val="24"/>
          <w:szCs w:val="24"/>
        </w:rPr>
        <w:t xml:space="preserve"> Política Nacional de Modernización de la Gestión Pública</w:t>
      </w:r>
      <w:r w:rsidR="00AA5122" w:rsidRPr="00857BCB">
        <w:rPr>
          <w:sz w:val="24"/>
          <w:szCs w:val="24"/>
        </w:rPr>
        <w:t xml:space="preserve"> al 2021</w:t>
      </w:r>
      <w:r w:rsidR="00CA3489" w:rsidRPr="00857BCB">
        <w:rPr>
          <w:sz w:val="24"/>
          <w:szCs w:val="24"/>
        </w:rPr>
        <w:t xml:space="preserve"> (</w:t>
      </w:r>
      <w:r w:rsidR="007E708F" w:rsidRPr="00857BCB">
        <w:rPr>
          <w:sz w:val="24"/>
          <w:szCs w:val="24"/>
        </w:rPr>
        <w:t xml:space="preserve">aprobada por </w:t>
      </w:r>
      <w:r w:rsidR="00CA3489" w:rsidRPr="00857BCB">
        <w:rPr>
          <w:sz w:val="24"/>
          <w:szCs w:val="24"/>
        </w:rPr>
        <w:t>DS 004-2013 PCM)</w:t>
      </w:r>
      <w:r w:rsidR="00AA5122" w:rsidRPr="00857BCB">
        <w:rPr>
          <w:sz w:val="24"/>
          <w:szCs w:val="24"/>
        </w:rPr>
        <w:t xml:space="preserve"> y el Plan de Implementación de la Política Nacional de Modernización</w:t>
      </w:r>
      <w:r w:rsidR="00A64734" w:rsidRPr="00857BCB">
        <w:rPr>
          <w:sz w:val="24"/>
          <w:szCs w:val="24"/>
        </w:rPr>
        <w:t xml:space="preserve"> de la Gestión Pública 2013-2016</w:t>
      </w:r>
      <w:r w:rsidR="001B1F02" w:rsidRPr="00857BCB">
        <w:rPr>
          <w:sz w:val="24"/>
          <w:szCs w:val="24"/>
        </w:rPr>
        <w:t xml:space="preserve"> (aprobado por RM </w:t>
      </w:r>
      <w:proofErr w:type="spellStart"/>
      <w:r w:rsidR="001B1F02" w:rsidRPr="00857BCB">
        <w:rPr>
          <w:sz w:val="24"/>
          <w:szCs w:val="24"/>
        </w:rPr>
        <w:t>N°</w:t>
      </w:r>
      <w:proofErr w:type="spellEnd"/>
      <w:r w:rsidR="001B1F02" w:rsidRPr="00857BCB">
        <w:rPr>
          <w:sz w:val="24"/>
          <w:szCs w:val="24"/>
        </w:rPr>
        <w:t xml:space="preserve"> 125-2013-PCM)</w:t>
      </w:r>
      <w:r w:rsidR="00A64734" w:rsidRPr="00857BCB">
        <w:rPr>
          <w:sz w:val="24"/>
          <w:szCs w:val="24"/>
        </w:rPr>
        <w:t>.</w:t>
      </w:r>
      <w:r w:rsidR="00D55C7F" w:rsidRPr="00857BCB">
        <w:rPr>
          <w:sz w:val="24"/>
          <w:szCs w:val="24"/>
        </w:rPr>
        <w:t xml:space="preserve"> Mientras que la política nacional oficializaba el enfoque de gestión por resultados con énfasis en </w:t>
      </w:r>
      <w:r w:rsidR="006E5746" w:rsidRPr="00857BCB">
        <w:rPr>
          <w:sz w:val="24"/>
          <w:szCs w:val="24"/>
        </w:rPr>
        <w:t>el servicio al ciudadan</w:t>
      </w:r>
      <w:r w:rsidR="00380E6A" w:rsidRPr="00857BCB">
        <w:rPr>
          <w:sz w:val="24"/>
          <w:szCs w:val="24"/>
        </w:rPr>
        <w:t>o</w:t>
      </w:r>
      <w:r w:rsidR="006E5746" w:rsidRPr="00857BCB">
        <w:rPr>
          <w:sz w:val="24"/>
          <w:szCs w:val="24"/>
        </w:rPr>
        <w:t>,</w:t>
      </w:r>
      <w:r w:rsidR="009B1FF7" w:rsidRPr="00857BCB">
        <w:rPr>
          <w:sz w:val="24"/>
          <w:szCs w:val="24"/>
        </w:rPr>
        <w:t xml:space="preserve"> </w:t>
      </w:r>
      <w:r w:rsidR="006E5746" w:rsidRPr="00857BCB">
        <w:rPr>
          <w:sz w:val="24"/>
          <w:szCs w:val="24"/>
        </w:rPr>
        <w:t>e</w:t>
      </w:r>
      <w:r w:rsidR="009B1FF7" w:rsidRPr="00857BCB">
        <w:rPr>
          <w:sz w:val="24"/>
          <w:szCs w:val="24"/>
        </w:rPr>
        <w:t xml:space="preserve">l Plan de Implementación </w:t>
      </w:r>
      <w:r w:rsidR="006E5746" w:rsidRPr="00857BCB">
        <w:rPr>
          <w:sz w:val="24"/>
          <w:szCs w:val="24"/>
        </w:rPr>
        <w:t>hacía énfasis en una “</w:t>
      </w:r>
      <w:r w:rsidR="009B1FF7" w:rsidRPr="00857BCB">
        <w:rPr>
          <w:sz w:val="24"/>
          <w:szCs w:val="24"/>
        </w:rPr>
        <w:t xml:space="preserve">visión </w:t>
      </w:r>
      <w:r w:rsidR="00380E6A" w:rsidRPr="00857BCB">
        <w:rPr>
          <w:sz w:val="24"/>
          <w:szCs w:val="24"/>
        </w:rPr>
        <w:t>(de)</w:t>
      </w:r>
      <w:r w:rsidR="009B1FF7" w:rsidRPr="00857BCB">
        <w:rPr>
          <w:sz w:val="24"/>
          <w:szCs w:val="24"/>
        </w:rPr>
        <w:t xml:space="preserve"> Estado moderno, orientado al ciudadano, eficiente, unitario y descentralizado, inclusivo y abierto”</w:t>
      </w:r>
      <w:r w:rsidR="009B1FF7" w:rsidRPr="00857BCB">
        <w:rPr>
          <w:rStyle w:val="FootnoteReference"/>
          <w:sz w:val="24"/>
          <w:szCs w:val="24"/>
        </w:rPr>
        <w:footnoteReference w:id="4"/>
      </w:r>
      <w:r w:rsidR="009B1FF7" w:rsidRPr="00857BCB">
        <w:rPr>
          <w:sz w:val="24"/>
          <w:szCs w:val="24"/>
        </w:rPr>
        <w:t>.</w:t>
      </w:r>
    </w:p>
    <w:p w14:paraId="04A6C3D4" w14:textId="2630681B" w:rsidR="007E7D8F" w:rsidRPr="00857BCB" w:rsidRDefault="007E7D8F" w:rsidP="00265FAA">
      <w:pPr>
        <w:pStyle w:val="ListParagraph"/>
        <w:ind w:left="0"/>
        <w:jc w:val="both"/>
        <w:rPr>
          <w:sz w:val="24"/>
          <w:szCs w:val="24"/>
        </w:rPr>
      </w:pPr>
    </w:p>
    <w:p w14:paraId="2A16AD46" w14:textId="6EED3982" w:rsidR="007E7D8F" w:rsidRPr="00857BCB" w:rsidRDefault="007E7D8F" w:rsidP="00265FAA">
      <w:pPr>
        <w:pStyle w:val="ListParagraph"/>
        <w:ind w:left="0"/>
        <w:jc w:val="both"/>
        <w:rPr>
          <w:sz w:val="24"/>
          <w:szCs w:val="24"/>
        </w:rPr>
      </w:pPr>
      <w:r w:rsidRPr="00857BCB">
        <w:rPr>
          <w:sz w:val="24"/>
          <w:szCs w:val="24"/>
        </w:rPr>
        <w:t xml:space="preserve">Por el lado de la Descentralización, </w:t>
      </w:r>
      <w:r w:rsidR="00A6502B" w:rsidRPr="00857BCB">
        <w:rPr>
          <w:sz w:val="24"/>
          <w:szCs w:val="24"/>
        </w:rPr>
        <w:t>los cambios fueron menos sostenidos y menos sujetos a una planificación fuerte y sostenida. Antes del inicio del proyecto, en 200</w:t>
      </w:r>
      <w:r w:rsidR="002F225D" w:rsidRPr="00857BCB">
        <w:rPr>
          <w:sz w:val="24"/>
          <w:szCs w:val="24"/>
        </w:rPr>
        <w:t>9</w:t>
      </w:r>
      <w:r w:rsidR="00A6502B" w:rsidRPr="00857BCB">
        <w:rPr>
          <w:sz w:val="24"/>
          <w:szCs w:val="24"/>
        </w:rPr>
        <w:t xml:space="preserve">, el Presidente García había decidido alterar la secuencia de fases previstas en la Ley de Bases de Descentralización según la cual antes de transferir competencias a los gobiernos regionales éstos debían acreditar haber desarrollado capacidades para ejercerlas adecuadamente. La nueva política establecida en 2007 entrega el conjunto de competencias previstas de ser descentralizadas a todos los Gobiernos Regionales sin mediar ninguna acreditación. Planes de capacitación o de mejora continua tratan </w:t>
      </w:r>
      <w:r w:rsidR="00A6502B" w:rsidRPr="00857BCB">
        <w:rPr>
          <w:sz w:val="24"/>
          <w:szCs w:val="24"/>
        </w:rPr>
        <w:lastRenderedPageBreak/>
        <w:t xml:space="preserve">de hacer frente a esta nueva situación no prevista en el diseño original. En 2013, a través del proyecto PNUD, se busca ordenar estos procesos de capacitación y mejora ex post a la transferencia de competencias a través de evaluaciones, pero sin una clara estrategia completa de gobierno. Así, mucho de los planes de acción de mejora continua fracasa por la inacción de los </w:t>
      </w:r>
      <w:r w:rsidR="00B06DD9" w:rsidRPr="00857BCB">
        <w:rPr>
          <w:sz w:val="24"/>
          <w:szCs w:val="24"/>
        </w:rPr>
        <w:t>ministerios</w:t>
      </w:r>
      <w:r w:rsidR="00A6502B" w:rsidRPr="00857BCB">
        <w:rPr>
          <w:sz w:val="24"/>
          <w:szCs w:val="24"/>
        </w:rPr>
        <w:t xml:space="preserve"> que se esperaba velaran por el cumplimiento de las competencias que habían transferido, pero no lo hacían.</w:t>
      </w:r>
    </w:p>
    <w:p w14:paraId="36DDFF91" w14:textId="5105C067" w:rsidR="001665AD" w:rsidRPr="00857BCB" w:rsidRDefault="001665AD" w:rsidP="00265FAA">
      <w:pPr>
        <w:pStyle w:val="ListParagraph"/>
        <w:ind w:left="0"/>
        <w:jc w:val="both"/>
        <w:rPr>
          <w:sz w:val="24"/>
          <w:szCs w:val="24"/>
        </w:rPr>
      </w:pPr>
    </w:p>
    <w:p w14:paraId="64B31911" w14:textId="447AE808" w:rsidR="001665AD" w:rsidRPr="00857BCB" w:rsidRDefault="001665AD" w:rsidP="00265FAA">
      <w:pPr>
        <w:pStyle w:val="ListParagraph"/>
        <w:ind w:left="0"/>
        <w:jc w:val="both"/>
        <w:rPr>
          <w:sz w:val="24"/>
          <w:szCs w:val="24"/>
        </w:rPr>
      </w:pPr>
      <w:r w:rsidRPr="00857BCB">
        <w:rPr>
          <w:sz w:val="24"/>
          <w:szCs w:val="24"/>
        </w:rPr>
        <w:t xml:space="preserve">Otro cambio sustancial sucedido en 2017 fue la aprobación del nuevo </w:t>
      </w:r>
      <w:r w:rsidR="00236776" w:rsidRPr="00857BCB">
        <w:rPr>
          <w:sz w:val="24"/>
          <w:szCs w:val="24"/>
        </w:rPr>
        <w:t>Reglamento de Operación y Funciones</w:t>
      </w:r>
      <w:r w:rsidRPr="00857BCB">
        <w:rPr>
          <w:sz w:val="24"/>
          <w:szCs w:val="24"/>
        </w:rPr>
        <w:t xml:space="preserve"> (ROF) de la Presidencia del Consejo de Ministros</w:t>
      </w:r>
      <w:r w:rsidR="00C7320A" w:rsidRPr="00857BCB">
        <w:rPr>
          <w:sz w:val="24"/>
          <w:szCs w:val="24"/>
        </w:rPr>
        <w:t xml:space="preserve">, norma que creó el Viceministerio de Gobernanza </w:t>
      </w:r>
      <w:r w:rsidR="0079309E" w:rsidRPr="00857BCB">
        <w:rPr>
          <w:sz w:val="24"/>
          <w:szCs w:val="24"/>
        </w:rPr>
        <w:t xml:space="preserve">del Territorio </w:t>
      </w:r>
      <w:r w:rsidR="00C7320A" w:rsidRPr="00857BCB">
        <w:rPr>
          <w:sz w:val="24"/>
          <w:szCs w:val="24"/>
        </w:rPr>
        <w:t>al cual</w:t>
      </w:r>
      <w:r w:rsidR="0079309E" w:rsidRPr="00857BCB">
        <w:rPr>
          <w:sz w:val="24"/>
          <w:szCs w:val="24"/>
        </w:rPr>
        <w:t xml:space="preserve"> la Secretaría de Descentralización (SD)</w:t>
      </w:r>
      <w:r w:rsidR="00C7320A" w:rsidRPr="00857BCB">
        <w:rPr>
          <w:sz w:val="24"/>
          <w:szCs w:val="24"/>
        </w:rPr>
        <w:t xml:space="preserve"> fue adscrit</w:t>
      </w:r>
      <w:r w:rsidR="00C64B49" w:rsidRPr="00857BCB">
        <w:rPr>
          <w:sz w:val="24"/>
          <w:szCs w:val="24"/>
        </w:rPr>
        <w:t>a</w:t>
      </w:r>
      <w:r w:rsidR="00C7320A" w:rsidRPr="00857BCB">
        <w:rPr>
          <w:sz w:val="24"/>
          <w:szCs w:val="24"/>
        </w:rPr>
        <w:t xml:space="preserve">. </w:t>
      </w:r>
      <w:r w:rsidR="00CD7AF5" w:rsidRPr="00857BCB">
        <w:rPr>
          <w:sz w:val="24"/>
          <w:szCs w:val="24"/>
        </w:rPr>
        <w:t xml:space="preserve">Con el nuevo ROF, hubo cambios sustanciales </w:t>
      </w:r>
      <w:r w:rsidR="00BA0C02" w:rsidRPr="00857BCB">
        <w:rPr>
          <w:sz w:val="24"/>
          <w:szCs w:val="24"/>
        </w:rPr>
        <w:t xml:space="preserve">en </w:t>
      </w:r>
      <w:r w:rsidR="00CD7AF5" w:rsidRPr="00857BCB">
        <w:rPr>
          <w:sz w:val="24"/>
          <w:szCs w:val="24"/>
        </w:rPr>
        <w:t xml:space="preserve">las oficinas de la SD, entre ellas la desaparición de la </w:t>
      </w:r>
      <w:r w:rsidR="00B1093D" w:rsidRPr="00857BCB">
        <w:rPr>
          <w:sz w:val="24"/>
          <w:szCs w:val="24"/>
        </w:rPr>
        <w:t>“</w:t>
      </w:r>
      <w:r w:rsidR="00CD7AF5" w:rsidRPr="00857BCB">
        <w:rPr>
          <w:sz w:val="24"/>
          <w:szCs w:val="24"/>
        </w:rPr>
        <w:t>Oficina de Transferencia, Monitoreo y Evaluación de Competencias</w:t>
      </w:r>
      <w:r w:rsidR="00B1093D" w:rsidRPr="00857BCB">
        <w:rPr>
          <w:sz w:val="24"/>
          <w:szCs w:val="24"/>
        </w:rPr>
        <w:t>”</w:t>
      </w:r>
      <w:r w:rsidR="00CD7AF5" w:rsidRPr="00857BCB">
        <w:rPr>
          <w:sz w:val="24"/>
          <w:szCs w:val="24"/>
        </w:rPr>
        <w:t xml:space="preserve"> </w:t>
      </w:r>
      <w:r w:rsidR="00B1093D" w:rsidRPr="00857BCB">
        <w:rPr>
          <w:sz w:val="24"/>
          <w:szCs w:val="24"/>
        </w:rPr>
        <w:t xml:space="preserve">y de la “Oficina de Desarrollo de Capacidades Regionales Municipales y Articulación Intergubernamental” y </w:t>
      </w:r>
      <w:r w:rsidR="00064B9D" w:rsidRPr="00857BCB">
        <w:rPr>
          <w:sz w:val="24"/>
          <w:szCs w:val="24"/>
        </w:rPr>
        <w:t xml:space="preserve">su reemplazo por las </w:t>
      </w:r>
      <w:r w:rsidR="003336D9" w:rsidRPr="00857BCB">
        <w:rPr>
          <w:sz w:val="24"/>
          <w:szCs w:val="24"/>
        </w:rPr>
        <w:t>Subs</w:t>
      </w:r>
      <w:r w:rsidR="00064B9D" w:rsidRPr="00857BCB">
        <w:rPr>
          <w:sz w:val="24"/>
          <w:szCs w:val="24"/>
        </w:rPr>
        <w:t xml:space="preserve">ecretarías de </w:t>
      </w:r>
      <w:r w:rsidR="00DB4522" w:rsidRPr="00857BCB">
        <w:rPr>
          <w:sz w:val="24"/>
          <w:szCs w:val="24"/>
        </w:rPr>
        <w:t>Fortalecimiento de la Descentralización y de Articulación Región y Local</w:t>
      </w:r>
      <w:r w:rsidR="009E2F9C" w:rsidRPr="00857BCB">
        <w:rPr>
          <w:rStyle w:val="FootnoteReference"/>
          <w:sz w:val="24"/>
          <w:szCs w:val="24"/>
        </w:rPr>
        <w:footnoteReference w:id="5"/>
      </w:r>
      <w:r w:rsidR="006D62ED" w:rsidRPr="00857BCB">
        <w:rPr>
          <w:sz w:val="24"/>
          <w:szCs w:val="24"/>
        </w:rPr>
        <w:t>.</w:t>
      </w:r>
      <w:r w:rsidR="00687CB9" w:rsidRPr="00857BCB">
        <w:rPr>
          <w:sz w:val="24"/>
          <w:szCs w:val="24"/>
        </w:rPr>
        <w:t xml:space="preserve"> Asimismo, se redujo el protagonismo de la Secretaría General de la PCM</w:t>
      </w:r>
      <w:r w:rsidR="00A612AF" w:rsidRPr="00857BCB">
        <w:rPr>
          <w:sz w:val="24"/>
          <w:szCs w:val="24"/>
        </w:rPr>
        <w:t>, de la cual dependían</w:t>
      </w:r>
      <w:r w:rsidR="00533478" w:rsidRPr="00857BCB">
        <w:rPr>
          <w:sz w:val="24"/>
          <w:szCs w:val="24"/>
        </w:rPr>
        <w:t xml:space="preserve"> todas las secretarías en el modelo anterior.</w:t>
      </w:r>
    </w:p>
    <w:p w14:paraId="41D0C0BD" w14:textId="007EF160" w:rsidR="00803F03" w:rsidRPr="00857BCB" w:rsidRDefault="00803F03" w:rsidP="00265FAA">
      <w:pPr>
        <w:pStyle w:val="ListParagraph"/>
        <w:ind w:left="0"/>
        <w:jc w:val="both"/>
        <w:rPr>
          <w:sz w:val="24"/>
          <w:szCs w:val="24"/>
        </w:rPr>
      </w:pPr>
    </w:p>
    <w:p w14:paraId="01C4F76E" w14:textId="74D4B191" w:rsidR="00222C31" w:rsidRPr="00857BCB" w:rsidRDefault="00B06DD9" w:rsidP="00265FAA">
      <w:pPr>
        <w:pStyle w:val="ListParagraph"/>
        <w:ind w:left="0"/>
        <w:jc w:val="both"/>
        <w:rPr>
          <w:sz w:val="24"/>
          <w:szCs w:val="24"/>
        </w:rPr>
      </w:pPr>
      <w:r w:rsidRPr="00857BCB">
        <w:rPr>
          <w:sz w:val="24"/>
          <w:szCs w:val="24"/>
        </w:rPr>
        <w:t>En este marco de</w:t>
      </w:r>
      <w:r w:rsidR="008310FA" w:rsidRPr="00857BCB">
        <w:rPr>
          <w:sz w:val="24"/>
          <w:szCs w:val="24"/>
        </w:rPr>
        <w:t xml:space="preserve"> contexto, a </w:t>
      </w:r>
      <w:r w:rsidR="00803F03" w:rsidRPr="00857BCB">
        <w:rPr>
          <w:sz w:val="24"/>
          <w:szCs w:val="24"/>
        </w:rPr>
        <w:t xml:space="preserve">continuación, </w:t>
      </w:r>
      <w:r w:rsidR="004A1099" w:rsidRPr="00857BCB">
        <w:rPr>
          <w:sz w:val="24"/>
          <w:szCs w:val="24"/>
        </w:rPr>
        <w:t xml:space="preserve">presentamos </w:t>
      </w:r>
      <w:r w:rsidR="004703AA" w:rsidRPr="00857BCB">
        <w:rPr>
          <w:sz w:val="24"/>
          <w:szCs w:val="24"/>
        </w:rPr>
        <w:t>el desempeño del proyecto</w:t>
      </w:r>
      <w:r w:rsidR="0007022D" w:rsidRPr="00857BCB">
        <w:rPr>
          <w:sz w:val="24"/>
          <w:szCs w:val="24"/>
        </w:rPr>
        <w:t xml:space="preserve"> </w:t>
      </w:r>
      <w:r w:rsidR="004703AA" w:rsidRPr="00857BCB">
        <w:rPr>
          <w:sz w:val="24"/>
          <w:szCs w:val="24"/>
        </w:rPr>
        <w:t>respecto a</w:t>
      </w:r>
      <w:r w:rsidR="004A1099" w:rsidRPr="00857BCB">
        <w:rPr>
          <w:sz w:val="24"/>
          <w:szCs w:val="24"/>
        </w:rPr>
        <w:t xml:space="preserve"> cuatro indicadores</w:t>
      </w:r>
      <w:r w:rsidR="004703AA" w:rsidRPr="00857BCB">
        <w:rPr>
          <w:sz w:val="24"/>
          <w:szCs w:val="24"/>
        </w:rPr>
        <w:t xml:space="preserve"> priorizados por los estándares de evaluación de PNUD:</w:t>
      </w:r>
    </w:p>
    <w:p w14:paraId="7DA684C4" w14:textId="77777777" w:rsidR="00F27F72" w:rsidRPr="00857BCB" w:rsidRDefault="00F27F72" w:rsidP="00265FAA">
      <w:pPr>
        <w:pStyle w:val="ListParagraph"/>
        <w:ind w:left="0"/>
        <w:jc w:val="both"/>
        <w:rPr>
          <w:sz w:val="24"/>
          <w:szCs w:val="24"/>
        </w:rPr>
      </w:pPr>
    </w:p>
    <w:p w14:paraId="4147BCF3" w14:textId="1D7824B6" w:rsidR="00222C31" w:rsidRPr="00857BCB" w:rsidRDefault="00222C31" w:rsidP="00D75C80">
      <w:pPr>
        <w:pStyle w:val="ListParagraph"/>
        <w:numPr>
          <w:ilvl w:val="0"/>
          <w:numId w:val="5"/>
        </w:numPr>
        <w:ind w:left="357" w:hanging="357"/>
        <w:jc w:val="both"/>
        <w:rPr>
          <w:sz w:val="24"/>
          <w:szCs w:val="24"/>
        </w:rPr>
      </w:pPr>
      <w:r w:rsidRPr="00857BCB">
        <w:rPr>
          <w:sz w:val="24"/>
          <w:szCs w:val="24"/>
        </w:rPr>
        <w:t>E</w:t>
      </w:r>
      <w:r w:rsidR="004703AA" w:rsidRPr="00857BCB">
        <w:rPr>
          <w:sz w:val="24"/>
          <w:szCs w:val="24"/>
        </w:rPr>
        <w:t>ficacia</w:t>
      </w:r>
      <w:r w:rsidRPr="00857BCB">
        <w:rPr>
          <w:sz w:val="24"/>
          <w:szCs w:val="24"/>
        </w:rPr>
        <w:t xml:space="preserve">, </w:t>
      </w:r>
      <w:r w:rsidR="000C5A8A" w:rsidRPr="00857BCB">
        <w:rPr>
          <w:sz w:val="24"/>
          <w:szCs w:val="24"/>
        </w:rPr>
        <w:t xml:space="preserve">a través del </w:t>
      </w:r>
      <w:r w:rsidRPr="00857BCB">
        <w:rPr>
          <w:sz w:val="24"/>
          <w:szCs w:val="24"/>
        </w:rPr>
        <w:t>cual</w:t>
      </w:r>
      <w:r w:rsidR="000C5A8A" w:rsidRPr="00857BCB">
        <w:rPr>
          <w:sz w:val="24"/>
          <w:szCs w:val="24"/>
        </w:rPr>
        <w:t xml:space="preserve"> constatamos</w:t>
      </w:r>
      <w:r w:rsidR="005B1C44" w:rsidRPr="00857BCB">
        <w:rPr>
          <w:sz w:val="24"/>
          <w:szCs w:val="24"/>
        </w:rPr>
        <w:t xml:space="preserve"> el cumplimiento de las </w:t>
      </w:r>
      <w:r w:rsidR="00CF2773" w:rsidRPr="00857BCB">
        <w:rPr>
          <w:sz w:val="24"/>
          <w:szCs w:val="24"/>
        </w:rPr>
        <w:t xml:space="preserve">actividades </w:t>
      </w:r>
      <w:r w:rsidR="005B1C44" w:rsidRPr="00857BCB">
        <w:rPr>
          <w:sz w:val="24"/>
          <w:szCs w:val="24"/>
        </w:rPr>
        <w:t>diseñadas y su nivel de relación con los resultados del proyecto</w:t>
      </w:r>
      <w:r w:rsidR="000C4F89" w:rsidRPr="00857BCB">
        <w:rPr>
          <w:sz w:val="24"/>
          <w:szCs w:val="24"/>
        </w:rPr>
        <w:t>.</w:t>
      </w:r>
      <w:r w:rsidR="004703AA" w:rsidRPr="00857BCB">
        <w:rPr>
          <w:sz w:val="24"/>
          <w:szCs w:val="24"/>
        </w:rPr>
        <w:t xml:space="preserve"> </w:t>
      </w:r>
    </w:p>
    <w:p w14:paraId="60087F6F" w14:textId="545C3B41" w:rsidR="00222C31" w:rsidRPr="00857BCB" w:rsidRDefault="00222C31" w:rsidP="00D75C80">
      <w:pPr>
        <w:pStyle w:val="ListParagraph"/>
        <w:numPr>
          <w:ilvl w:val="0"/>
          <w:numId w:val="5"/>
        </w:numPr>
        <w:ind w:left="357" w:hanging="357"/>
        <w:jc w:val="both"/>
        <w:rPr>
          <w:sz w:val="24"/>
          <w:szCs w:val="24"/>
        </w:rPr>
      </w:pPr>
      <w:r w:rsidRPr="00857BCB">
        <w:rPr>
          <w:sz w:val="24"/>
          <w:szCs w:val="24"/>
        </w:rPr>
        <w:t>E</w:t>
      </w:r>
      <w:r w:rsidR="004703AA" w:rsidRPr="00857BCB">
        <w:rPr>
          <w:sz w:val="24"/>
          <w:szCs w:val="24"/>
        </w:rPr>
        <w:t>ficiencia</w:t>
      </w:r>
      <w:r w:rsidRPr="00857BCB">
        <w:rPr>
          <w:sz w:val="24"/>
          <w:szCs w:val="24"/>
        </w:rPr>
        <w:t xml:space="preserve">, por el cual </w:t>
      </w:r>
      <w:r w:rsidR="005B1C44" w:rsidRPr="00857BCB">
        <w:rPr>
          <w:sz w:val="24"/>
          <w:szCs w:val="24"/>
        </w:rPr>
        <w:t>constata</w:t>
      </w:r>
      <w:r w:rsidRPr="00857BCB">
        <w:rPr>
          <w:sz w:val="24"/>
          <w:szCs w:val="24"/>
        </w:rPr>
        <w:t>mos</w:t>
      </w:r>
      <w:r w:rsidR="00D7480F" w:rsidRPr="00857BCB">
        <w:rPr>
          <w:sz w:val="24"/>
          <w:szCs w:val="24"/>
        </w:rPr>
        <w:t xml:space="preserve"> su alineamiento con las normas del Estado Peruano y</w:t>
      </w:r>
      <w:r w:rsidR="00820638" w:rsidRPr="00857BCB">
        <w:rPr>
          <w:sz w:val="24"/>
          <w:szCs w:val="24"/>
        </w:rPr>
        <w:t xml:space="preserve"> valora</w:t>
      </w:r>
      <w:r w:rsidR="00FE2287" w:rsidRPr="00857BCB">
        <w:rPr>
          <w:sz w:val="24"/>
          <w:szCs w:val="24"/>
        </w:rPr>
        <w:t>mos</w:t>
      </w:r>
      <w:r w:rsidR="005B1C44" w:rsidRPr="00857BCB">
        <w:rPr>
          <w:sz w:val="24"/>
          <w:szCs w:val="24"/>
        </w:rPr>
        <w:t xml:space="preserve"> </w:t>
      </w:r>
      <w:r w:rsidR="002C3077" w:rsidRPr="00857BCB">
        <w:rPr>
          <w:sz w:val="24"/>
          <w:szCs w:val="24"/>
        </w:rPr>
        <w:t>el tiempo invertido en las actividades</w:t>
      </w:r>
      <w:r w:rsidR="00FE2287" w:rsidRPr="00857BCB">
        <w:rPr>
          <w:sz w:val="24"/>
          <w:szCs w:val="24"/>
        </w:rPr>
        <w:t>.</w:t>
      </w:r>
      <w:r w:rsidR="004703AA" w:rsidRPr="00857BCB">
        <w:rPr>
          <w:sz w:val="24"/>
          <w:szCs w:val="24"/>
        </w:rPr>
        <w:t xml:space="preserve"> </w:t>
      </w:r>
    </w:p>
    <w:p w14:paraId="616E6330" w14:textId="086596BC" w:rsidR="00C51959" w:rsidRPr="00857BCB" w:rsidRDefault="00222C31" w:rsidP="00D75C80">
      <w:pPr>
        <w:pStyle w:val="ListParagraph"/>
        <w:numPr>
          <w:ilvl w:val="0"/>
          <w:numId w:val="5"/>
        </w:numPr>
        <w:ind w:left="357" w:hanging="357"/>
        <w:jc w:val="both"/>
        <w:rPr>
          <w:sz w:val="24"/>
          <w:szCs w:val="24"/>
        </w:rPr>
      </w:pPr>
      <w:r w:rsidRPr="00857BCB">
        <w:rPr>
          <w:sz w:val="24"/>
          <w:szCs w:val="24"/>
        </w:rPr>
        <w:t>P</w:t>
      </w:r>
      <w:r w:rsidR="004703AA" w:rsidRPr="00857BCB">
        <w:rPr>
          <w:sz w:val="24"/>
          <w:szCs w:val="24"/>
        </w:rPr>
        <w:t>ertinencia</w:t>
      </w:r>
      <w:r w:rsidRPr="00857BCB">
        <w:rPr>
          <w:sz w:val="24"/>
          <w:szCs w:val="24"/>
        </w:rPr>
        <w:t>, a través del cual valoramos</w:t>
      </w:r>
      <w:r w:rsidR="00820638" w:rsidRPr="00857BCB">
        <w:rPr>
          <w:sz w:val="24"/>
          <w:szCs w:val="24"/>
        </w:rPr>
        <w:t xml:space="preserve"> la </w:t>
      </w:r>
      <w:r w:rsidR="008D0C46" w:rsidRPr="00857BCB">
        <w:rPr>
          <w:sz w:val="24"/>
          <w:szCs w:val="24"/>
        </w:rPr>
        <w:t>congruencia entre los objetivos del proyecto y las necesidades de los públicos específicos, directos o indirectos, que se planteó la intervención</w:t>
      </w:r>
      <w:r w:rsidR="00820638" w:rsidRPr="00857BCB">
        <w:rPr>
          <w:sz w:val="24"/>
          <w:szCs w:val="24"/>
        </w:rPr>
        <w:t>, prestando atención a si los problemas</w:t>
      </w:r>
      <w:r w:rsidR="0084795A" w:rsidRPr="00857BCB">
        <w:rPr>
          <w:sz w:val="24"/>
          <w:szCs w:val="24"/>
        </w:rPr>
        <w:t xml:space="preserve"> que buscó solucionar fueron arreglados</w:t>
      </w:r>
      <w:r w:rsidR="00C51959" w:rsidRPr="00857BCB">
        <w:rPr>
          <w:sz w:val="24"/>
          <w:szCs w:val="24"/>
        </w:rPr>
        <w:t>;</w:t>
      </w:r>
      <w:r w:rsidR="004703AA" w:rsidRPr="00857BCB">
        <w:rPr>
          <w:sz w:val="24"/>
          <w:szCs w:val="24"/>
        </w:rPr>
        <w:t xml:space="preserve"> y</w:t>
      </w:r>
      <w:r w:rsidR="00C51959" w:rsidRPr="00857BCB">
        <w:rPr>
          <w:sz w:val="24"/>
          <w:szCs w:val="24"/>
        </w:rPr>
        <w:t>,</w:t>
      </w:r>
      <w:r w:rsidR="004703AA" w:rsidRPr="00857BCB">
        <w:rPr>
          <w:sz w:val="24"/>
          <w:szCs w:val="24"/>
        </w:rPr>
        <w:t xml:space="preserve"> </w:t>
      </w:r>
    </w:p>
    <w:p w14:paraId="04A97C66" w14:textId="0380975A" w:rsidR="00C51959" w:rsidRPr="00857BCB" w:rsidRDefault="00C51959" w:rsidP="00D75C80">
      <w:pPr>
        <w:pStyle w:val="ListParagraph"/>
        <w:numPr>
          <w:ilvl w:val="0"/>
          <w:numId w:val="5"/>
        </w:numPr>
        <w:ind w:left="357" w:hanging="357"/>
        <w:jc w:val="both"/>
        <w:rPr>
          <w:sz w:val="24"/>
          <w:szCs w:val="24"/>
        </w:rPr>
      </w:pPr>
      <w:r w:rsidRPr="00857BCB">
        <w:rPr>
          <w:sz w:val="24"/>
          <w:szCs w:val="24"/>
        </w:rPr>
        <w:t>S</w:t>
      </w:r>
      <w:r w:rsidR="004703AA" w:rsidRPr="00857BCB">
        <w:rPr>
          <w:sz w:val="24"/>
          <w:szCs w:val="24"/>
        </w:rPr>
        <w:t>ostenibilidad</w:t>
      </w:r>
      <w:r w:rsidRPr="00857BCB">
        <w:rPr>
          <w:sz w:val="24"/>
          <w:szCs w:val="24"/>
        </w:rPr>
        <w:t xml:space="preserve">, por el cual evaluamos </w:t>
      </w:r>
      <w:r w:rsidR="001B1AE6" w:rsidRPr="00857BCB">
        <w:rPr>
          <w:sz w:val="24"/>
          <w:szCs w:val="24"/>
        </w:rPr>
        <w:t xml:space="preserve">cómo cada uno de los componentes del proyecto </w:t>
      </w:r>
      <w:r w:rsidR="00E461F8" w:rsidRPr="00857BCB">
        <w:rPr>
          <w:sz w:val="24"/>
          <w:szCs w:val="24"/>
        </w:rPr>
        <w:t>tienen perspectivas de</w:t>
      </w:r>
      <w:r w:rsidR="001B1AE6" w:rsidRPr="00857BCB">
        <w:rPr>
          <w:sz w:val="24"/>
          <w:szCs w:val="24"/>
        </w:rPr>
        <w:t xml:space="preserve"> ser</w:t>
      </w:r>
      <w:r w:rsidR="00AF3E80" w:rsidRPr="00857BCB">
        <w:rPr>
          <w:sz w:val="24"/>
          <w:szCs w:val="24"/>
        </w:rPr>
        <w:t xml:space="preserve"> continuados</w:t>
      </w:r>
      <w:r w:rsidR="001B1AE6" w:rsidRPr="00857BCB">
        <w:rPr>
          <w:sz w:val="24"/>
          <w:szCs w:val="24"/>
        </w:rPr>
        <w:t xml:space="preserve"> </w:t>
      </w:r>
      <w:r w:rsidR="00AF3E80" w:rsidRPr="00857BCB">
        <w:rPr>
          <w:sz w:val="24"/>
          <w:szCs w:val="24"/>
        </w:rPr>
        <w:t xml:space="preserve">o </w:t>
      </w:r>
      <w:r w:rsidR="001B1AE6" w:rsidRPr="00857BCB">
        <w:rPr>
          <w:sz w:val="24"/>
          <w:szCs w:val="24"/>
        </w:rPr>
        <w:t>apropiado</w:t>
      </w:r>
      <w:r w:rsidR="00AF3E80" w:rsidRPr="00857BCB">
        <w:rPr>
          <w:sz w:val="24"/>
          <w:szCs w:val="24"/>
        </w:rPr>
        <w:t>s</w:t>
      </w:r>
      <w:r w:rsidR="001B1AE6" w:rsidRPr="00857BCB">
        <w:rPr>
          <w:sz w:val="24"/>
          <w:szCs w:val="24"/>
        </w:rPr>
        <w:t xml:space="preserve"> por</w:t>
      </w:r>
      <w:r w:rsidR="00CF2773" w:rsidRPr="00857BCB">
        <w:rPr>
          <w:sz w:val="24"/>
          <w:szCs w:val="24"/>
        </w:rPr>
        <w:t xml:space="preserve"> las mismas instituciones que</w:t>
      </w:r>
      <w:r w:rsidR="00F32AC3" w:rsidRPr="00857BCB">
        <w:rPr>
          <w:sz w:val="24"/>
          <w:szCs w:val="24"/>
        </w:rPr>
        <w:t xml:space="preserve"> los crearon u</w:t>
      </w:r>
      <w:r w:rsidR="001B1AE6" w:rsidRPr="00857BCB">
        <w:rPr>
          <w:sz w:val="24"/>
          <w:szCs w:val="24"/>
        </w:rPr>
        <w:t xml:space="preserve"> otros </w:t>
      </w:r>
      <w:proofErr w:type="spellStart"/>
      <w:r w:rsidR="001B1AE6" w:rsidRPr="00857BCB">
        <w:rPr>
          <w:i/>
          <w:sz w:val="24"/>
          <w:szCs w:val="24"/>
        </w:rPr>
        <w:t>stakeholders</w:t>
      </w:r>
      <w:proofErr w:type="spellEnd"/>
      <w:r w:rsidR="004703AA" w:rsidRPr="00857BCB">
        <w:rPr>
          <w:sz w:val="24"/>
          <w:szCs w:val="24"/>
        </w:rPr>
        <w:t xml:space="preserve">. </w:t>
      </w:r>
    </w:p>
    <w:p w14:paraId="20FE93C5" w14:textId="25250D12" w:rsidR="00803F03" w:rsidRPr="00857BCB" w:rsidRDefault="004703AA" w:rsidP="00C51959">
      <w:pPr>
        <w:jc w:val="both"/>
        <w:rPr>
          <w:sz w:val="24"/>
          <w:szCs w:val="24"/>
        </w:rPr>
      </w:pPr>
      <w:r w:rsidRPr="00857BCB">
        <w:rPr>
          <w:sz w:val="24"/>
          <w:szCs w:val="24"/>
        </w:rPr>
        <w:t xml:space="preserve">Asimismo, </w:t>
      </w:r>
      <w:r w:rsidR="00A45355" w:rsidRPr="00857BCB">
        <w:rPr>
          <w:sz w:val="24"/>
          <w:szCs w:val="24"/>
        </w:rPr>
        <w:t>prestamos atención a</w:t>
      </w:r>
      <w:r w:rsidR="009A154D" w:rsidRPr="00857BCB">
        <w:rPr>
          <w:sz w:val="24"/>
          <w:szCs w:val="24"/>
        </w:rPr>
        <w:t xml:space="preserve"> la aplicación de los enfoques priorizados por PNUD </w:t>
      </w:r>
      <w:r w:rsidR="008D5778" w:rsidRPr="00857BCB">
        <w:rPr>
          <w:sz w:val="24"/>
          <w:szCs w:val="24"/>
        </w:rPr>
        <w:t>(territorialidad, género, derechos humanos e interculturalidad)</w:t>
      </w:r>
      <w:r w:rsidR="00F608C2" w:rsidRPr="00857BCB">
        <w:rPr>
          <w:sz w:val="24"/>
          <w:szCs w:val="24"/>
        </w:rPr>
        <w:t xml:space="preserve"> en cada una de las actividades del proyecto</w:t>
      </w:r>
      <w:r w:rsidR="003D62F0" w:rsidRPr="00857BCB">
        <w:rPr>
          <w:sz w:val="24"/>
          <w:szCs w:val="24"/>
        </w:rPr>
        <w:t>, tanto en el diseño de los planes de trabajo como en la implementación misma de las actividades</w:t>
      </w:r>
      <w:r w:rsidR="00F608C2" w:rsidRPr="00857BCB">
        <w:rPr>
          <w:sz w:val="24"/>
          <w:szCs w:val="24"/>
        </w:rPr>
        <w:t>.</w:t>
      </w:r>
      <w:r w:rsidR="00F60D1F" w:rsidRPr="00857BCB">
        <w:rPr>
          <w:sz w:val="24"/>
          <w:szCs w:val="24"/>
        </w:rPr>
        <w:t xml:space="preserve"> Posteriormente establecemos las </w:t>
      </w:r>
      <w:r w:rsidR="00F772DC" w:rsidRPr="00857BCB">
        <w:rPr>
          <w:sz w:val="24"/>
          <w:szCs w:val="24"/>
        </w:rPr>
        <w:t xml:space="preserve">mejores prácticas que </w:t>
      </w:r>
      <w:r w:rsidR="0069745F" w:rsidRPr="00857BCB">
        <w:rPr>
          <w:sz w:val="24"/>
          <w:szCs w:val="24"/>
        </w:rPr>
        <w:t xml:space="preserve">el proyecto </w:t>
      </w:r>
      <w:r w:rsidR="00F772DC" w:rsidRPr="00857BCB">
        <w:rPr>
          <w:sz w:val="24"/>
          <w:szCs w:val="24"/>
        </w:rPr>
        <w:t>ha dejado, según la matriz de evaluación que pusimos a consideración de PNUD</w:t>
      </w:r>
      <w:r w:rsidR="0038151A" w:rsidRPr="00857BCB">
        <w:rPr>
          <w:sz w:val="24"/>
          <w:szCs w:val="24"/>
        </w:rPr>
        <w:t xml:space="preserve"> en el plan de trabajo de esta consultoría</w:t>
      </w:r>
      <w:r w:rsidR="003D62F0" w:rsidRPr="00857BCB">
        <w:rPr>
          <w:sz w:val="24"/>
          <w:szCs w:val="24"/>
        </w:rPr>
        <w:t xml:space="preserve"> y cuya metodología se explica más adelante</w:t>
      </w:r>
      <w:r w:rsidR="00F772DC" w:rsidRPr="00857BCB">
        <w:rPr>
          <w:sz w:val="24"/>
          <w:szCs w:val="24"/>
        </w:rPr>
        <w:t>.</w:t>
      </w:r>
      <w:r w:rsidR="007B66D1" w:rsidRPr="00857BCB">
        <w:rPr>
          <w:sz w:val="24"/>
          <w:szCs w:val="24"/>
        </w:rPr>
        <w:t xml:space="preserve"> Finalizamos con una sección de conclusiones y recomendaciones.</w:t>
      </w:r>
    </w:p>
    <w:p w14:paraId="52C40128" w14:textId="40712B35" w:rsidR="00F65168" w:rsidRPr="00857BCB" w:rsidRDefault="00CB0E28" w:rsidP="00265FAA">
      <w:pPr>
        <w:pStyle w:val="ListParagraph"/>
        <w:ind w:left="0"/>
        <w:jc w:val="both"/>
        <w:rPr>
          <w:sz w:val="24"/>
          <w:szCs w:val="24"/>
        </w:rPr>
      </w:pPr>
      <w:r w:rsidRPr="00857BCB">
        <w:rPr>
          <w:sz w:val="24"/>
          <w:szCs w:val="24"/>
        </w:rPr>
        <w:lastRenderedPageBreak/>
        <w:t xml:space="preserve">La metodología de </w:t>
      </w:r>
      <w:r w:rsidR="00261EC7" w:rsidRPr="00857BCB">
        <w:rPr>
          <w:sz w:val="24"/>
          <w:szCs w:val="24"/>
        </w:rPr>
        <w:t xml:space="preserve">recolección </w:t>
      </w:r>
      <w:r w:rsidRPr="00857BCB">
        <w:rPr>
          <w:sz w:val="24"/>
          <w:szCs w:val="24"/>
        </w:rPr>
        <w:t>de información incluyó:</w:t>
      </w:r>
    </w:p>
    <w:p w14:paraId="3C770C3A" w14:textId="77777777" w:rsidR="003E23D8" w:rsidRPr="00857BCB" w:rsidRDefault="003E23D8" w:rsidP="00265FAA">
      <w:pPr>
        <w:pStyle w:val="ListParagraph"/>
        <w:ind w:left="0"/>
        <w:jc w:val="both"/>
        <w:rPr>
          <w:sz w:val="24"/>
          <w:szCs w:val="24"/>
        </w:rPr>
      </w:pPr>
    </w:p>
    <w:p w14:paraId="141F5765" w14:textId="6EB8189F" w:rsidR="00CB0E28" w:rsidRPr="00857BCB" w:rsidRDefault="00CB0E28" w:rsidP="00CB0E28">
      <w:pPr>
        <w:pStyle w:val="ListParagraph"/>
        <w:numPr>
          <w:ilvl w:val="0"/>
          <w:numId w:val="7"/>
        </w:numPr>
        <w:jc w:val="both"/>
        <w:rPr>
          <w:sz w:val="24"/>
          <w:szCs w:val="24"/>
        </w:rPr>
      </w:pPr>
      <w:r w:rsidRPr="00857BCB">
        <w:rPr>
          <w:sz w:val="24"/>
          <w:szCs w:val="24"/>
        </w:rPr>
        <w:t>Revisión de la documentación oficial del proyecto</w:t>
      </w:r>
      <w:r w:rsidR="004F13BC" w:rsidRPr="00857BCB">
        <w:rPr>
          <w:sz w:val="24"/>
          <w:szCs w:val="24"/>
        </w:rPr>
        <w:t xml:space="preserve"> remitida por la Secretaría de Descentralización de la PCM</w:t>
      </w:r>
      <w:r w:rsidRPr="00857BCB">
        <w:rPr>
          <w:sz w:val="24"/>
          <w:szCs w:val="24"/>
        </w:rPr>
        <w:t>: planes de trabajo, reportes anuales, revisiones sustantivas,</w:t>
      </w:r>
      <w:r w:rsidR="005D6E38" w:rsidRPr="00857BCB">
        <w:rPr>
          <w:sz w:val="24"/>
          <w:szCs w:val="24"/>
        </w:rPr>
        <w:t xml:space="preserve"> contratos,</w:t>
      </w:r>
      <w:r w:rsidRPr="00857BCB">
        <w:rPr>
          <w:sz w:val="24"/>
          <w:szCs w:val="24"/>
        </w:rPr>
        <w:t xml:space="preserve"> términos de referencia para la contratación de consultores</w:t>
      </w:r>
      <w:r w:rsidR="005009E0" w:rsidRPr="00857BCB">
        <w:rPr>
          <w:sz w:val="24"/>
          <w:szCs w:val="24"/>
        </w:rPr>
        <w:t xml:space="preserve"> y productos de las consultorías.</w:t>
      </w:r>
      <w:r w:rsidR="00780DAB" w:rsidRPr="00857BCB">
        <w:rPr>
          <w:sz w:val="24"/>
          <w:szCs w:val="24"/>
        </w:rPr>
        <w:t xml:space="preserve"> Para el caso de las consultorías, sólo tuvimos acceso a las producidas desde 201</w:t>
      </w:r>
      <w:r w:rsidR="005339AD" w:rsidRPr="00857BCB">
        <w:rPr>
          <w:sz w:val="24"/>
          <w:szCs w:val="24"/>
        </w:rPr>
        <w:t>3 en adelante: las del período 2010-2012 se encontraban en el Archivo de PCM y eran de difícil acceso.</w:t>
      </w:r>
      <w:r w:rsidR="001274B7" w:rsidRPr="00857BCB">
        <w:rPr>
          <w:sz w:val="24"/>
          <w:szCs w:val="24"/>
        </w:rPr>
        <w:t xml:space="preserve"> </w:t>
      </w:r>
      <w:r w:rsidR="008333AB" w:rsidRPr="00857BCB">
        <w:rPr>
          <w:sz w:val="24"/>
          <w:szCs w:val="24"/>
        </w:rPr>
        <w:t xml:space="preserve">Asimismo, </w:t>
      </w:r>
      <w:r w:rsidR="008341BB" w:rsidRPr="00857BCB">
        <w:rPr>
          <w:sz w:val="24"/>
          <w:szCs w:val="24"/>
        </w:rPr>
        <w:t xml:space="preserve">dado el gran número de </w:t>
      </w:r>
      <w:r w:rsidR="002F3B9D" w:rsidRPr="00857BCB">
        <w:rPr>
          <w:sz w:val="24"/>
          <w:szCs w:val="24"/>
        </w:rPr>
        <w:t>consultorías que se hicieron para las evaluaciones del proceso de transferencia de competencias</w:t>
      </w:r>
      <w:r w:rsidR="006667C2" w:rsidRPr="00857BCB">
        <w:rPr>
          <w:sz w:val="24"/>
          <w:szCs w:val="24"/>
        </w:rPr>
        <w:t xml:space="preserve"> en las regiones</w:t>
      </w:r>
      <w:r w:rsidR="002F3B9D" w:rsidRPr="00857BCB">
        <w:rPr>
          <w:sz w:val="24"/>
          <w:szCs w:val="24"/>
        </w:rPr>
        <w:t>, sólo hemos revisado</w:t>
      </w:r>
      <w:r w:rsidR="006667C2" w:rsidRPr="00857BCB">
        <w:rPr>
          <w:sz w:val="24"/>
          <w:szCs w:val="24"/>
        </w:rPr>
        <w:t xml:space="preserve"> aquellas correspondientes a las regiones priorizadas: Cusco, Piura y San Martín.</w:t>
      </w:r>
      <w:r w:rsidR="001274B7" w:rsidRPr="00857BCB">
        <w:rPr>
          <w:sz w:val="24"/>
          <w:szCs w:val="24"/>
        </w:rPr>
        <w:t xml:space="preserve"> Del mismo modo, sólo tuvimos acceso a los reportes anuales de PCM a PNUD desde el año 2012.</w:t>
      </w:r>
    </w:p>
    <w:p w14:paraId="2293C1E2" w14:textId="78CE576C" w:rsidR="00CB0E28" w:rsidRPr="00857BCB" w:rsidRDefault="00120D45" w:rsidP="00CB0E28">
      <w:pPr>
        <w:pStyle w:val="ListParagraph"/>
        <w:numPr>
          <w:ilvl w:val="0"/>
          <w:numId w:val="7"/>
        </w:numPr>
        <w:jc w:val="both"/>
        <w:rPr>
          <w:sz w:val="24"/>
          <w:szCs w:val="24"/>
        </w:rPr>
      </w:pPr>
      <w:r w:rsidRPr="00857BCB">
        <w:rPr>
          <w:sz w:val="24"/>
          <w:szCs w:val="24"/>
        </w:rPr>
        <w:t>Entrevistas con los funcionarios de la</w:t>
      </w:r>
      <w:r w:rsidR="00857BCB">
        <w:rPr>
          <w:sz w:val="24"/>
          <w:szCs w:val="24"/>
        </w:rPr>
        <w:t>s</w:t>
      </w:r>
      <w:r w:rsidRPr="00857BCB">
        <w:rPr>
          <w:sz w:val="24"/>
          <w:szCs w:val="24"/>
        </w:rPr>
        <w:t xml:space="preserve"> Secretaría</w:t>
      </w:r>
      <w:r w:rsidR="003E23D8" w:rsidRPr="00857BCB">
        <w:rPr>
          <w:sz w:val="24"/>
          <w:szCs w:val="24"/>
        </w:rPr>
        <w:t>s</w:t>
      </w:r>
      <w:r w:rsidRPr="00857BCB">
        <w:rPr>
          <w:sz w:val="24"/>
          <w:szCs w:val="24"/>
        </w:rPr>
        <w:t xml:space="preserve"> de </w:t>
      </w:r>
      <w:r w:rsidR="003E23D8" w:rsidRPr="00857BCB">
        <w:rPr>
          <w:sz w:val="24"/>
          <w:szCs w:val="24"/>
        </w:rPr>
        <w:t>Descentralización</w:t>
      </w:r>
      <w:r w:rsidRPr="00857BCB">
        <w:rPr>
          <w:sz w:val="24"/>
          <w:szCs w:val="24"/>
        </w:rPr>
        <w:t xml:space="preserve">, </w:t>
      </w:r>
      <w:r w:rsidR="003E23D8" w:rsidRPr="00857BCB">
        <w:rPr>
          <w:sz w:val="24"/>
          <w:szCs w:val="24"/>
        </w:rPr>
        <w:t>Gestión</w:t>
      </w:r>
      <w:r w:rsidRPr="00857BCB">
        <w:rPr>
          <w:sz w:val="24"/>
          <w:szCs w:val="24"/>
        </w:rPr>
        <w:t xml:space="preserve"> Pública y Gobierno Digital (ver anexo 1)</w:t>
      </w:r>
      <w:r w:rsidR="005009E0" w:rsidRPr="00857BCB">
        <w:rPr>
          <w:sz w:val="24"/>
          <w:szCs w:val="24"/>
        </w:rPr>
        <w:t>.</w:t>
      </w:r>
    </w:p>
    <w:p w14:paraId="670E96B3" w14:textId="27957CE8" w:rsidR="000F3C38" w:rsidRPr="00857BCB" w:rsidRDefault="00120D45" w:rsidP="000F3C38">
      <w:pPr>
        <w:pStyle w:val="ListParagraph"/>
        <w:numPr>
          <w:ilvl w:val="0"/>
          <w:numId w:val="7"/>
        </w:numPr>
        <w:jc w:val="both"/>
        <w:rPr>
          <w:sz w:val="24"/>
          <w:szCs w:val="24"/>
        </w:rPr>
      </w:pPr>
      <w:r w:rsidRPr="00857BCB">
        <w:rPr>
          <w:sz w:val="24"/>
          <w:szCs w:val="24"/>
        </w:rPr>
        <w:t xml:space="preserve">Entrevistas con </w:t>
      </w:r>
      <w:r w:rsidR="00D75C80" w:rsidRPr="00857BCB">
        <w:rPr>
          <w:sz w:val="24"/>
          <w:szCs w:val="24"/>
        </w:rPr>
        <w:t>funcionarios de los Gobiernos Regionales de</w:t>
      </w:r>
      <w:r w:rsidRPr="00857BCB">
        <w:rPr>
          <w:sz w:val="24"/>
          <w:szCs w:val="24"/>
        </w:rPr>
        <w:t xml:space="preserve"> Piura, San Martín y Cusco</w:t>
      </w:r>
      <w:r w:rsidR="00B06DD9" w:rsidRPr="00857BCB">
        <w:rPr>
          <w:rStyle w:val="FootnoteReference"/>
          <w:sz w:val="24"/>
          <w:szCs w:val="24"/>
        </w:rPr>
        <w:footnoteReference w:id="6"/>
      </w:r>
      <w:r w:rsidR="002331E8" w:rsidRPr="00857BCB">
        <w:rPr>
          <w:sz w:val="24"/>
          <w:szCs w:val="24"/>
        </w:rPr>
        <w:t xml:space="preserve"> (ver anexo 1)</w:t>
      </w:r>
      <w:r w:rsidRPr="00857BCB">
        <w:rPr>
          <w:sz w:val="24"/>
          <w:szCs w:val="24"/>
        </w:rPr>
        <w:t>.</w:t>
      </w:r>
    </w:p>
    <w:p w14:paraId="43FE92F8" w14:textId="6F7D6ADD" w:rsidR="000F3C38" w:rsidRPr="00857BCB" w:rsidRDefault="000F3C38" w:rsidP="007E12B4">
      <w:pPr>
        <w:jc w:val="both"/>
        <w:rPr>
          <w:sz w:val="24"/>
          <w:szCs w:val="24"/>
        </w:rPr>
      </w:pPr>
      <w:r w:rsidRPr="00857BCB">
        <w:rPr>
          <w:sz w:val="24"/>
          <w:szCs w:val="24"/>
        </w:rPr>
        <w:t>Dado que el proyecto manejó varios componentes</w:t>
      </w:r>
      <w:r w:rsidR="00D708C4" w:rsidRPr="00857BCB">
        <w:rPr>
          <w:sz w:val="24"/>
          <w:szCs w:val="24"/>
        </w:rPr>
        <w:t>,</w:t>
      </w:r>
      <w:r w:rsidR="00F837BA" w:rsidRPr="00857BCB">
        <w:rPr>
          <w:sz w:val="24"/>
          <w:szCs w:val="24"/>
        </w:rPr>
        <w:t xml:space="preserve"> algunos de mayor importancia que otros,</w:t>
      </w:r>
      <w:r w:rsidRPr="00857BCB">
        <w:rPr>
          <w:sz w:val="24"/>
          <w:szCs w:val="24"/>
        </w:rPr>
        <w:t xml:space="preserve"> hemos decididos agruparlos</w:t>
      </w:r>
      <w:r w:rsidR="00D708C4" w:rsidRPr="00857BCB">
        <w:rPr>
          <w:sz w:val="24"/>
          <w:szCs w:val="24"/>
        </w:rPr>
        <w:t xml:space="preserve"> para la evaluación de los indicadores propuestos.</w:t>
      </w:r>
    </w:p>
    <w:p w14:paraId="6ED51AD0" w14:textId="00729F1E" w:rsidR="002E69C4" w:rsidRDefault="002E69C4" w:rsidP="00265FAA">
      <w:pPr>
        <w:pStyle w:val="ListParagraph"/>
        <w:ind w:left="0"/>
        <w:jc w:val="both"/>
        <w:rPr>
          <w:sz w:val="24"/>
          <w:szCs w:val="24"/>
        </w:rPr>
      </w:pPr>
    </w:p>
    <w:p w14:paraId="2DD1CEB6" w14:textId="77777777" w:rsidR="00857BCB" w:rsidRPr="00857BCB" w:rsidRDefault="00857BCB" w:rsidP="00265FAA">
      <w:pPr>
        <w:pStyle w:val="ListParagraph"/>
        <w:ind w:left="0"/>
        <w:jc w:val="both"/>
        <w:rPr>
          <w:sz w:val="24"/>
          <w:szCs w:val="24"/>
        </w:rPr>
      </w:pPr>
    </w:p>
    <w:p w14:paraId="2BAAFF2A" w14:textId="77777777" w:rsidR="001C5D9E" w:rsidRPr="00857BCB" w:rsidRDefault="001C5D9E" w:rsidP="00265FAA">
      <w:pPr>
        <w:pStyle w:val="ListParagraph"/>
        <w:ind w:left="0"/>
        <w:jc w:val="both"/>
        <w:rPr>
          <w:sz w:val="24"/>
          <w:szCs w:val="24"/>
        </w:rPr>
      </w:pPr>
    </w:p>
    <w:p w14:paraId="484EF79F" w14:textId="5A7F2F3C" w:rsidR="002E69C4" w:rsidRDefault="002E69C4" w:rsidP="00E70362">
      <w:pPr>
        <w:pStyle w:val="ListParagraph"/>
        <w:numPr>
          <w:ilvl w:val="0"/>
          <w:numId w:val="1"/>
        </w:numPr>
        <w:jc w:val="both"/>
        <w:outlineLvl w:val="0"/>
        <w:rPr>
          <w:b/>
          <w:sz w:val="28"/>
          <w:szCs w:val="28"/>
        </w:rPr>
      </w:pPr>
      <w:bookmarkStart w:id="2" w:name="_Toc523393981"/>
      <w:r w:rsidRPr="003F1892">
        <w:rPr>
          <w:b/>
          <w:sz w:val="28"/>
          <w:szCs w:val="28"/>
        </w:rPr>
        <w:t>Evaluación de indicadores</w:t>
      </w:r>
      <w:bookmarkEnd w:id="2"/>
    </w:p>
    <w:p w14:paraId="5C43EA2F" w14:textId="77777777" w:rsidR="00C50BB1" w:rsidRPr="009124C2" w:rsidRDefault="00C50BB1" w:rsidP="00E70362">
      <w:pPr>
        <w:pStyle w:val="ListParagraph"/>
        <w:ind w:left="360"/>
        <w:jc w:val="both"/>
        <w:rPr>
          <w:b/>
        </w:rPr>
      </w:pPr>
    </w:p>
    <w:p w14:paraId="7177B07E" w14:textId="4CE62ED2" w:rsidR="002E69C4" w:rsidRPr="00857BCB" w:rsidRDefault="002E69C4" w:rsidP="00E70362">
      <w:pPr>
        <w:pStyle w:val="ListParagraph"/>
        <w:numPr>
          <w:ilvl w:val="1"/>
          <w:numId w:val="1"/>
        </w:numPr>
        <w:ind w:left="720"/>
        <w:jc w:val="both"/>
        <w:outlineLvl w:val="1"/>
        <w:rPr>
          <w:b/>
          <w:sz w:val="28"/>
          <w:szCs w:val="28"/>
        </w:rPr>
      </w:pPr>
      <w:bookmarkStart w:id="3" w:name="_Toc523393982"/>
      <w:r w:rsidRPr="00857BCB">
        <w:rPr>
          <w:b/>
          <w:sz w:val="28"/>
          <w:szCs w:val="28"/>
        </w:rPr>
        <w:t>Eficacia</w:t>
      </w:r>
      <w:bookmarkEnd w:id="3"/>
    </w:p>
    <w:p w14:paraId="76D13D25" w14:textId="73708BFB" w:rsidR="00272547" w:rsidRPr="00857BCB" w:rsidRDefault="00272547" w:rsidP="00272547">
      <w:pPr>
        <w:ind w:left="288"/>
        <w:jc w:val="both"/>
        <w:rPr>
          <w:sz w:val="24"/>
          <w:szCs w:val="24"/>
        </w:rPr>
      </w:pPr>
      <w:r w:rsidRPr="00857BCB">
        <w:rPr>
          <w:sz w:val="24"/>
          <w:szCs w:val="24"/>
        </w:rPr>
        <w:t xml:space="preserve">A través del indicador </w:t>
      </w:r>
      <w:r w:rsidRPr="00857BCB">
        <w:rPr>
          <w:i/>
          <w:sz w:val="24"/>
          <w:szCs w:val="24"/>
        </w:rPr>
        <w:t>eficacia</w:t>
      </w:r>
      <w:r w:rsidRPr="00857BCB">
        <w:rPr>
          <w:sz w:val="24"/>
          <w:szCs w:val="24"/>
        </w:rPr>
        <w:t xml:space="preserve"> buscamos constatar el cumplimiento de las </w:t>
      </w:r>
      <w:r w:rsidR="0015552F" w:rsidRPr="00857BCB">
        <w:rPr>
          <w:sz w:val="24"/>
          <w:szCs w:val="24"/>
        </w:rPr>
        <w:t xml:space="preserve">actividades </w:t>
      </w:r>
      <w:r w:rsidRPr="00857BCB">
        <w:rPr>
          <w:sz w:val="24"/>
          <w:szCs w:val="24"/>
        </w:rPr>
        <w:t xml:space="preserve">diseñadas y su nivel de relación con los resultados del proyecto. Para ello, descansamos en los reportes provistos por PCM al PNUD. Dividimos las actividades reseñadas en dos categorías: </w:t>
      </w:r>
      <w:r w:rsidRPr="00857BCB">
        <w:rPr>
          <w:i/>
          <w:sz w:val="24"/>
          <w:szCs w:val="24"/>
        </w:rPr>
        <w:t>productos</w:t>
      </w:r>
      <w:r w:rsidRPr="00857BCB">
        <w:rPr>
          <w:sz w:val="24"/>
          <w:szCs w:val="24"/>
        </w:rPr>
        <w:t xml:space="preserve"> (que pueden ser consultorías, contrataciones, adquisiciones, etc.) y </w:t>
      </w:r>
      <w:r w:rsidRPr="00857BCB">
        <w:rPr>
          <w:i/>
          <w:sz w:val="24"/>
          <w:szCs w:val="24"/>
        </w:rPr>
        <w:t>procesos</w:t>
      </w:r>
      <w:r w:rsidRPr="00857BCB">
        <w:rPr>
          <w:sz w:val="24"/>
          <w:szCs w:val="24"/>
        </w:rPr>
        <w:t xml:space="preserve"> que son actividades que -si bien no se relacionan a un producto</w:t>
      </w:r>
      <w:r w:rsidR="00CA25BD" w:rsidRPr="00857BCB">
        <w:rPr>
          <w:sz w:val="24"/>
          <w:szCs w:val="24"/>
        </w:rPr>
        <w:t xml:space="preserve"> en concreto</w:t>
      </w:r>
      <w:r w:rsidRPr="00857BCB">
        <w:rPr>
          <w:sz w:val="24"/>
          <w:szCs w:val="24"/>
        </w:rPr>
        <w:t>- apuntan a cambios que el proyecto desencadenó en las tareas cotidianas de las oficinas de PCM (por ejemplo, elaboración de lineamientos, de marcos normativos, etc.)</w:t>
      </w:r>
    </w:p>
    <w:p w14:paraId="66201446" w14:textId="77777777" w:rsidR="00272547" w:rsidRDefault="00272547" w:rsidP="00272547">
      <w:pPr>
        <w:ind w:left="288"/>
        <w:jc w:val="both"/>
        <w:outlineLvl w:val="1"/>
        <w:rPr>
          <w:b/>
          <w:sz w:val="24"/>
          <w:szCs w:val="24"/>
        </w:rPr>
      </w:pPr>
    </w:p>
    <w:p w14:paraId="64F3E578" w14:textId="77777777" w:rsidR="00857BCB" w:rsidRDefault="00857BCB" w:rsidP="00272547">
      <w:pPr>
        <w:ind w:left="288"/>
        <w:jc w:val="both"/>
        <w:outlineLvl w:val="1"/>
        <w:rPr>
          <w:b/>
          <w:sz w:val="24"/>
          <w:szCs w:val="24"/>
        </w:rPr>
      </w:pPr>
    </w:p>
    <w:p w14:paraId="7BB72620" w14:textId="77777777" w:rsidR="00857BCB" w:rsidRPr="00857BCB" w:rsidRDefault="00857BCB" w:rsidP="00272547">
      <w:pPr>
        <w:ind w:left="288"/>
        <w:jc w:val="both"/>
        <w:outlineLvl w:val="1"/>
        <w:rPr>
          <w:b/>
          <w:sz w:val="24"/>
          <w:szCs w:val="24"/>
        </w:rPr>
      </w:pPr>
    </w:p>
    <w:p w14:paraId="5CF7F9A6" w14:textId="01D1BBD9" w:rsidR="00272547" w:rsidRPr="00857BCB" w:rsidRDefault="00272547" w:rsidP="009A3727">
      <w:pPr>
        <w:pStyle w:val="ListParagraph"/>
        <w:numPr>
          <w:ilvl w:val="2"/>
          <w:numId w:val="1"/>
        </w:numPr>
        <w:jc w:val="both"/>
        <w:outlineLvl w:val="2"/>
        <w:rPr>
          <w:i/>
          <w:sz w:val="24"/>
          <w:szCs w:val="24"/>
        </w:rPr>
      </w:pPr>
      <w:bookmarkStart w:id="4" w:name="_Toc523393983"/>
      <w:r w:rsidRPr="00857BCB">
        <w:rPr>
          <w:i/>
          <w:sz w:val="24"/>
          <w:szCs w:val="24"/>
          <w:u w:val="single"/>
        </w:rPr>
        <w:lastRenderedPageBreak/>
        <w:t>Sobre el fortalecimiento de capacidades normativas y legales, financieras y técnicas (actividades 1.1., 1.2., 1.3 en el período 2010-2012)</w:t>
      </w:r>
      <w:bookmarkEnd w:id="4"/>
    </w:p>
    <w:p w14:paraId="50B945D3" w14:textId="77777777" w:rsidR="00C55E00" w:rsidRPr="00857BCB" w:rsidRDefault="00C55E00" w:rsidP="00265FAA">
      <w:pPr>
        <w:jc w:val="both"/>
        <w:rPr>
          <w:i/>
          <w:sz w:val="24"/>
          <w:szCs w:val="24"/>
        </w:rPr>
      </w:pPr>
    </w:p>
    <w:p w14:paraId="309B6FF3" w14:textId="725C0F06" w:rsidR="00B41D2F" w:rsidRPr="00857BCB" w:rsidRDefault="009602A5" w:rsidP="00265FAA">
      <w:pPr>
        <w:jc w:val="both"/>
        <w:rPr>
          <w:sz w:val="24"/>
          <w:szCs w:val="24"/>
        </w:rPr>
      </w:pPr>
      <w:r w:rsidRPr="00857BCB">
        <w:rPr>
          <w:sz w:val="24"/>
          <w:szCs w:val="24"/>
        </w:rPr>
        <w:t>Según el proyecto original, e</w:t>
      </w:r>
      <w:r w:rsidR="002B5A79" w:rsidRPr="00857BCB">
        <w:rPr>
          <w:sz w:val="24"/>
          <w:szCs w:val="24"/>
        </w:rPr>
        <w:t>sta</w:t>
      </w:r>
      <w:r w:rsidR="00854F4C" w:rsidRPr="00857BCB">
        <w:rPr>
          <w:sz w:val="24"/>
          <w:szCs w:val="24"/>
        </w:rPr>
        <w:t>s</w:t>
      </w:r>
      <w:r w:rsidR="002B5A79" w:rsidRPr="00857BCB">
        <w:rPr>
          <w:sz w:val="24"/>
          <w:szCs w:val="24"/>
        </w:rPr>
        <w:t xml:space="preserve"> actividad</w:t>
      </w:r>
      <w:r w:rsidR="00854F4C" w:rsidRPr="00857BCB">
        <w:rPr>
          <w:sz w:val="24"/>
          <w:szCs w:val="24"/>
        </w:rPr>
        <w:t>es</w:t>
      </w:r>
      <w:r w:rsidR="002B5A79" w:rsidRPr="00857BCB">
        <w:rPr>
          <w:sz w:val="24"/>
          <w:szCs w:val="24"/>
        </w:rPr>
        <w:t xml:space="preserve"> </w:t>
      </w:r>
      <w:r w:rsidRPr="00857BCB">
        <w:rPr>
          <w:sz w:val="24"/>
          <w:szCs w:val="24"/>
        </w:rPr>
        <w:t>incluirían</w:t>
      </w:r>
      <w:r w:rsidR="00854F4C" w:rsidRPr="00857BCB">
        <w:rPr>
          <w:sz w:val="24"/>
          <w:szCs w:val="24"/>
        </w:rPr>
        <w:t xml:space="preserve"> la creación de mapas </w:t>
      </w:r>
      <w:r w:rsidR="002B5A79" w:rsidRPr="00857BCB">
        <w:rPr>
          <w:sz w:val="24"/>
          <w:szCs w:val="24"/>
        </w:rPr>
        <w:t>de necesidades de capacitación</w:t>
      </w:r>
      <w:r w:rsidR="00F22E7A" w:rsidRPr="00857BCB">
        <w:rPr>
          <w:sz w:val="24"/>
          <w:szCs w:val="24"/>
        </w:rPr>
        <w:t>,</w:t>
      </w:r>
      <w:r w:rsidR="008D55B4" w:rsidRPr="00857BCB">
        <w:rPr>
          <w:sz w:val="24"/>
          <w:szCs w:val="24"/>
        </w:rPr>
        <w:t xml:space="preserve"> análisis de los marcos normativos,</w:t>
      </w:r>
      <w:r w:rsidR="00F22E7A" w:rsidRPr="00857BCB">
        <w:rPr>
          <w:sz w:val="24"/>
          <w:szCs w:val="24"/>
        </w:rPr>
        <w:t xml:space="preserve"> identificación de capacidades</w:t>
      </w:r>
      <w:r w:rsidR="00A051F8" w:rsidRPr="00857BCB">
        <w:rPr>
          <w:sz w:val="24"/>
          <w:szCs w:val="24"/>
        </w:rPr>
        <w:t xml:space="preserve"> existentes y estudios de gestión de planes y programas. </w:t>
      </w:r>
      <w:r w:rsidR="00B701A2" w:rsidRPr="00857BCB">
        <w:rPr>
          <w:sz w:val="24"/>
          <w:szCs w:val="24"/>
        </w:rPr>
        <w:t>Cada diagnóstico sería acompañado de</w:t>
      </w:r>
      <w:r w:rsidR="002B5A79" w:rsidRPr="00857BCB">
        <w:rPr>
          <w:sz w:val="24"/>
          <w:szCs w:val="24"/>
        </w:rPr>
        <w:t xml:space="preserve"> un plan</w:t>
      </w:r>
      <w:r w:rsidR="00AF7CA9" w:rsidRPr="00857BCB">
        <w:rPr>
          <w:sz w:val="24"/>
          <w:szCs w:val="24"/>
        </w:rPr>
        <w:t xml:space="preserve"> de capacitación o de mejoramiento</w:t>
      </w:r>
      <w:r w:rsidR="002B5A79" w:rsidRPr="00857BCB">
        <w:rPr>
          <w:sz w:val="24"/>
          <w:szCs w:val="24"/>
        </w:rPr>
        <w:t>.</w:t>
      </w:r>
    </w:p>
    <w:p w14:paraId="089DFDF5" w14:textId="77777777" w:rsidR="00272547" w:rsidRPr="00857BCB" w:rsidRDefault="00272547" w:rsidP="00265FAA">
      <w:pPr>
        <w:jc w:val="both"/>
        <w:rPr>
          <w:sz w:val="24"/>
          <w:szCs w:val="24"/>
        </w:rPr>
      </w:pPr>
    </w:p>
    <w:p w14:paraId="0C1BFAF0" w14:textId="7322F98E" w:rsidR="00736843" w:rsidRPr="00857BCB" w:rsidRDefault="000479FE" w:rsidP="000479FE">
      <w:pPr>
        <w:jc w:val="center"/>
        <w:rPr>
          <w:b/>
          <w:sz w:val="24"/>
          <w:szCs w:val="24"/>
          <w:u w:val="single"/>
        </w:rPr>
      </w:pPr>
      <w:r w:rsidRPr="00857BCB">
        <w:rPr>
          <w:b/>
          <w:sz w:val="24"/>
          <w:szCs w:val="24"/>
          <w:u w:val="single"/>
        </w:rPr>
        <w:t>Resultado 1</w:t>
      </w:r>
      <w:r w:rsidR="00646D14" w:rsidRPr="00857BCB">
        <w:rPr>
          <w:b/>
          <w:sz w:val="24"/>
          <w:szCs w:val="24"/>
          <w:u w:val="single"/>
        </w:rPr>
        <w:t xml:space="preserve"> (entre 2010 y 2012)</w:t>
      </w:r>
      <w:r w:rsidRPr="00857BCB">
        <w:rPr>
          <w:b/>
          <w:sz w:val="24"/>
          <w:szCs w:val="24"/>
          <w:u w:val="single"/>
        </w:rPr>
        <w:t xml:space="preserve">: </w:t>
      </w:r>
      <w:r w:rsidR="00736843" w:rsidRPr="00857BCB">
        <w:rPr>
          <w:b/>
          <w:i/>
          <w:sz w:val="24"/>
          <w:szCs w:val="24"/>
          <w:u w:val="single"/>
        </w:rPr>
        <w:t>Instancias regionales del Poder Ejecutivo cuentan con un plan de mejoramiento para la consecución de los resultados por el proceso de descentralización y modernización del Estado.</w:t>
      </w:r>
    </w:p>
    <w:p w14:paraId="4BC9B1CB" w14:textId="0A15B7EE" w:rsidR="000479FE" w:rsidRPr="00857BCB" w:rsidRDefault="000479FE" w:rsidP="000479FE">
      <w:pPr>
        <w:jc w:val="center"/>
        <w:rPr>
          <w:b/>
          <w:sz w:val="24"/>
          <w:szCs w:val="24"/>
          <w:u w:val="single"/>
        </w:rPr>
      </w:pPr>
      <w:r w:rsidRPr="00857BCB">
        <w:rPr>
          <w:b/>
          <w:sz w:val="24"/>
          <w:szCs w:val="24"/>
          <w:u w:val="single"/>
        </w:rPr>
        <w:t>Actividades realizadas por año</w:t>
      </w:r>
      <w:r w:rsidR="006F43D5" w:rsidRPr="00857BCB">
        <w:rPr>
          <w:b/>
          <w:sz w:val="24"/>
          <w:szCs w:val="24"/>
          <w:u w:val="single"/>
        </w:rPr>
        <w:t xml:space="preserve"> (componente de fortalecimiento de capacidades)</w:t>
      </w:r>
      <w:r w:rsidR="007B7D4A" w:rsidRPr="00857BCB">
        <w:rPr>
          <w:rStyle w:val="FootnoteReference"/>
          <w:b/>
          <w:sz w:val="24"/>
          <w:szCs w:val="24"/>
          <w:u w:val="single"/>
        </w:rPr>
        <w:footnoteReference w:id="7"/>
      </w:r>
    </w:p>
    <w:tbl>
      <w:tblPr>
        <w:tblW w:w="5000" w:type="pct"/>
        <w:tblCellMar>
          <w:left w:w="70" w:type="dxa"/>
          <w:right w:w="70" w:type="dxa"/>
        </w:tblCellMar>
        <w:tblLook w:val="04A0" w:firstRow="1" w:lastRow="0" w:firstColumn="1" w:lastColumn="0" w:noHBand="0" w:noVBand="1"/>
      </w:tblPr>
      <w:tblGrid>
        <w:gridCol w:w="822"/>
        <w:gridCol w:w="2105"/>
        <w:gridCol w:w="5717"/>
      </w:tblGrid>
      <w:tr w:rsidR="000479FE" w:rsidRPr="000479FE" w14:paraId="5E42FF7A" w14:textId="77777777" w:rsidTr="00C55E00">
        <w:trPr>
          <w:trHeight w:val="3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65A44" w14:textId="77777777" w:rsidR="000479FE" w:rsidRPr="00857BCB" w:rsidRDefault="000479FE" w:rsidP="00C55E00">
            <w:pPr>
              <w:spacing w:after="0" w:line="240" w:lineRule="auto"/>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Número</w:t>
            </w:r>
          </w:p>
        </w:tc>
        <w:tc>
          <w:tcPr>
            <w:tcW w:w="1254" w:type="pct"/>
            <w:tcBorders>
              <w:top w:val="single" w:sz="4" w:space="0" w:color="auto"/>
              <w:left w:val="nil"/>
              <w:bottom w:val="single" w:sz="4" w:space="0" w:color="auto"/>
              <w:right w:val="single" w:sz="4" w:space="0" w:color="auto"/>
            </w:tcBorders>
            <w:shd w:val="clear" w:color="auto" w:fill="auto"/>
            <w:vAlign w:val="center"/>
            <w:hideMark/>
          </w:tcPr>
          <w:p w14:paraId="19D1BD98" w14:textId="77777777" w:rsidR="000479FE" w:rsidRPr="00857BCB" w:rsidRDefault="000479FE" w:rsidP="00C55E00">
            <w:pPr>
              <w:spacing w:after="0" w:line="240" w:lineRule="auto"/>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Actividad / Cumplimiento por año</w:t>
            </w:r>
          </w:p>
        </w:tc>
        <w:tc>
          <w:tcPr>
            <w:tcW w:w="3343" w:type="pct"/>
            <w:tcBorders>
              <w:top w:val="single" w:sz="4" w:space="0" w:color="auto"/>
              <w:left w:val="nil"/>
              <w:bottom w:val="single" w:sz="4" w:space="0" w:color="auto"/>
              <w:right w:val="single" w:sz="4" w:space="0" w:color="auto"/>
            </w:tcBorders>
            <w:shd w:val="clear" w:color="auto" w:fill="auto"/>
            <w:vAlign w:val="center"/>
            <w:hideMark/>
          </w:tcPr>
          <w:p w14:paraId="1E63305C" w14:textId="77777777" w:rsidR="000479FE" w:rsidRPr="00857BCB" w:rsidRDefault="000479FE" w:rsidP="00C55E00">
            <w:pPr>
              <w:spacing w:after="0" w:line="240" w:lineRule="auto"/>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2012</w:t>
            </w:r>
          </w:p>
        </w:tc>
      </w:tr>
      <w:tr w:rsidR="000479FE" w:rsidRPr="000479FE" w14:paraId="0DD8E3FC" w14:textId="77777777" w:rsidTr="00C55E00">
        <w:trPr>
          <w:trHeight w:val="467"/>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4B4FE527" w14:textId="77777777" w:rsidR="000479FE" w:rsidRPr="00857BCB" w:rsidRDefault="000479FE" w:rsidP="00C55E00">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1.1</w:t>
            </w:r>
          </w:p>
        </w:tc>
        <w:tc>
          <w:tcPr>
            <w:tcW w:w="1254" w:type="pct"/>
            <w:tcBorders>
              <w:top w:val="nil"/>
              <w:left w:val="nil"/>
              <w:bottom w:val="single" w:sz="4" w:space="0" w:color="auto"/>
              <w:right w:val="single" w:sz="4" w:space="0" w:color="auto"/>
            </w:tcBorders>
            <w:shd w:val="clear" w:color="auto" w:fill="auto"/>
            <w:vAlign w:val="center"/>
            <w:hideMark/>
          </w:tcPr>
          <w:p w14:paraId="5316F058" w14:textId="77777777" w:rsidR="000479FE" w:rsidRPr="00857BCB" w:rsidRDefault="000479FE" w:rsidP="00C55E00">
            <w:pPr>
              <w:spacing w:after="0" w:line="240" w:lineRule="auto"/>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Fortalecimiento de capacidades normativas y legales</w:t>
            </w:r>
          </w:p>
        </w:tc>
        <w:tc>
          <w:tcPr>
            <w:tcW w:w="3343" w:type="pct"/>
            <w:tcBorders>
              <w:top w:val="nil"/>
              <w:left w:val="nil"/>
              <w:bottom w:val="single" w:sz="4" w:space="0" w:color="auto"/>
              <w:right w:val="single" w:sz="4" w:space="0" w:color="auto"/>
            </w:tcBorders>
            <w:shd w:val="clear" w:color="auto" w:fill="auto"/>
            <w:vAlign w:val="center"/>
            <w:hideMark/>
          </w:tcPr>
          <w:p w14:paraId="320F3E61" w14:textId="7C4BA9FD" w:rsidR="000479FE" w:rsidRPr="00857BCB" w:rsidRDefault="000479FE" w:rsidP="00C55E00">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 xml:space="preserve">* 1 consultoría ("Estudio </w:t>
            </w:r>
            <w:r w:rsidR="00227D56" w:rsidRPr="00857BCB">
              <w:rPr>
                <w:rFonts w:ascii="Calibri" w:eastAsia="Times New Roman" w:hAnsi="Calibri" w:cs="Times New Roman"/>
                <w:color w:val="000000"/>
                <w:sz w:val="20"/>
                <w:szCs w:val="20"/>
                <w:lang w:eastAsia="es-PE"/>
              </w:rPr>
              <w:t>d</w:t>
            </w:r>
            <w:r w:rsidRPr="00857BCB">
              <w:rPr>
                <w:rFonts w:ascii="Calibri" w:eastAsia="Times New Roman" w:hAnsi="Calibri" w:cs="Times New Roman"/>
                <w:color w:val="000000"/>
                <w:sz w:val="20"/>
                <w:szCs w:val="20"/>
                <w:lang w:eastAsia="es-PE"/>
              </w:rPr>
              <w:t>el proyecto de uso de Sistema de Trámite Documentario")</w:t>
            </w:r>
            <w:r w:rsidR="00227D56" w:rsidRPr="00857BCB">
              <w:rPr>
                <w:rFonts w:ascii="Calibri" w:eastAsia="Times New Roman" w:hAnsi="Calibri" w:cs="Times New Roman"/>
                <w:color w:val="000000"/>
                <w:sz w:val="20"/>
                <w:szCs w:val="20"/>
                <w:lang w:eastAsia="es-PE"/>
              </w:rPr>
              <w:t>.</w:t>
            </w:r>
            <w:r w:rsidRPr="00857BCB">
              <w:rPr>
                <w:rFonts w:ascii="Calibri" w:eastAsia="Times New Roman" w:hAnsi="Calibri" w:cs="Times New Roman"/>
                <w:color w:val="000000"/>
                <w:sz w:val="20"/>
                <w:szCs w:val="20"/>
                <w:lang w:eastAsia="es-PE"/>
              </w:rPr>
              <w:br/>
              <w:t xml:space="preserve">* Adquisición de dos servidores, un </w:t>
            </w:r>
            <w:proofErr w:type="spellStart"/>
            <w:r w:rsidRPr="00857BCB">
              <w:rPr>
                <w:rFonts w:ascii="Calibri" w:eastAsia="Times New Roman" w:hAnsi="Calibri" w:cs="Times New Roman"/>
                <w:i/>
                <w:color w:val="000000"/>
                <w:sz w:val="20"/>
                <w:szCs w:val="20"/>
                <w:lang w:eastAsia="es-PE"/>
              </w:rPr>
              <w:t>switch</w:t>
            </w:r>
            <w:proofErr w:type="spellEnd"/>
            <w:r w:rsidRPr="00857BCB">
              <w:rPr>
                <w:rFonts w:ascii="Calibri" w:eastAsia="Times New Roman" w:hAnsi="Calibri" w:cs="Times New Roman"/>
                <w:color w:val="000000"/>
                <w:sz w:val="20"/>
                <w:szCs w:val="20"/>
                <w:lang w:eastAsia="es-PE"/>
              </w:rPr>
              <w:t>, software de mensajería de correo.</w:t>
            </w:r>
          </w:p>
        </w:tc>
      </w:tr>
      <w:tr w:rsidR="009B2509" w:rsidRPr="000479FE" w14:paraId="31757AFC" w14:textId="77777777" w:rsidTr="00C55E00">
        <w:trPr>
          <w:trHeight w:val="126"/>
        </w:trPr>
        <w:tc>
          <w:tcPr>
            <w:tcW w:w="403" w:type="pct"/>
            <w:tcBorders>
              <w:top w:val="nil"/>
              <w:left w:val="single" w:sz="4" w:space="0" w:color="auto"/>
              <w:bottom w:val="single" w:sz="4" w:space="0" w:color="auto"/>
              <w:right w:val="single" w:sz="4" w:space="0" w:color="auto"/>
            </w:tcBorders>
            <w:shd w:val="clear" w:color="auto" w:fill="auto"/>
            <w:noWrap/>
            <w:vAlign w:val="center"/>
          </w:tcPr>
          <w:p w14:paraId="78779295" w14:textId="2F352639" w:rsidR="009B2509" w:rsidRPr="00857BCB" w:rsidRDefault="009B2509" w:rsidP="00C55E00">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1.2</w:t>
            </w:r>
          </w:p>
        </w:tc>
        <w:tc>
          <w:tcPr>
            <w:tcW w:w="1254" w:type="pct"/>
            <w:tcBorders>
              <w:top w:val="nil"/>
              <w:left w:val="nil"/>
              <w:bottom w:val="single" w:sz="4" w:space="0" w:color="auto"/>
              <w:right w:val="single" w:sz="4" w:space="0" w:color="auto"/>
            </w:tcBorders>
            <w:shd w:val="clear" w:color="auto" w:fill="auto"/>
            <w:vAlign w:val="center"/>
          </w:tcPr>
          <w:p w14:paraId="1E3F60BB" w14:textId="24489AF4" w:rsidR="009B2509" w:rsidRPr="00857BCB" w:rsidRDefault="009B2509" w:rsidP="00C55E00">
            <w:pPr>
              <w:spacing w:after="0" w:line="240" w:lineRule="auto"/>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Fortalecimiento de capacidades financieras</w:t>
            </w:r>
          </w:p>
        </w:tc>
        <w:tc>
          <w:tcPr>
            <w:tcW w:w="3343" w:type="pct"/>
            <w:tcBorders>
              <w:top w:val="nil"/>
              <w:left w:val="nil"/>
              <w:bottom w:val="single" w:sz="4" w:space="0" w:color="auto"/>
              <w:right w:val="single" w:sz="4" w:space="0" w:color="auto"/>
            </w:tcBorders>
            <w:shd w:val="clear" w:color="auto" w:fill="auto"/>
            <w:vAlign w:val="center"/>
          </w:tcPr>
          <w:p w14:paraId="006EB07E" w14:textId="50299506" w:rsidR="009B2509" w:rsidRPr="00857BCB" w:rsidRDefault="009B2509" w:rsidP="00C55E00">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(Sin avance)</w:t>
            </w:r>
          </w:p>
        </w:tc>
      </w:tr>
      <w:tr w:rsidR="000479FE" w:rsidRPr="000479FE" w14:paraId="7FF20387" w14:textId="77777777" w:rsidTr="00C55E00">
        <w:trPr>
          <w:trHeight w:val="1119"/>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3EC4A6E2" w14:textId="77777777" w:rsidR="000479FE" w:rsidRPr="00857BCB" w:rsidRDefault="000479FE" w:rsidP="00C55E00">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1.3</w:t>
            </w:r>
          </w:p>
        </w:tc>
        <w:tc>
          <w:tcPr>
            <w:tcW w:w="1254" w:type="pct"/>
            <w:tcBorders>
              <w:top w:val="nil"/>
              <w:left w:val="nil"/>
              <w:bottom w:val="single" w:sz="4" w:space="0" w:color="auto"/>
              <w:right w:val="single" w:sz="4" w:space="0" w:color="auto"/>
            </w:tcBorders>
            <w:shd w:val="clear" w:color="auto" w:fill="auto"/>
            <w:vAlign w:val="center"/>
            <w:hideMark/>
          </w:tcPr>
          <w:p w14:paraId="194300D9" w14:textId="77777777" w:rsidR="000479FE" w:rsidRPr="00857BCB" w:rsidRDefault="000479FE" w:rsidP="00C55E00">
            <w:pPr>
              <w:spacing w:after="0" w:line="240" w:lineRule="auto"/>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Fortalecimiento de capacidades técnicas</w:t>
            </w:r>
          </w:p>
        </w:tc>
        <w:tc>
          <w:tcPr>
            <w:tcW w:w="3343" w:type="pct"/>
            <w:tcBorders>
              <w:top w:val="nil"/>
              <w:left w:val="nil"/>
              <w:bottom w:val="single" w:sz="4" w:space="0" w:color="auto"/>
              <w:right w:val="single" w:sz="4" w:space="0" w:color="auto"/>
            </w:tcBorders>
            <w:shd w:val="clear" w:color="auto" w:fill="auto"/>
            <w:vAlign w:val="center"/>
            <w:hideMark/>
          </w:tcPr>
          <w:p w14:paraId="3A844904" w14:textId="5121EA0E" w:rsidR="000479FE" w:rsidRPr="00857BCB" w:rsidRDefault="000479FE" w:rsidP="00C55E00">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 1 consultoría ("Estudio para la elaboración del plan de mejoras del Sistema de Trámite Documentario")</w:t>
            </w:r>
            <w:r w:rsidR="00227D56" w:rsidRPr="00857BCB">
              <w:rPr>
                <w:rFonts w:ascii="Calibri" w:eastAsia="Times New Roman" w:hAnsi="Calibri" w:cs="Times New Roman"/>
                <w:color w:val="000000"/>
                <w:sz w:val="20"/>
                <w:szCs w:val="20"/>
                <w:lang w:eastAsia="es-PE"/>
              </w:rPr>
              <w:t>.</w:t>
            </w:r>
            <w:r w:rsidRPr="00857BCB">
              <w:rPr>
                <w:rFonts w:ascii="Calibri" w:eastAsia="Times New Roman" w:hAnsi="Calibri" w:cs="Times New Roman"/>
                <w:color w:val="000000"/>
                <w:sz w:val="20"/>
                <w:szCs w:val="20"/>
                <w:lang w:eastAsia="es-PE"/>
              </w:rPr>
              <w:br/>
              <w:t xml:space="preserve">* (Proceso) Análisis de la actualización y propuesta de estructura del proyecto del nuevo plan nacional de desarrollo de capacidades 2013-2016 para la gestión pública y el buen </w:t>
            </w:r>
            <w:r w:rsidR="00E35AE3" w:rsidRPr="00857BCB">
              <w:rPr>
                <w:rFonts w:ascii="Calibri" w:eastAsia="Times New Roman" w:hAnsi="Calibri" w:cs="Times New Roman"/>
                <w:color w:val="000000"/>
                <w:sz w:val="20"/>
                <w:szCs w:val="20"/>
                <w:lang w:eastAsia="es-PE"/>
              </w:rPr>
              <w:t>gobierno</w:t>
            </w:r>
            <w:r w:rsidRPr="00857BCB">
              <w:rPr>
                <w:rFonts w:ascii="Calibri" w:eastAsia="Times New Roman" w:hAnsi="Calibri" w:cs="Times New Roman"/>
                <w:color w:val="000000"/>
                <w:sz w:val="20"/>
                <w:szCs w:val="20"/>
                <w:lang w:eastAsia="es-PE"/>
              </w:rPr>
              <w:t xml:space="preserve"> de los GR</w:t>
            </w:r>
            <w:r w:rsidR="00227D56" w:rsidRPr="00857BCB">
              <w:rPr>
                <w:rFonts w:ascii="Calibri" w:eastAsia="Times New Roman" w:hAnsi="Calibri" w:cs="Times New Roman"/>
                <w:color w:val="000000"/>
                <w:sz w:val="20"/>
                <w:szCs w:val="20"/>
                <w:lang w:eastAsia="es-PE"/>
              </w:rPr>
              <w:t>.</w:t>
            </w:r>
            <w:r w:rsidRPr="00857BCB">
              <w:rPr>
                <w:rFonts w:ascii="Calibri" w:eastAsia="Times New Roman" w:hAnsi="Calibri" w:cs="Times New Roman"/>
                <w:color w:val="000000"/>
                <w:sz w:val="20"/>
                <w:szCs w:val="20"/>
                <w:lang w:eastAsia="es-PE"/>
              </w:rPr>
              <w:br/>
              <w:t xml:space="preserve">* (Proceso) Coordinación de la socialización del Plan Nacional de </w:t>
            </w:r>
            <w:r w:rsidR="00E35AE3" w:rsidRPr="00857BCB">
              <w:rPr>
                <w:rFonts w:ascii="Calibri" w:eastAsia="Times New Roman" w:hAnsi="Calibri" w:cs="Times New Roman"/>
                <w:color w:val="000000"/>
                <w:sz w:val="20"/>
                <w:szCs w:val="20"/>
                <w:lang w:eastAsia="es-PE"/>
              </w:rPr>
              <w:t>Descentralización</w:t>
            </w:r>
            <w:r w:rsidRPr="00857BCB">
              <w:rPr>
                <w:rFonts w:ascii="Calibri" w:eastAsia="Times New Roman" w:hAnsi="Calibri" w:cs="Times New Roman"/>
                <w:color w:val="000000"/>
                <w:sz w:val="20"/>
                <w:szCs w:val="20"/>
                <w:lang w:eastAsia="es-PE"/>
              </w:rPr>
              <w:t xml:space="preserve"> 2012</w:t>
            </w:r>
            <w:r w:rsidR="00227D56" w:rsidRPr="00857BCB">
              <w:rPr>
                <w:rFonts w:ascii="Calibri" w:eastAsia="Times New Roman" w:hAnsi="Calibri" w:cs="Times New Roman"/>
                <w:color w:val="000000"/>
                <w:sz w:val="20"/>
                <w:szCs w:val="20"/>
                <w:lang w:eastAsia="es-PE"/>
              </w:rPr>
              <w:t>.</w:t>
            </w:r>
          </w:p>
        </w:tc>
      </w:tr>
    </w:tbl>
    <w:p w14:paraId="3FC32DA1" w14:textId="3669849A" w:rsidR="00E10ACB" w:rsidRDefault="0048255D" w:rsidP="00265FAA">
      <w:pPr>
        <w:jc w:val="both"/>
        <w:rPr>
          <w:sz w:val="20"/>
          <w:szCs w:val="20"/>
        </w:rPr>
      </w:pPr>
      <w:r w:rsidRPr="002F7E6E">
        <w:rPr>
          <w:sz w:val="20"/>
          <w:szCs w:val="20"/>
        </w:rPr>
        <w:t>Fuente</w:t>
      </w:r>
      <w:r w:rsidR="00D75C80" w:rsidRPr="002F7E6E">
        <w:rPr>
          <w:sz w:val="20"/>
          <w:szCs w:val="20"/>
        </w:rPr>
        <w:t>: Reportes</w:t>
      </w:r>
      <w:r w:rsidRPr="002F7E6E">
        <w:rPr>
          <w:sz w:val="20"/>
          <w:szCs w:val="20"/>
        </w:rPr>
        <w:t xml:space="preserve"> de la PCM a PNUD</w:t>
      </w:r>
    </w:p>
    <w:p w14:paraId="096974C3" w14:textId="6EB8982D" w:rsidR="002C24EE" w:rsidRPr="00857BCB" w:rsidRDefault="00B12643" w:rsidP="002C24EE">
      <w:pPr>
        <w:jc w:val="both"/>
        <w:rPr>
          <w:sz w:val="24"/>
          <w:szCs w:val="24"/>
        </w:rPr>
      </w:pPr>
      <w:r w:rsidRPr="00857BCB">
        <w:rPr>
          <w:sz w:val="24"/>
          <w:szCs w:val="24"/>
        </w:rPr>
        <w:t xml:space="preserve">Hasta el momento no hemos recibido </w:t>
      </w:r>
      <w:r w:rsidR="007139D9" w:rsidRPr="00857BCB">
        <w:rPr>
          <w:sz w:val="24"/>
          <w:szCs w:val="24"/>
        </w:rPr>
        <w:t>la</w:t>
      </w:r>
      <w:r w:rsidRPr="00857BCB">
        <w:rPr>
          <w:sz w:val="24"/>
          <w:szCs w:val="24"/>
        </w:rPr>
        <w:t xml:space="preserve"> documentación </w:t>
      </w:r>
      <w:r w:rsidR="007139D9" w:rsidRPr="00857BCB">
        <w:rPr>
          <w:sz w:val="24"/>
          <w:szCs w:val="24"/>
        </w:rPr>
        <w:t>sobre los estudios, diagnósticos y planes involucrados</w:t>
      </w:r>
      <w:r w:rsidRPr="00857BCB">
        <w:rPr>
          <w:sz w:val="24"/>
          <w:szCs w:val="24"/>
        </w:rPr>
        <w:t xml:space="preserve">, por lo que no podemos </w:t>
      </w:r>
      <w:r w:rsidR="005C343D" w:rsidRPr="00857BCB">
        <w:rPr>
          <w:sz w:val="24"/>
          <w:szCs w:val="24"/>
        </w:rPr>
        <w:t>emitir opinión sobre</w:t>
      </w:r>
      <w:r w:rsidR="00B96321" w:rsidRPr="00857BCB">
        <w:rPr>
          <w:sz w:val="24"/>
          <w:szCs w:val="24"/>
        </w:rPr>
        <w:t xml:space="preserve"> el diseño metodológico ni</w:t>
      </w:r>
      <w:r w:rsidRPr="00857BCB">
        <w:rPr>
          <w:sz w:val="24"/>
          <w:szCs w:val="24"/>
        </w:rPr>
        <w:t xml:space="preserve"> </w:t>
      </w:r>
      <w:r w:rsidR="005C343D" w:rsidRPr="00857BCB">
        <w:rPr>
          <w:sz w:val="24"/>
          <w:szCs w:val="24"/>
        </w:rPr>
        <w:t>la</w:t>
      </w:r>
      <w:r w:rsidRPr="00857BCB">
        <w:rPr>
          <w:sz w:val="24"/>
          <w:szCs w:val="24"/>
        </w:rPr>
        <w:t xml:space="preserve"> utilidad de </w:t>
      </w:r>
      <w:r w:rsidR="005C343D" w:rsidRPr="00857BCB">
        <w:rPr>
          <w:sz w:val="24"/>
          <w:szCs w:val="24"/>
        </w:rPr>
        <w:t>estas consultorías</w:t>
      </w:r>
      <w:r w:rsidRPr="00857BCB">
        <w:rPr>
          <w:sz w:val="24"/>
          <w:szCs w:val="24"/>
        </w:rPr>
        <w:t>.</w:t>
      </w:r>
      <w:r w:rsidR="00F3134B" w:rsidRPr="00857BCB">
        <w:rPr>
          <w:sz w:val="24"/>
          <w:szCs w:val="24"/>
        </w:rPr>
        <w:t xml:space="preserve"> Según el plan de trabajo</w:t>
      </w:r>
      <w:r w:rsidR="00B96321" w:rsidRPr="00857BCB">
        <w:rPr>
          <w:sz w:val="24"/>
          <w:szCs w:val="24"/>
        </w:rPr>
        <w:t xml:space="preserve"> de</w:t>
      </w:r>
      <w:r w:rsidR="00F3134B" w:rsidRPr="00857BCB">
        <w:rPr>
          <w:sz w:val="24"/>
          <w:szCs w:val="24"/>
        </w:rPr>
        <w:t xml:space="preserve"> 2011 </w:t>
      </w:r>
      <w:r w:rsidR="003335D4" w:rsidRPr="00857BCB">
        <w:rPr>
          <w:sz w:val="24"/>
          <w:szCs w:val="24"/>
        </w:rPr>
        <w:t>(</w:t>
      </w:r>
      <w:r w:rsidR="00F3134B" w:rsidRPr="00857BCB">
        <w:rPr>
          <w:sz w:val="24"/>
          <w:szCs w:val="24"/>
        </w:rPr>
        <w:t>aprobado a fines de 2010</w:t>
      </w:r>
      <w:r w:rsidR="003335D4" w:rsidRPr="00857BCB">
        <w:rPr>
          <w:sz w:val="24"/>
          <w:szCs w:val="24"/>
        </w:rPr>
        <w:t>)</w:t>
      </w:r>
      <w:r w:rsidR="00F3134B" w:rsidRPr="00857BCB">
        <w:rPr>
          <w:sz w:val="24"/>
          <w:szCs w:val="24"/>
        </w:rPr>
        <w:t xml:space="preserve">, </w:t>
      </w:r>
      <w:r w:rsidR="003335D4" w:rsidRPr="00857BCB">
        <w:rPr>
          <w:sz w:val="24"/>
          <w:szCs w:val="24"/>
        </w:rPr>
        <w:t xml:space="preserve">las consultorías de diagnóstico habían sido </w:t>
      </w:r>
      <w:r w:rsidR="001E5259" w:rsidRPr="00857BCB">
        <w:rPr>
          <w:sz w:val="24"/>
          <w:szCs w:val="24"/>
        </w:rPr>
        <w:t>elaboradas, por lo que quedaba pendiente la creación</w:t>
      </w:r>
      <w:r w:rsidR="007A58B6" w:rsidRPr="00857BCB">
        <w:rPr>
          <w:sz w:val="24"/>
          <w:szCs w:val="24"/>
        </w:rPr>
        <w:t xml:space="preserve"> </w:t>
      </w:r>
      <w:r w:rsidR="001E5259" w:rsidRPr="00857BCB">
        <w:rPr>
          <w:sz w:val="24"/>
          <w:szCs w:val="24"/>
        </w:rPr>
        <w:t>de planes</w:t>
      </w:r>
      <w:r w:rsidR="007A58B6" w:rsidRPr="00857BCB">
        <w:rPr>
          <w:sz w:val="24"/>
          <w:szCs w:val="24"/>
        </w:rPr>
        <w:t xml:space="preserve"> operativos que traduzcan sus hallazgos en políticas.</w:t>
      </w:r>
      <w:r w:rsidR="004251E7" w:rsidRPr="00857BCB">
        <w:rPr>
          <w:sz w:val="24"/>
          <w:szCs w:val="24"/>
        </w:rPr>
        <w:t xml:space="preserve"> Según la revisión sustantiva de 2011, </w:t>
      </w:r>
      <w:r w:rsidR="008F2121" w:rsidRPr="00857BCB">
        <w:rPr>
          <w:sz w:val="24"/>
          <w:szCs w:val="24"/>
        </w:rPr>
        <w:t xml:space="preserve">se elaboró </w:t>
      </w:r>
      <w:r w:rsidR="003D4422" w:rsidRPr="00857BCB">
        <w:rPr>
          <w:sz w:val="24"/>
          <w:szCs w:val="24"/>
        </w:rPr>
        <w:t xml:space="preserve">un plan de mejoramiento </w:t>
      </w:r>
      <w:r w:rsidR="00B44876" w:rsidRPr="00857BCB">
        <w:rPr>
          <w:sz w:val="24"/>
          <w:szCs w:val="24"/>
        </w:rPr>
        <w:t xml:space="preserve">general y </w:t>
      </w:r>
      <w:r w:rsidR="008F2121" w:rsidRPr="00857BCB">
        <w:rPr>
          <w:sz w:val="24"/>
          <w:szCs w:val="24"/>
        </w:rPr>
        <w:t>plan</w:t>
      </w:r>
      <w:r w:rsidR="00F45B06" w:rsidRPr="00857BCB">
        <w:rPr>
          <w:sz w:val="24"/>
          <w:szCs w:val="24"/>
        </w:rPr>
        <w:t>es</w:t>
      </w:r>
      <w:r w:rsidR="008F2121" w:rsidRPr="00857BCB">
        <w:rPr>
          <w:sz w:val="24"/>
          <w:szCs w:val="24"/>
        </w:rPr>
        <w:t xml:space="preserve"> de mejoramiento preliminar</w:t>
      </w:r>
      <w:r w:rsidR="00F45B06" w:rsidRPr="00857BCB">
        <w:rPr>
          <w:sz w:val="24"/>
          <w:szCs w:val="24"/>
        </w:rPr>
        <w:t xml:space="preserve">es para seis regiones (Ayacucho, Ancash, Junín, </w:t>
      </w:r>
      <w:r w:rsidR="00D718FC" w:rsidRPr="00857BCB">
        <w:rPr>
          <w:sz w:val="24"/>
          <w:szCs w:val="24"/>
        </w:rPr>
        <w:t>La Libertad, Pasco y Lambayeque).</w:t>
      </w:r>
      <w:r w:rsidR="002C24EE" w:rsidRPr="00857BCB">
        <w:rPr>
          <w:sz w:val="24"/>
          <w:szCs w:val="24"/>
        </w:rPr>
        <w:t xml:space="preserve"> </w:t>
      </w:r>
      <w:r w:rsidR="001B1A8C" w:rsidRPr="00857BCB">
        <w:rPr>
          <w:sz w:val="24"/>
          <w:szCs w:val="24"/>
        </w:rPr>
        <w:t xml:space="preserve">No obstante, en este mismo documento </w:t>
      </w:r>
      <w:r w:rsidR="002C24EE" w:rsidRPr="00857BCB">
        <w:rPr>
          <w:sz w:val="24"/>
          <w:szCs w:val="24"/>
        </w:rPr>
        <w:t>des</w:t>
      </w:r>
      <w:r w:rsidR="00267F10" w:rsidRPr="00857BCB">
        <w:rPr>
          <w:sz w:val="24"/>
          <w:szCs w:val="24"/>
        </w:rPr>
        <w:t>a</w:t>
      </w:r>
      <w:r w:rsidR="002C24EE" w:rsidRPr="00857BCB">
        <w:rPr>
          <w:sz w:val="24"/>
          <w:szCs w:val="24"/>
        </w:rPr>
        <w:t>parecieron las acciones vinculadas a la “inclusión del plan de mejoramiento en el plan operativo anual de las instancias regionales del Ejecutivo” (acciones 1.2.3 y 1.3.3).</w:t>
      </w:r>
    </w:p>
    <w:p w14:paraId="7C233C65" w14:textId="483052C6" w:rsidR="008B77BE" w:rsidRPr="00857BCB" w:rsidRDefault="00446C03" w:rsidP="008B77BE">
      <w:pPr>
        <w:jc w:val="both"/>
        <w:rPr>
          <w:sz w:val="24"/>
          <w:szCs w:val="24"/>
        </w:rPr>
      </w:pPr>
      <w:r w:rsidRPr="00857BCB">
        <w:rPr>
          <w:sz w:val="24"/>
          <w:szCs w:val="24"/>
        </w:rPr>
        <w:lastRenderedPageBreak/>
        <w:t>Con la revisión sustantiva de 2013, la</w:t>
      </w:r>
      <w:r w:rsidR="0098446E" w:rsidRPr="00857BCB">
        <w:rPr>
          <w:sz w:val="24"/>
          <w:szCs w:val="24"/>
        </w:rPr>
        <w:t>s</w:t>
      </w:r>
      <w:r w:rsidRPr="00857BCB">
        <w:rPr>
          <w:sz w:val="24"/>
          <w:szCs w:val="24"/>
        </w:rPr>
        <w:t xml:space="preserve"> actividad 1.1. (</w:t>
      </w:r>
      <w:r w:rsidRPr="00857BCB">
        <w:rPr>
          <w:i/>
          <w:sz w:val="24"/>
          <w:szCs w:val="24"/>
        </w:rPr>
        <w:t>Fortalecimiento de capacidades normativas y legales</w:t>
      </w:r>
      <w:r w:rsidRPr="00857BCB">
        <w:rPr>
          <w:sz w:val="24"/>
          <w:szCs w:val="24"/>
        </w:rPr>
        <w:t>)</w:t>
      </w:r>
      <w:r w:rsidR="0098446E" w:rsidRPr="00857BCB">
        <w:rPr>
          <w:sz w:val="24"/>
          <w:szCs w:val="24"/>
        </w:rPr>
        <w:t xml:space="preserve"> y 1.2. (</w:t>
      </w:r>
      <w:r w:rsidR="0057729A" w:rsidRPr="00857BCB">
        <w:rPr>
          <w:i/>
          <w:sz w:val="24"/>
          <w:szCs w:val="24"/>
        </w:rPr>
        <w:t>Fortalecimiento de capacidades financieras</w:t>
      </w:r>
      <w:r w:rsidR="0057729A" w:rsidRPr="00857BCB">
        <w:rPr>
          <w:sz w:val="24"/>
          <w:szCs w:val="24"/>
        </w:rPr>
        <w:t>) son reformuladas y reemplaza</w:t>
      </w:r>
      <w:r w:rsidR="00820B6E" w:rsidRPr="00857BCB">
        <w:rPr>
          <w:sz w:val="24"/>
          <w:szCs w:val="24"/>
        </w:rPr>
        <w:t>da</w:t>
      </w:r>
      <w:r w:rsidR="0057729A" w:rsidRPr="00857BCB">
        <w:rPr>
          <w:sz w:val="24"/>
          <w:szCs w:val="24"/>
        </w:rPr>
        <w:t xml:space="preserve">s por </w:t>
      </w:r>
      <w:r w:rsidR="00850B1A" w:rsidRPr="00857BCB">
        <w:rPr>
          <w:sz w:val="24"/>
          <w:szCs w:val="24"/>
        </w:rPr>
        <w:t>el desarrollo de la gestión descentralizada y el fortalecimiento de capacidades de integración económica</w:t>
      </w:r>
      <w:r w:rsidR="000D7A89" w:rsidRPr="00857BCB">
        <w:rPr>
          <w:sz w:val="24"/>
          <w:szCs w:val="24"/>
        </w:rPr>
        <w:t xml:space="preserve"> respectivamente</w:t>
      </w:r>
      <w:r w:rsidR="00850B1A" w:rsidRPr="00857BCB">
        <w:rPr>
          <w:sz w:val="24"/>
          <w:szCs w:val="24"/>
        </w:rPr>
        <w:t xml:space="preserve"> (véanse los siguientes dos acápites sobre est</w:t>
      </w:r>
      <w:r w:rsidR="00E7738D" w:rsidRPr="00857BCB">
        <w:rPr>
          <w:sz w:val="24"/>
          <w:szCs w:val="24"/>
        </w:rPr>
        <w:t xml:space="preserve">os temas). Sin embargo, sí se mantuvo el fortalecimiento de capacidades técnicas que, como se aprecia en la siguiente tabla, </w:t>
      </w:r>
      <w:r w:rsidR="009801FD" w:rsidRPr="00857BCB">
        <w:rPr>
          <w:sz w:val="24"/>
          <w:szCs w:val="24"/>
        </w:rPr>
        <w:t>incluyó actividades</w:t>
      </w:r>
      <w:r w:rsidR="00380088" w:rsidRPr="00857BCB">
        <w:rPr>
          <w:sz w:val="24"/>
          <w:szCs w:val="24"/>
        </w:rPr>
        <w:t xml:space="preserve"> de muy diversa naturaleza</w:t>
      </w:r>
      <w:r w:rsidR="00A11CB8" w:rsidRPr="00857BCB">
        <w:rPr>
          <w:sz w:val="24"/>
          <w:szCs w:val="24"/>
        </w:rPr>
        <w:t>, entre ellas:</w:t>
      </w:r>
      <w:r w:rsidR="00E7738D" w:rsidRPr="00857BCB">
        <w:rPr>
          <w:sz w:val="24"/>
          <w:szCs w:val="24"/>
        </w:rPr>
        <w:t xml:space="preserve"> </w:t>
      </w:r>
    </w:p>
    <w:p w14:paraId="568E3A83" w14:textId="2AF276F4" w:rsidR="00A11CB8" w:rsidRPr="00857BCB" w:rsidRDefault="00A11CB8" w:rsidP="00D75C80">
      <w:pPr>
        <w:pStyle w:val="ListParagraph"/>
        <w:numPr>
          <w:ilvl w:val="0"/>
          <w:numId w:val="7"/>
        </w:numPr>
        <w:ind w:left="357" w:hanging="357"/>
        <w:jc w:val="both"/>
        <w:rPr>
          <w:sz w:val="24"/>
          <w:szCs w:val="24"/>
        </w:rPr>
      </w:pPr>
      <w:r w:rsidRPr="00857BCB">
        <w:rPr>
          <w:sz w:val="24"/>
          <w:szCs w:val="24"/>
        </w:rPr>
        <w:t>Se buscó articular planes de capacitación</w:t>
      </w:r>
      <w:r w:rsidR="00C01F29" w:rsidRPr="00857BCB">
        <w:rPr>
          <w:sz w:val="24"/>
          <w:szCs w:val="24"/>
        </w:rPr>
        <w:t xml:space="preserve"> y asistencia técnica</w:t>
      </w:r>
      <w:r w:rsidRPr="00857BCB">
        <w:rPr>
          <w:sz w:val="24"/>
          <w:szCs w:val="24"/>
        </w:rPr>
        <w:t xml:space="preserve"> entre universidades</w:t>
      </w:r>
      <w:r w:rsidR="009A4691" w:rsidRPr="00857BCB">
        <w:rPr>
          <w:sz w:val="24"/>
          <w:szCs w:val="24"/>
        </w:rPr>
        <w:t xml:space="preserve"> a través de la Asamblea </w:t>
      </w:r>
      <w:r w:rsidR="00663782" w:rsidRPr="00857BCB">
        <w:rPr>
          <w:sz w:val="24"/>
          <w:szCs w:val="24"/>
        </w:rPr>
        <w:t>Nacional de Rectores</w:t>
      </w:r>
      <w:r w:rsidR="00C507FB" w:rsidRPr="00857BCB">
        <w:rPr>
          <w:sz w:val="24"/>
          <w:szCs w:val="24"/>
        </w:rPr>
        <w:t xml:space="preserve"> (ANR</w:t>
      </w:r>
      <w:r w:rsidR="00663782" w:rsidRPr="00857BCB">
        <w:rPr>
          <w:sz w:val="24"/>
          <w:szCs w:val="24"/>
        </w:rPr>
        <w:t>)</w:t>
      </w:r>
      <w:r w:rsidRPr="00857BCB">
        <w:rPr>
          <w:sz w:val="24"/>
          <w:szCs w:val="24"/>
        </w:rPr>
        <w:t xml:space="preserve"> y gobiernos municipales</w:t>
      </w:r>
      <w:r w:rsidR="00C01F29" w:rsidRPr="00857BCB">
        <w:rPr>
          <w:sz w:val="24"/>
          <w:szCs w:val="24"/>
        </w:rPr>
        <w:t xml:space="preserve"> en zonas de bajos recursos</w:t>
      </w:r>
      <w:r w:rsidRPr="00857BCB">
        <w:rPr>
          <w:sz w:val="24"/>
          <w:szCs w:val="24"/>
        </w:rPr>
        <w:t>.</w:t>
      </w:r>
    </w:p>
    <w:p w14:paraId="29679FB7" w14:textId="69BF622E" w:rsidR="00A11CB8" w:rsidRPr="00857BCB" w:rsidRDefault="00A11CB8" w:rsidP="00D75C80">
      <w:pPr>
        <w:pStyle w:val="ListParagraph"/>
        <w:numPr>
          <w:ilvl w:val="0"/>
          <w:numId w:val="7"/>
        </w:numPr>
        <w:ind w:left="357" w:hanging="357"/>
        <w:jc w:val="both"/>
        <w:rPr>
          <w:i/>
          <w:sz w:val="24"/>
          <w:szCs w:val="24"/>
          <w:u w:val="single"/>
        </w:rPr>
      </w:pPr>
      <w:r w:rsidRPr="00857BCB">
        <w:rPr>
          <w:sz w:val="24"/>
          <w:szCs w:val="24"/>
        </w:rPr>
        <w:t>Se creó la Plataforma Virtual de la Secretaría de Descentralización que buscaba impartir cursos en línea (</w:t>
      </w:r>
      <w:r w:rsidR="00342740" w:rsidRPr="00857BCB">
        <w:rPr>
          <w:sz w:val="24"/>
          <w:szCs w:val="24"/>
        </w:rPr>
        <w:t>a través de un “</w:t>
      </w:r>
      <w:r w:rsidRPr="00857BCB">
        <w:rPr>
          <w:sz w:val="24"/>
          <w:szCs w:val="24"/>
        </w:rPr>
        <w:t>aula virtual</w:t>
      </w:r>
      <w:r w:rsidR="00342740" w:rsidRPr="00857BCB">
        <w:rPr>
          <w:sz w:val="24"/>
          <w:szCs w:val="24"/>
        </w:rPr>
        <w:t>”</w:t>
      </w:r>
      <w:r w:rsidRPr="00857BCB">
        <w:rPr>
          <w:sz w:val="24"/>
          <w:szCs w:val="24"/>
        </w:rPr>
        <w:t>) y</w:t>
      </w:r>
      <w:r w:rsidR="00342740" w:rsidRPr="00857BCB">
        <w:rPr>
          <w:sz w:val="24"/>
          <w:szCs w:val="24"/>
        </w:rPr>
        <w:t xml:space="preserve"> también</w:t>
      </w:r>
      <w:r w:rsidRPr="00857BCB">
        <w:rPr>
          <w:sz w:val="24"/>
          <w:szCs w:val="24"/>
        </w:rPr>
        <w:t xml:space="preserve"> apoyar el trabajo intergubernamental.</w:t>
      </w:r>
    </w:p>
    <w:p w14:paraId="19825C5B" w14:textId="6C7BC096" w:rsidR="00F64B42" w:rsidRPr="00857BCB" w:rsidRDefault="00F64B42" w:rsidP="00D75C80">
      <w:pPr>
        <w:pStyle w:val="ListParagraph"/>
        <w:numPr>
          <w:ilvl w:val="0"/>
          <w:numId w:val="7"/>
        </w:numPr>
        <w:ind w:left="357" w:hanging="357"/>
        <w:jc w:val="both"/>
        <w:rPr>
          <w:i/>
          <w:sz w:val="24"/>
          <w:szCs w:val="24"/>
          <w:u w:val="single"/>
        </w:rPr>
      </w:pPr>
      <w:r w:rsidRPr="00857BCB">
        <w:rPr>
          <w:sz w:val="24"/>
          <w:szCs w:val="24"/>
        </w:rPr>
        <w:t>Se mejoró la página web de la Secretaría de Descentralización.</w:t>
      </w:r>
    </w:p>
    <w:p w14:paraId="18E18977" w14:textId="50936E4A" w:rsidR="00355252" w:rsidRPr="00857BCB" w:rsidRDefault="00355252" w:rsidP="00D75C80">
      <w:pPr>
        <w:pStyle w:val="ListParagraph"/>
        <w:numPr>
          <w:ilvl w:val="0"/>
          <w:numId w:val="7"/>
        </w:numPr>
        <w:ind w:left="357" w:hanging="357"/>
        <w:jc w:val="both"/>
        <w:rPr>
          <w:sz w:val="24"/>
          <w:szCs w:val="24"/>
        </w:rPr>
      </w:pPr>
      <w:r w:rsidRPr="00857BCB">
        <w:rPr>
          <w:sz w:val="24"/>
          <w:szCs w:val="24"/>
        </w:rPr>
        <w:t xml:space="preserve">Se </w:t>
      </w:r>
      <w:r w:rsidR="009E4818" w:rsidRPr="00857BCB">
        <w:rPr>
          <w:sz w:val="24"/>
          <w:szCs w:val="24"/>
        </w:rPr>
        <w:t xml:space="preserve">organizaron </w:t>
      </w:r>
      <w:r w:rsidRPr="00857BCB">
        <w:rPr>
          <w:sz w:val="24"/>
          <w:szCs w:val="24"/>
        </w:rPr>
        <w:t>“Ferias de la Inclusión Social”, que promocionaban</w:t>
      </w:r>
      <w:r w:rsidR="00F64B42" w:rsidRPr="00857BCB">
        <w:rPr>
          <w:sz w:val="24"/>
          <w:szCs w:val="24"/>
        </w:rPr>
        <w:t xml:space="preserve"> en las regiones</w:t>
      </w:r>
      <w:r w:rsidRPr="00857BCB">
        <w:rPr>
          <w:sz w:val="24"/>
          <w:szCs w:val="24"/>
        </w:rPr>
        <w:t xml:space="preserve"> los servicios que el gobierno de Ollanta Humala ofrecía en materia de desarrollo social y productivo.</w:t>
      </w:r>
    </w:p>
    <w:p w14:paraId="50E5BF1D" w14:textId="5AFB4BDE" w:rsidR="00355252" w:rsidRPr="00857BCB" w:rsidRDefault="00405AD0" w:rsidP="00D75C80">
      <w:pPr>
        <w:pStyle w:val="ListParagraph"/>
        <w:numPr>
          <w:ilvl w:val="0"/>
          <w:numId w:val="7"/>
        </w:numPr>
        <w:ind w:left="357" w:hanging="357"/>
        <w:jc w:val="both"/>
        <w:rPr>
          <w:i/>
          <w:sz w:val="24"/>
          <w:szCs w:val="24"/>
          <w:u w:val="single"/>
        </w:rPr>
      </w:pPr>
      <w:r w:rsidRPr="00857BCB">
        <w:rPr>
          <w:sz w:val="24"/>
          <w:szCs w:val="24"/>
        </w:rPr>
        <w:t>Más recientemente, s</w:t>
      </w:r>
      <w:r w:rsidR="00F64B42" w:rsidRPr="00857BCB">
        <w:rPr>
          <w:sz w:val="24"/>
          <w:szCs w:val="24"/>
        </w:rPr>
        <w:t>e creó un sistema de seguimiento a los GORE</w:t>
      </w:r>
      <w:r w:rsidRPr="00857BCB">
        <w:rPr>
          <w:sz w:val="24"/>
          <w:szCs w:val="24"/>
        </w:rPr>
        <w:t>.</w:t>
      </w:r>
    </w:p>
    <w:p w14:paraId="25E00E4F" w14:textId="77777777" w:rsidR="00D75C80" w:rsidRPr="00857BCB" w:rsidRDefault="00D75C80" w:rsidP="00D75C80">
      <w:pPr>
        <w:pStyle w:val="ListParagraph"/>
        <w:ind w:left="357"/>
        <w:jc w:val="both"/>
        <w:rPr>
          <w:i/>
          <w:sz w:val="24"/>
          <w:szCs w:val="24"/>
          <w:u w:val="single"/>
        </w:rPr>
      </w:pPr>
    </w:p>
    <w:p w14:paraId="4967CD7B" w14:textId="77777777" w:rsidR="008B77BE" w:rsidRDefault="008B77BE" w:rsidP="008B77BE">
      <w:pPr>
        <w:jc w:val="both"/>
      </w:pPr>
    </w:p>
    <w:p w14:paraId="3FC5FEC2" w14:textId="5A5D53E1" w:rsidR="008B77BE" w:rsidRPr="008B77BE" w:rsidRDefault="008B77BE" w:rsidP="008B77BE">
      <w:pPr>
        <w:jc w:val="both"/>
        <w:sectPr w:rsidR="008B77BE" w:rsidRPr="008B77BE" w:rsidSect="00700E46">
          <w:footerReference w:type="default" r:id="rId9"/>
          <w:pgSz w:w="11906" w:h="16838" w:code="9"/>
          <w:pgMar w:top="1418" w:right="1701" w:bottom="1418" w:left="1701" w:header="709" w:footer="709" w:gutter="0"/>
          <w:pgNumType w:start="0"/>
          <w:cols w:space="708"/>
          <w:titlePg/>
          <w:docGrid w:linePitch="360"/>
        </w:sectPr>
      </w:pPr>
    </w:p>
    <w:p w14:paraId="0D014EC4" w14:textId="77777777" w:rsidR="00D75C80" w:rsidRDefault="000A373D" w:rsidP="000A373D">
      <w:pPr>
        <w:jc w:val="center"/>
        <w:rPr>
          <w:b/>
          <w:i/>
          <w:u w:val="single"/>
        </w:rPr>
      </w:pPr>
      <w:r w:rsidRPr="00646D14">
        <w:rPr>
          <w:b/>
          <w:u w:val="single"/>
        </w:rPr>
        <w:lastRenderedPageBreak/>
        <w:t xml:space="preserve">Resultado 1 (2013-2017): </w:t>
      </w:r>
      <w:r w:rsidRPr="00405AD0">
        <w:rPr>
          <w:b/>
          <w:i/>
          <w:u w:val="single"/>
        </w:rPr>
        <w:t>Competencias de gestión de los funcionarios públicos fortalecidas, a nivel regional y local en el marco del proceso de descentralización y modernización del Estado.</w:t>
      </w:r>
      <w:r w:rsidR="00D75C80">
        <w:rPr>
          <w:b/>
          <w:i/>
          <w:u w:val="single"/>
        </w:rPr>
        <w:t xml:space="preserve"> </w:t>
      </w:r>
    </w:p>
    <w:p w14:paraId="68E59172" w14:textId="06376430" w:rsidR="000A373D" w:rsidRPr="00B37F45" w:rsidRDefault="000A373D" w:rsidP="000A373D">
      <w:pPr>
        <w:jc w:val="center"/>
        <w:rPr>
          <w:b/>
          <w:u w:val="single"/>
        </w:rPr>
      </w:pPr>
      <w:r w:rsidRPr="00B37F45">
        <w:rPr>
          <w:b/>
          <w:u w:val="single"/>
        </w:rPr>
        <w:t>Actividades realizadas por año</w:t>
      </w:r>
      <w:r>
        <w:rPr>
          <w:b/>
          <w:u w:val="single"/>
        </w:rPr>
        <w:t xml:space="preserve"> (componente de capacidades técnicas y de gestión)</w:t>
      </w:r>
      <w:r>
        <w:rPr>
          <w:rStyle w:val="FootnoteReference"/>
          <w:b/>
          <w:u w:val="single"/>
        </w:rPr>
        <w:footnoteReference w:id="8"/>
      </w:r>
    </w:p>
    <w:tbl>
      <w:tblPr>
        <w:tblW w:w="14884" w:type="dxa"/>
        <w:tblInd w:w="-572" w:type="dxa"/>
        <w:tblCellMar>
          <w:left w:w="70" w:type="dxa"/>
          <w:right w:w="70" w:type="dxa"/>
        </w:tblCellMar>
        <w:tblLook w:val="04A0" w:firstRow="1" w:lastRow="0" w:firstColumn="1" w:lastColumn="0" w:noHBand="0" w:noVBand="1"/>
      </w:tblPr>
      <w:tblGrid>
        <w:gridCol w:w="685"/>
        <w:gridCol w:w="1867"/>
        <w:gridCol w:w="1984"/>
        <w:gridCol w:w="2835"/>
        <w:gridCol w:w="1985"/>
        <w:gridCol w:w="4111"/>
        <w:gridCol w:w="1417"/>
      </w:tblGrid>
      <w:tr w:rsidR="00D75C80" w:rsidRPr="000A373D" w14:paraId="5EF6D243" w14:textId="77777777" w:rsidTr="00D75C80">
        <w:trPr>
          <w:trHeight w:val="274"/>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3D72870" w14:textId="77777777" w:rsidR="00D75C80" w:rsidRPr="000A373D" w:rsidRDefault="00D75C80" w:rsidP="00107660">
            <w:pPr>
              <w:spacing w:after="0" w:line="240" w:lineRule="auto"/>
              <w:rPr>
                <w:rFonts w:ascii="Calibri" w:eastAsia="Times New Roman" w:hAnsi="Calibri" w:cs="Times New Roman"/>
                <w:b/>
                <w:bCs/>
                <w:color w:val="000000"/>
                <w:sz w:val="16"/>
                <w:szCs w:val="16"/>
                <w:lang w:eastAsia="es-PE"/>
              </w:rPr>
            </w:pPr>
            <w:r w:rsidRPr="000A373D">
              <w:rPr>
                <w:rFonts w:ascii="Calibri" w:eastAsia="Times New Roman" w:hAnsi="Calibri" w:cs="Times New Roman"/>
                <w:b/>
                <w:bCs/>
                <w:color w:val="000000"/>
                <w:sz w:val="16"/>
                <w:szCs w:val="16"/>
                <w:lang w:eastAsia="es-PE"/>
              </w:rPr>
              <w:t>Número</w:t>
            </w:r>
          </w:p>
        </w:tc>
        <w:tc>
          <w:tcPr>
            <w:tcW w:w="1867" w:type="dxa"/>
            <w:tcBorders>
              <w:top w:val="single" w:sz="4" w:space="0" w:color="auto"/>
              <w:left w:val="nil"/>
              <w:bottom w:val="single" w:sz="4" w:space="0" w:color="auto"/>
              <w:right w:val="single" w:sz="4" w:space="0" w:color="auto"/>
            </w:tcBorders>
            <w:shd w:val="clear" w:color="auto" w:fill="auto"/>
            <w:vAlign w:val="bottom"/>
            <w:hideMark/>
          </w:tcPr>
          <w:p w14:paraId="20373518" w14:textId="77777777" w:rsidR="00D75C80" w:rsidRPr="000A373D" w:rsidRDefault="00D75C80" w:rsidP="00107660">
            <w:pPr>
              <w:spacing w:after="0" w:line="240" w:lineRule="auto"/>
              <w:rPr>
                <w:rFonts w:ascii="Calibri" w:eastAsia="Times New Roman" w:hAnsi="Calibri" w:cs="Times New Roman"/>
                <w:b/>
                <w:bCs/>
                <w:color w:val="000000"/>
                <w:sz w:val="16"/>
                <w:szCs w:val="16"/>
                <w:lang w:eastAsia="es-PE"/>
              </w:rPr>
            </w:pPr>
            <w:r w:rsidRPr="000A373D">
              <w:rPr>
                <w:rFonts w:ascii="Calibri" w:eastAsia="Times New Roman" w:hAnsi="Calibri" w:cs="Times New Roman"/>
                <w:b/>
                <w:bCs/>
                <w:color w:val="000000"/>
                <w:sz w:val="16"/>
                <w:szCs w:val="16"/>
                <w:lang w:eastAsia="es-PE"/>
              </w:rPr>
              <w:t>Actividad / Cumplimiento por año</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00FC9C7C" w14:textId="77777777" w:rsidR="00D75C80" w:rsidRPr="000A373D" w:rsidRDefault="00D75C80" w:rsidP="00107660">
            <w:pPr>
              <w:spacing w:after="0" w:line="240" w:lineRule="auto"/>
              <w:jc w:val="right"/>
              <w:rPr>
                <w:rFonts w:ascii="Calibri" w:eastAsia="Times New Roman" w:hAnsi="Calibri" w:cs="Times New Roman"/>
                <w:b/>
                <w:bCs/>
                <w:color w:val="000000"/>
                <w:sz w:val="16"/>
                <w:szCs w:val="16"/>
                <w:lang w:eastAsia="es-PE"/>
              </w:rPr>
            </w:pPr>
            <w:r w:rsidRPr="000A373D">
              <w:rPr>
                <w:rFonts w:ascii="Calibri" w:eastAsia="Times New Roman" w:hAnsi="Calibri" w:cs="Times New Roman"/>
                <w:b/>
                <w:bCs/>
                <w:color w:val="000000"/>
                <w:sz w:val="16"/>
                <w:szCs w:val="16"/>
                <w:lang w:eastAsia="es-PE"/>
              </w:rPr>
              <w:t>2013</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760BEE73" w14:textId="77777777" w:rsidR="00D75C80" w:rsidRPr="000A373D" w:rsidRDefault="00D75C80" w:rsidP="00107660">
            <w:pPr>
              <w:spacing w:after="0" w:line="240" w:lineRule="auto"/>
              <w:jc w:val="right"/>
              <w:rPr>
                <w:rFonts w:ascii="Calibri" w:eastAsia="Times New Roman" w:hAnsi="Calibri" w:cs="Times New Roman"/>
                <w:b/>
                <w:bCs/>
                <w:color w:val="000000"/>
                <w:sz w:val="16"/>
                <w:szCs w:val="16"/>
                <w:lang w:eastAsia="es-PE"/>
              </w:rPr>
            </w:pPr>
            <w:r w:rsidRPr="000A373D">
              <w:rPr>
                <w:rFonts w:ascii="Calibri" w:eastAsia="Times New Roman" w:hAnsi="Calibri" w:cs="Times New Roman"/>
                <w:b/>
                <w:bCs/>
                <w:color w:val="000000"/>
                <w:sz w:val="16"/>
                <w:szCs w:val="16"/>
                <w:lang w:eastAsia="es-PE"/>
              </w:rPr>
              <w:t>2014</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2C7B4D4" w14:textId="77777777" w:rsidR="00D75C80" w:rsidRPr="000A373D" w:rsidRDefault="00D75C80" w:rsidP="00107660">
            <w:pPr>
              <w:spacing w:after="0" w:line="240" w:lineRule="auto"/>
              <w:jc w:val="right"/>
              <w:rPr>
                <w:rFonts w:ascii="Calibri" w:eastAsia="Times New Roman" w:hAnsi="Calibri" w:cs="Times New Roman"/>
                <w:b/>
                <w:bCs/>
                <w:color w:val="000000"/>
                <w:sz w:val="16"/>
                <w:szCs w:val="16"/>
                <w:lang w:eastAsia="es-PE"/>
              </w:rPr>
            </w:pPr>
            <w:r w:rsidRPr="000A373D">
              <w:rPr>
                <w:rFonts w:ascii="Calibri" w:eastAsia="Times New Roman" w:hAnsi="Calibri" w:cs="Times New Roman"/>
                <w:b/>
                <w:bCs/>
                <w:color w:val="000000"/>
                <w:sz w:val="16"/>
                <w:szCs w:val="16"/>
                <w:lang w:eastAsia="es-PE"/>
              </w:rPr>
              <w:t>2015</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0271028F" w14:textId="77777777" w:rsidR="00D75C80" w:rsidRPr="000A373D" w:rsidRDefault="00D75C80" w:rsidP="00107660">
            <w:pPr>
              <w:spacing w:after="0" w:line="240" w:lineRule="auto"/>
              <w:jc w:val="right"/>
              <w:rPr>
                <w:rFonts w:ascii="Calibri" w:eastAsia="Times New Roman" w:hAnsi="Calibri" w:cs="Times New Roman"/>
                <w:b/>
                <w:bCs/>
                <w:color w:val="000000"/>
                <w:sz w:val="16"/>
                <w:szCs w:val="16"/>
                <w:lang w:eastAsia="es-PE"/>
              </w:rPr>
            </w:pPr>
            <w:r w:rsidRPr="000A373D">
              <w:rPr>
                <w:rFonts w:ascii="Calibri" w:eastAsia="Times New Roman" w:hAnsi="Calibri" w:cs="Times New Roman"/>
                <w:b/>
                <w:bCs/>
                <w:color w:val="000000"/>
                <w:sz w:val="16"/>
                <w:szCs w:val="16"/>
                <w:lang w:eastAsia="es-PE"/>
              </w:rPr>
              <w:t>2016</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447BDDBF" w14:textId="77777777" w:rsidR="00D75C80" w:rsidRPr="000A373D" w:rsidRDefault="00D75C80" w:rsidP="00107660">
            <w:pPr>
              <w:spacing w:after="0" w:line="240" w:lineRule="auto"/>
              <w:jc w:val="right"/>
              <w:rPr>
                <w:rFonts w:ascii="Calibri" w:eastAsia="Times New Roman" w:hAnsi="Calibri" w:cs="Times New Roman"/>
                <w:b/>
                <w:bCs/>
                <w:color w:val="000000"/>
                <w:sz w:val="16"/>
                <w:szCs w:val="16"/>
                <w:lang w:eastAsia="es-PE"/>
              </w:rPr>
            </w:pPr>
            <w:r w:rsidRPr="000A373D">
              <w:rPr>
                <w:rFonts w:ascii="Calibri" w:eastAsia="Times New Roman" w:hAnsi="Calibri" w:cs="Times New Roman"/>
                <w:b/>
                <w:bCs/>
                <w:color w:val="000000"/>
                <w:sz w:val="16"/>
                <w:szCs w:val="16"/>
                <w:lang w:eastAsia="es-PE"/>
              </w:rPr>
              <w:t>2017</w:t>
            </w:r>
          </w:p>
        </w:tc>
      </w:tr>
      <w:tr w:rsidR="00D75C80" w:rsidRPr="000A373D" w14:paraId="4E2DA009" w14:textId="77777777" w:rsidTr="00D75C80">
        <w:trPr>
          <w:trHeight w:val="274"/>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BDA262" w14:textId="63F31745" w:rsidR="00D75C80" w:rsidRPr="000A373D" w:rsidRDefault="00D75C80" w:rsidP="00D75C80">
            <w:pPr>
              <w:spacing w:after="0" w:line="240" w:lineRule="auto"/>
              <w:rPr>
                <w:rFonts w:ascii="Calibri" w:eastAsia="Times New Roman" w:hAnsi="Calibri" w:cs="Times New Roman"/>
                <w:b/>
                <w:bCs/>
                <w:color w:val="000000"/>
                <w:sz w:val="16"/>
                <w:szCs w:val="16"/>
                <w:lang w:eastAsia="es-PE"/>
              </w:rPr>
            </w:pPr>
            <w:r w:rsidRPr="000A373D">
              <w:rPr>
                <w:rFonts w:ascii="Calibri" w:eastAsia="Times New Roman" w:hAnsi="Calibri" w:cs="Times New Roman"/>
                <w:color w:val="000000"/>
                <w:sz w:val="16"/>
                <w:szCs w:val="16"/>
                <w:lang w:eastAsia="es-PE"/>
              </w:rPr>
              <w:t>1.3</w:t>
            </w:r>
          </w:p>
        </w:tc>
        <w:tc>
          <w:tcPr>
            <w:tcW w:w="1867" w:type="dxa"/>
            <w:tcBorders>
              <w:top w:val="single" w:sz="4" w:space="0" w:color="auto"/>
              <w:left w:val="nil"/>
              <w:bottom w:val="single" w:sz="4" w:space="0" w:color="auto"/>
              <w:right w:val="single" w:sz="4" w:space="0" w:color="auto"/>
            </w:tcBorders>
            <w:shd w:val="clear" w:color="auto" w:fill="auto"/>
          </w:tcPr>
          <w:p w14:paraId="070B89A8" w14:textId="7FD0A321" w:rsidR="00D75C80" w:rsidRPr="000A373D" w:rsidRDefault="00D75C80" w:rsidP="00D75C80">
            <w:pPr>
              <w:spacing w:after="0" w:line="240" w:lineRule="auto"/>
              <w:rPr>
                <w:rFonts w:ascii="Calibri" w:eastAsia="Times New Roman" w:hAnsi="Calibri" w:cs="Times New Roman"/>
                <w:b/>
                <w:bCs/>
                <w:color w:val="000000"/>
                <w:sz w:val="16"/>
                <w:szCs w:val="16"/>
                <w:lang w:eastAsia="es-PE"/>
              </w:rPr>
            </w:pPr>
            <w:r w:rsidRPr="000A373D">
              <w:rPr>
                <w:rFonts w:ascii="Calibri" w:eastAsia="Times New Roman" w:hAnsi="Calibri" w:cs="Times New Roman"/>
                <w:color w:val="000000"/>
                <w:sz w:val="16"/>
                <w:szCs w:val="16"/>
                <w:lang w:eastAsia="es-PE"/>
              </w:rPr>
              <w:t>Fortalecer las capacidades técnicas y de gestión</w:t>
            </w:r>
          </w:p>
        </w:tc>
        <w:tc>
          <w:tcPr>
            <w:tcW w:w="1984" w:type="dxa"/>
            <w:tcBorders>
              <w:top w:val="single" w:sz="4" w:space="0" w:color="auto"/>
              <w:left w:val="nil"/>
              <w:bottom w:val="single" w:sz="4" w:space="0" w:color="auto"/>
              <w:right w:val="single" w:sz="4" w:space="0" w:color="auto"/>
            </w:tcBorders>
            <w:shd w:val="clear" w:color="auto" w:fill="auto"/>
          </w:tcPr>
          <w:p w14:paraId="60ACB5D7" w14:textId="020F2CDE" w:rsidR="00D75C80" w:rsidRPr="000A373D" w:rsidRDefault="00D75C80" w:rsidP="00D75C80">
            <w:pPr>
              <w:spacing w:after="0" w:line="240" w:lineRule="auto"/>
              <w:rPr>
                <w:rFonts w:ascii="Calibri" w:eastAsia="Times New Roman" w:hAnsi="Calibri" w:cs="Times New Roman"/>
                <w:b/>
                <w:bCs/>
                <w:color w:val="000000"/>
                <w:sz w:val="16"/>
                <w:szCs w:val="16"/>
                <w:lang w:eastAsia="es-PE"/>
              </w:rPr>
            </w:pPr>
            <w:r w:rsidRPr="000A373D">
              <w:rPr>
                <w:rFonts w:ascii="Calibri" w:eastAsia="Times New Roman" w:hAnsi="Calibri" w:cs="Times New Roman"/>
                <w:color w:val="000000"/>
                <w:sz w:val="16"/>
                <w:szCs w:val="16"/>
                <w:lang w:eastAsia="es-PE"/>
              </w:rPr>
              <w:t>* Se ha apoyado la suscripción de 43 convenios marco y 61 convenios específicos entre universidades y gobiernos locales a nivel nacional</w:t>
            </w:r>
            <w:r w:rsidRPr="000A373D">
              <w:rPr>
                <w:rFonts w:ascii="Calibri" w:eastAsia="Times New Roman" w:hAnsi="Calibri" w:cs="Times New Roman"/>
                <w:color w:val="000000"/>
                <w:sz w:val="16"/>
                <w:szCs w:val="16"/>
                <w:lang w:eastAsia="es-PE"/>
              </w:rPr>
              <w:br/>
              <w:t>* Asistencia técnica a universidades para la exposición de servicios y actividades de proyección social que brindan</w:t>
            </w:r>
            <w:r w:rsidRPr="000A373D">
              <w:rPr>
                <w:rFonts w:ascii="Calibri" w:eastAsia="Times New Roman" w:hAnsi="Calibri" w:cs="Times New Roman"/>
                <w:color w:val="000000"/>
                <w:sz w:val="16"/>
                <w:szCs w:val="16"/>
                <w:lang w:eastAsia="es-PE"/>
              </w:rPr>
              <w:br/>
              <w:t>* Coordinación con gobiernos locales para la promoción se servicios de proyección social</w:t>
            </w:r>
            <w:r w:rsidRPr="000A373D">
              <w:rPr>
                <w:rFonts w:ascii="Calibri" w:eastAsia="Times New Roman" w:hAnsi="Calibri" w:cs="Times New Roman"/>
                <w:color w:val="000000"/>
                <w:sz w:val="16"/>
                <w:szCs w:val="16"/>
                <w:lang w:eastAsia="es-PE"/>
              </w:rPr>
              <w:br/>
              <w:t>* Realización de tres foros provinciales mediante los cuales se difundieron los servicios de proyección social de universidades en Puno y Huancavelica.</w:t>
            </w:r>
          </w:p>
        </w:tc>
        <w:tc>
          <w:tcPr>
            <w:tcW w:w="2835" w:type="dxa"/>
            <w:tcBorders>
              <w:top w:val="single" w:sz="4" w:space="0" w:color="auto"/>
              <w:left w:val="nil"/>
              <w:bottom w:val="single" w:sz="4" w:space="0" w:color="auto"/>
              <w:right w:val="single" w:sz="4" w:space="0" w:color="auto"/>
            </w:tcBorders>
            <w:shd w:val="clear" w:color="auto" w:fill="auto"/>
          </w:tcPr>
          <w:p w14:paraId="5CC8E1B4" w14:textId="1B38E823" w:rsidR="00D75C80" w:rsidRPr="000A373D" w:rsidRDefault="00D75C80" w:rsidP="00D75C80">
            <w:pPr>
              <w:spacing w:after="0" w:line="240" w:lineRule="auto"/>
              <w:rPr>
                <w:rFonts w:ascii="Calibri" w:eastAsia="Times New Roman" w:hAnsi="Calibri" w:cs="Times New Roman"/>
                <w:b/>
                <w:bCs/>
                <w:color w:val="000000"/>
                <w:sz w:val="16"/>
                <w:szCs w:val="16"/>
                <w:lang w:eastAsia="es-PE"/>
              </w:rPr>
            </w:pPr>
            <w:r w:rsidRPr="000A373D">
              <w:rPr>
                <w:rFonts w:ascii="Calibri" w:eastAsia="Times New Roman" w:hAnsi="Calibri" w:cs="Times New Roman"/>
                <w:color w:val="000000"/>
                <w:sz w:val="16"/>
                <w:szCs w:val="16"/>
                <w:lang w:eastAsia="es-PE"/>
              </w:rPr>
              <w:t>* Se cuenta con una propuesta depurada del Plan Nacional de Fortalecimiento de Competencias Institucionales, tras el taller de socialización de la propuesta con los miembros de la Comisión Multisectorial de Desarrollo de Capacidades.</w:t>
            </w:r>
            <w:r w:rsidRPr="000A373D">
              <w:rPr>
                <w:rFonts w:ascii="Calibri" w:eastAsia="Times New Roman" w:hAnsi="Calibri" w:cs="Times New Roman"/>
                <w:color w:val="000000"/>
                <w:sz w:val="16"/>
                <w:szCs w:val="16"/>
                <w:lang w:eastAsia="es-PE"/>
              </w:rPr>
              <w:br/>
              <w:t>* Organización de la Feria de Oportunidades de la Inclusión Social en Ica, con la participación de 85 instituciones y 3000 personas. Se repartieron folletos informativos sobre descentralización y acceso a la información pública. Estos folletos también fueron entregados en talleres de participación ciudadana organizados en Ayacucho, Moquegua, Lambayeque y Junín.</w:t>
            </w:r>
            <w:r w:rsidRPr="000A373D">
              <w:rPr>
                <w:rFonts w:ascii="Calibri" w:eastAsia="Times New Roman" w:hAnsi="Calibri" w:cs="Times New Roman"/>
                <w:color w:val="000000"/>
                <w:sz w:val="16"/>
                <w:szCs w:val="16"/>
                <w:lang w:eastAsia="es-PE"/>
              </w:rPr>
              <w:br/>
              <w:t>* (Proceso) Avances en la implementación de herramientas virtuales para el fortalecimiento de competencias institucionales (sistema de video conferencias, aula virtual de la secretaría de Descentralización,  y mejora de la web  de la Secretaría de Descentralización.</w:t>
            </w:r>
            <w:r w:rsidRPr="000A373D">
              <w:rPr>
                <w:rFonts w:ascii="Calibri" w:eastAsia="Times New Roman" w:hAnsi="Calibri" w:cs="Times New Roman"/>
                <w:color w:val="000000"/>
                <w:sz w:val="16"/>
                <w:szCs w:val="16"/>
                <w:lang w:eastAsia="es-PE"/>
              </w:rPr>
              <w:br/>
              <w:t>* (Proceso) Se cuenta con lineamientos para la elaboración de informes institucionales para la formulación del Informe Anual del Proceso de Descentralización. Asimismo, se aprobó el cronograma para la elaboración del informe anual del proceso de descentralización del año 2014.</w:t>
            </w:r>
          </w:p>
        </w:tc>
        <w:tc>
          <w:tcPr>
            <w:tcW w:w="1985" w:type="dxa"/>
            <w:tcBorders>
              <w:top w:val="single" w:sz="4" w:space="0" w:color="auto"/>
              <w:left w:val="nil"/>
              <w:bottom w:val="single" w:sz="4" w:space="0" w:color="auto"/>
              <w:right w:val="single" w:sz="4" w:space="0" w:color="auto"/>
            </w:tcBorders>
            <w:shd w:val="clear" w:color="auto" w:fill="auto"/>
          </w:tcPr>
          <w:p w14:paraId="2187A61C" w14:textId="712E55FD" w:rsidR="00D75C80" w:rsidRPr="000A373D" w:rsidRDefault="00D75C80" w:rsidP="00D75C80">
            <w:pPr>
              <w:spacing w:after="0" w:line="240" w:lineRule="auto"/>
              <w:rPr>
                <w:rFonts w:ascii="Calibri" w:eastAsia="Times New Roman" w:hAnsi="Calibri" w:cs="Times New Roman"/>
                <w:b/>
                <w:bCs/>
                <w:color w:val="000000"/>
                <w:sz w:val="16"/>
                <w:szCs w:val="16"/>
                <w:lang w:eastAsia="es-PE"/>
              </w:rPr>
            </w:pPr>
            <w:r w:rsidRPr="000A373D">
              <w:rPr>
                <w:rFonts w:ascii="Calibri" w:eastAsia="Times New Roman" w:hAnsi="Calibri" w:cs="Times New Roman"/>
                <w:color w:val="000000"/>
                <w:sz w:val="16"/>
                <w:szCs w:val="16"/>
                <w:lang w:eastAsia="es-PE"/>
              </w:rPr>
              <w:t>* Se diseñaron (formulación y puesta en prueba) los cursos virtuales "Modernización y Descentralización del Estado" e "Inversión Descentralizada en el marco del SNIP"</w:t>
            </w:r>
            <w:r w:rsidRPr="000A373D">
              <w:rPr>
                <w:rFonts w:ascii="Calibri" w:eastAsia="Times New Roman" w:hAnsi="Calibri" w:cs="Times New Roman"/>
                <w:color w:val="000000"/>
                <w:sz w:val="16"/>
                <w:szCs w:val="16"/>
                <w:lang w:eastAsia="es-PE"/>
              </w:rPr>
              <w:br/>
              <w:t>* Realización de talleres en San Martín y Cusco con CCR y CCL.</w:t>
            </w:r>
            <w:r w:rsidRPr="000A373D">
              <w:rPr>
                <w:rFonts w:ascii="Calibri" w:eastAsia="Times New Roman" w:hAnsi="Calibri" w:cs="Times New Roman"/>
                <w:color w:val="000000"/>
                <w:sz w:val="16"/>
                <w:szCs w:val="16"/>
                <w:lang w:eastAsia="es-PE"/>
              </w:rPr>
              <w:br/>
              <w:t>* Realización de encuentro OCDE sobre medidas anticorrupción.</w:t>
            </w:r>
          </w:p>
        </w:tc>
        <w:tc>
          <w:tcPr>
            <w:tcW w:w="4111" w:type="dxa"/>
            <w:tcBorders>
              <w:top w:val="single" w:sz="4" w:space="0" w:color="auto"/>
              <w:left w:val="nil"/>
              <w:bottom w:val="single" w:sz="4" w:space="0" w:color="auto"/>
              <w:right w:val="single" w:sz="4" w:space="0" w:color="auto"/>
            </w:tcBorders>
            <w:shd w:val="clear" w:color="auto" w:fill="auto"/>
          </w:tcPr>
          <w:p w14:paraId="6BFC5357" w14:textId="19A5C280" w:rsidR="00D75C80" w:rsidRPr="000A373D" w:rsidRDefault="00D75C80" w:rsidP="00D75C80">
            <w:pPr>
              <w:spacing w:after="0" w:line="240" w:lineRule="auto"/>
              <w:rPr>
                <w:rFonts w:ascii="Calibri" w:eastAsia="Times New Roman" w:hAnsi="Calibri" w:cs="Times New Roman"/>
                <w:b/>
                <w:bCs/>
                <w:color w:val="000000"/>
                <w:sz w:val="16"/>
                <w:szCs w:val="16"/>
                <w:lang w:eastAsia="es-PE"/>
              </w:rPr>
            </w:pPr>
            <w:r w:rsidRPr="000A373D">
              <w:rPr>
                <w:rFonts w:ascii="Calibri" w:eastAsia="Times New Roman" w:hAnsi="Calibri" w:cs="Times New Roman"/>
                <w:color w:val="000000"/>
                <w:sz w:val="16"/>
                <w:szCs w:val="16"/>
                <w:lang w:eastAsia="es-PE"/>
              </w:rPr>
              <w:t>* (Proceso) Aprobación de Lineamientos Orientadores para la Aprobación de Normas para el Funcionamiento de Consejos de Coordinación y Comités de Vigilancia por los Gobiernos Regionales y Locales, por Resolución de Secretaría de Descentralización N* 025-2016-PCM/SD.</w:t>
            </w:r>
            <w:r w:rsidRPr="000A373D">
              <w:rPr>
                <w:rFonts w:ascii="Calibri" w:eastAsia="Times New Roman" w:hAnsi="Calibri" w:cs="Times New Roman"/>
                <w:color w:val="000000"/>
                <w:sz w:val="16"/>
                <w:szCs w:val="16"/>
                <w:lang w:eastAsia="es-PE"/>
              </w:rPr>
              <w:br/>
              <w:t>* Aprobación de un Plan de Monitoreo para los Consejos de Coordinación Regional y Local por Resolución de Secretaría de Descentralización N* 026-2016-PCM/SD.</w:t>
            </w:r>
            <w:r w:rsidRPr="000A373D">
              <w:rPr>
                <w:rFonts w:ascii="Calibri" w:eastAsia="Times New Roman" w:hAnsi="Calibri" w:cs="Times New Roman"/>
                <w:color w:val="000000"/>
                <w:sz w:val="16"/>
                <w:szCs w:val="16"/>
                <w:lang w:eastAsia="es-PE"/>
              </w:rPr>
              <w:br/>
              <w:t>* (Proceso) Mejoramiento de la Plataforma Virtual de la Secretaría de Descentralización para orientarla a la articulación intergubernamental, la participación ciudadana y el desarrollo de capacidades institucionales</w:t>
            </w:r>
            <w:r w:rsidRPr="000A373D">
              <w:rPr>
                <w:rFonts w:ascii="Calibri" w:eastAsia="Times New Roman" w:hAnsi="Calibri" w:cs="Times New Roman"/>
                <w:color w:val="000000"/>
                <w:sz w:val="16"/>
                <w:szCs w:val="16"/>
                <w:lang w:eastAsia="es-PE"/>
              </w:rPr>
              <w:br/>
              <w:t>* Formulación de Cartillas ilustrativas Didácticas sobre los Consejos de Coordinación Regional y Local, teniendo en cuenta las fortalezas y debilidades encontradas como resultado de la consultoría. Su formulación comprende acciones de difusión, sensibilización y asistencia técnica a autoridades y miembros de la sociedad civil integrantes de los Consejos de Coordinación en un departamento (s) que la Secretaría de Descentralización identifique.</w:t>
            </w:r>
            <w:r w:rsidRPr="000A373D">
              <w:rPr>
                <w:rFonts w:ascii="Calibri" w:eastAsia="Times New Roman" w:hAnsi="Calibri" w:cs="Times New Roman"/>
                <w:color w:val="000000"/>
                <w:sz w:val="16"/>
                <w:szCs w:val="16"/>
                <w:lang w:eastAsia="es-PE"/>
              </w:rPr>
              <w:br/>
              <w:t>* (Proceso) Identificación de instrumentos de gestión para facilitar los procesos de rendición de cuentas y participación ciudadana.</w:t>
            </w:r>
            <w:r w:rsidRPr="000A373D">
              <w:rPr>
                <w:rFonts w:ascii="Calibri" w:eastAsia="Times New Roman" w:hAnsi="Calibri" w:cs="Times New Roman"/>
                <w:color w:val="000000"/>
                <w:sz w:val="16"/>
                <w:szCs w:val="16"/>
                <w:lang w:eastAsia="es-PE"/>
              </w:rPr>
              <w:br/>
              <w:t>* 121 participantes en el curso “Derecho Ciudadano a la Participación y Acceso a la Información Pública” al 06/07/2016.</w:t>
            </w:r>
            <w:r w:rsidRPr="000A373D">
              <w:rPr>
                <w:rFonts w:ascii="Calibri" w:eastAsia="Times New Roman" w:hAnsi="Calibri" w:cs="Times New Roman"/>
                <w:color w:val="000000"/>
                <w:sz w:val="16"/>
                <w:szCs w:val="16"/>
                <w:lang w:eastAsia="es-PE"/>
              </w:rPr>
              <w:br/>
              <w:t>* 620 visitas mensuales al sitio web de la Secretaría de Descentralización.</w:t>
            </w:r>
            <w:r w:rsidRPr="000A373D">
              <w:rPr>
                <w:rFonts w:ascii="Calibri" w:eastAsia="Times New Roman" w:hAnsi="Calibri" w:cs="Times New Roman"/>
                <w:color w:val="000000"/>
                <w:sz w:val="16"/>
                <w:szCs w:val="16"/>
                <w:lang w:eastAsia="es-PE"/>
              </w:rPr>
              <w:br/>
              <w:t xml:space="preserve">* En el marco del GORE Ejecutivo, con el proyecto se ha diseñado e implementado un sistema de seguimiento de los compromisos de los GORE EJECUTIVO, se ha realizado el seguimiento de los 889 compromisos de los dos </w:t>
            </w:r>
            <w:proofErr w:type="spellStart"/>
            <w:r w:rsidRPr="000A373D">
              <w:rPr>
                <w:rFonts w:ascii="Calibri" w:eastAsia="Times New Roman" w:hAnsi="Calibri" w:cs="Times New Roman"/>
                <w:color w:val="000000"/>
                <w:sz w:val="16"/>
                <w:szCs w:val="16"/>
                <w:lang w:eastAsia="es-PE"/>
              </w:rPr>
              <w:t>GOREs</w:t>
            </w:r>
            <w:proofErr w:type="spellEnd"/>
            <w:r w:rsidRPr="000A373D">
              <w:rPr>
                <w:rFonts w:ascii="Calibri" w:eastAsia="Times New Roman" w:hAnsi="Calibri" w:cs="Times New Roman"/>
                <w:color w:val="000000"/>
                <w:sz w:val="16"/>
                <w:szCs w:val="16"/>
                <w:lang w:eastAsia="es-PE"/>
              </w:rPr>
              <w:t xml:space="preserve"> Ejecutivos, el avance de cumplimiento es de 55%.</w:t>
            </w:r>
          </w:p>
        </w:tc>
        <w:tc>
          <w:tcPr>
            <w:tcW w:w="1417" w:type="dxa"/>
            <w:tcBorders>
              <w:top w:val="single" w:sz="4" w:space="0" w:color="auto"/>
              <w:left w:val="nil"/>
              <w:bottom w:val="single" w:sz="4" w:space="0" w:color="auto"/>
              <w:right w:val="single" w:sz="4" w:space="0" w:color="auto"/>
            </w:tcBorders>
            <w:shd w:val="clear" w:color="auto" w:fill="auto"/>
          </w:tcPr>
          <w:p w14:paraId="4A162245" w14:textId="07235815" w:rsidR="00D75C80" w:rsidRPr="000A373D" w:rsidRDefault="00D75C80" w:rsidP="00D75C80">
            <w:pPr>
              <w:spacing w:after="0" w:line="240" w:lineRule="auto"/>
              <w:rPr>
                <w:rFonts w:ascii="Calibri" w:eastAsia="Times New Roman" w:hAnsi="Calibri" w:cs="Times New Roman"/>
                <w:b/>
                <w:bCs/>
                <w:color w:val="000000"/>
                <w:sz w:val="16"/>
                <w:szCs w:val="16"/>
                <w:lang w:eastAsia="es-PE"/>
              </w:rPr>
            </w:pPr>
            <w:r w:rsidRPr="000A373D">
              <w:rPr>
                <w:rFonts w:ascii="Calibri" w:eastAsia="Times New Roman" w:hAnsi="Calibri" w:cs="Times New Roman"/>
                <w:color w:val="000000"/>
                <w:sz w:val="16"/>
                <w:szCs w:val="16"/>
                <w:lang w:eastAsia="es-PE"/>
              </w:rPr>
              <w:t>* (Proceso) Se han establecido agendas territoriales las cuales reflejan las capacidades de implementación de las funciones y herramientas de gestión elaboradas por estos.</w:t>
            </w:r>
          </w:p>
        </w:tc>
      </w:tr>
    </w:tbl>
    <w:p w14:paraId="710BB97A" w14:textId="09E4672C" w:rsidR="00A07B0B" w:rsidRDefault="00A07B0B" w:rsidP="00D75C80">
      <w:pPr>
        <w:sectPr w:rsidR="00A07B0B" w:rsidSect="00D75C80">
          <w:pgSz w:w="16838" w:h="11906" w:orient="landscape" w:code="9"/>
          <w:pgMar w:top="1418" w:right="1418" w:bottom="1418" w:left="1418" w:header="709" w:footer="709" w:gutter="0"/>
          <w:cols w:space="708"/>
          <w:docGrid w:linePitch="360"/>
        </w:sectPr>
      </w:pPr>
    </w:p>
    <w:p w14:paraId="17206687" w14:textId="77777777" w:rsidR="00A717B9" w:rsidRDefault="00A717B9" w:rsidP="00A717B9">
      <w:pPr>
        <w:jc w:val="both"/>
      </w:pPr>
      <w:r w:rsidRPr="002F7E6E">
        <w:rPr>
          <w:sz w:val="20"/>
          <w:szCs w:val="20"/>
        </w:rPr>
        <w:lastRenderedPageBreak/>
        <w:t>Fuente:  Reportes de la PCM a PNUD</w:t>
      </w:r>
    </w:p>
    <w:p w14:paraId="5D1AE8DE" w14:textId="29CB2308" w:rsidR="000A373D" w:rsidRPr="00857BCB" w:rsidRDefault="000A373D" w:rsidP="00B12643">
      <w:pPr>
        <w:jc w:val="both"/>
        <w:rPr>
          <w:sz w:val="24"/>
          <w:szCs w:val="24"/>
        </w:rPr>
      </w:pPr>
    </w:p>
    <w:p w14:paraId="2AB25B96" w14:textId="44B9CCC8" w:rsidR="008A1875" w:rsidRPr="00857BCB" w:rsidRDefault="00272547" w:rsidP="009A3727">
      <w:pPr>
        <w:pStyle w:val="Heading3"/>
        <w:ind w:left="680"/>
        <w:rPr>
          <w:i/>
          <w:color w:val="000000" w:themeColor="text1"/>
          <w:u w:val="single"/>
        </w:rPr>
      </w:pPr>
      <w:bookmarkStart w:id="5" w:name="_Toc523393984"/>
      <w:r w:rsidRPr="00857BCB">
        <w:rPr>
          <w:i/>
          <w:color w:val="000000" w:themeColor="text1"/>
        </w:rPr>
        <w:t xml:space="preserve">2.1.2 </w:t>
      </w:r>
      <w:r w:rsidRPr="00857BCB">
        <w:rPr>
          <w:i/>
          <w:color w:val="000000" w:themeColor="text1"/>
        </w:rPr>
        <w:tab/>
      </w:r>
      <w:r w:rsidR="003B1596" w:rsidRPr="00857BCB">
        <w:rPr>
          <w:i/>
          <w:color w:val="000000" w:themeColor="text1"/>
          <w:u w:val="single"/>
        </w:rPr>
        <w:t>Sobre el desarrollo de la gestión descentralizada</w:t>
      </w:r>
      <w:bookmarkEnd w:id="5"/>
      <w:r w:rsidR="003B1596" w:rsidRPr="00857BCB">
        <w:rPr>
          <w:i/>
          <w:color w:val="000000" w:themeColor="text1"/>
          <w:u w:val="single"/>
        </w:rPr>
        <w:t xml:space="preserve"> </w:t>
      </w:r>
    </w:p>
    <w:p w14:paraId="41D7AFF9" w14:textId="77777777" w:rsidR="009A3727" w:rsidRPr="00857BCB" w:rsidRDefault="009A3727" w:rsidP="00F64B42">
      <w:pPr>
        <w:jc w:val="both"/>
        <w:rPr>
          <w:sz w:val="24"/>
          <w:szCs w:val="24"/>
        </w:rPr>
      </w:pPr>
    </w:p>
    <w:p w14:paraId="3D5DF6EC" w14:textId="47C26BAD" w:rsidR="00F64B42" w:rsidRPr="00857BCB" w:rsidRDefault="00BC5108" w:rsidP="00F64B42">
      <w:pPr>
        <w:jc w:val="both"/>
        <w:rPr>
          <w:sz w:val="24"/>
          <w:szCs w:val="24"/>
        </w:rPr>
      </w:pPr>
      <w:r w:rsidRPr="00857BCB">
        <w:rPr>
          <w:sz w:val="24"/>
          <w:szCs w:val="24"/>
        </w:rPr>
        <w:t>Con la revisión sustantiva de 2013, se reformulan las actividades</w:t>
      </w:r>
      <w:r w:rsidR="00AE7CE4" w:rsidRPr="00857BCB">
        <w:rPr>
          <w:sz w:val="24"/>
          <w:szCs w:val="24"/>
        </w:rPr>
        <w:t xml:space="preserve"> </w:t>
      </w:r>
      <w:r w:rsidR="0005681D" w:rsidRPr="00857BCB">
        <w:rPr>
          <w:sz w:val="24"/>
          <w:szCs w:val="24"/>
        </w:rPr>
        <w:t>del resultado 1</w:t>
      </w:r>
      <w:r w:rsidRPr="00857BCB">
        <w:rPr>
          <w:sz w:val="24"/>
          <w:szCs w:val="24"/>
        </w:rPr>
        <w:t xml:space="preserve"> y se le da prioridad al </w:t>
      </w:r>
      <w:r w:rsidR="00CF0F4A" w:rsidRPr="00857BCB">
        <w:rPr>
          <w:sz w:val="24"/>
          <w:szCs w:val="24"/>
        </w:rPr>
        <w:t>“</w:t>
      </w:r>
      <w:r w:rsidRPr="00857BCB">
        <w:rPr>
          <w:sz w:val="24"/>
          <w:szCs w:val="24"/>
        </w:rPr>
        <w:t xml:space="preserve">enfoque de gestión </w:t>
      </w:r>
      <w:r w:rsidR="00AE7CE4" w:rsidRPr="00857BCB">
        <w:rPr>
          <w:sz w:val="24"/>
          <w:szCs w:val="24"/>
        </w:rPr>
        <w:t>descentralizada</w:t>
      </w:r>
      <w:r w:rsidR="00CF0F4A" w:rsidRPr="00857BCB">
        <w:rPr>
          <w:sz w:val="24"/>
          <w:szCs w:val="24"/>
        </w:rPr>
        <w:t>”</w:t>
      </w:r>
      <w:r w:rsidR="0077227B" w:rsidRPr="00857BCB">
        <w:rPr>
          <w:sz w:val="24"/>
          <w:szCs w:val="24"/>
        </w:rPr>
        <w:t>. Este</w:t>
      </w:r>
      <w:r w:rsidR="00591428" w:rsidRPr="00857BCB">
        <w:rPr>
          <w:sz w:val="24"/>
          <w:szCs w:val="24"/>
        </w:rPr>
        <w:t xml:space="preserve"> enfoque</w:t>
      </w:r>
      <w:r w:rsidR="0077227B" w:rsidRPr="00857BCB">
        <w:rPr>
          <w:sz w:val="24"/>
          <w:szCs w:val="24"/>
        </w:rPr>
        <w:t xml:space="preserve"> es</w:t>
      </w:r>
      <w:r w:rsidR="00591428" w:rsidRPr="00857BCB">
        <w:rPr>
          <w:sz w:val="24"/>
          <w:szCs w:val="24"/>
        </w:rPr>
        <w:t xml:space="preserve"> definido</w:t>
      </w:r>
      <w:r w:rsidR="00CF0F4A" w:rsidRPr="00857BCB">
        <w:rPr>
          <w:sz w:val="24"/>
          <w:szCs w:val="24"/>
        </w:rPr>
        <w:t xml:space="preserve"> según el </w:t>
      </w:r>
      <w:r w:rsidR="00C9614E" w:rsidRPr="00857BCB">
        <w:rPr>
          <w:sz w:val="24"/>
          <w:szCs w:val="24"/>
        </w:rPr>
        <w:t xml:space="preserve">Decreto Supremo que aprueba el “Plan Anual de Transferencia de Competencias Sectoriales a los Gobiernos Regionales y Locales del año 2009” y otras </w:t>
      </w:r>
      <w:r w:rsidR="002F225D" w:rsidRPr="00857BCB">
        <w:rPr>
          <w:sz w:val="24"/>
          <w:szCs w:val="24"/>
        </w:rPr>
        <w:t xml:space="preserve">disposiciones </w:t>
      </w:r>
      <w:r w:rsidR="00515314" w:rsidRPr="00857BCB">
        <w:rPr>
          <w:sz w:val="24"/>
          <w:szCs w:val="24"/>
        </w:rPr>
        <w:t>para el desarrollo</w:t>
      </w:r>
      <w:r w:rsidR="00C9614E" w:rsidRPr="00857BCB">
        <w:rPr>
          <w:sz w:val="24"/>
          <w:szCs w:val="24"/>
        </w:rPr>
        <w:t xml:space="preserve"> del proceso de descentralización (Decreto Supremo </w:t>
      </w:r>
      <w:proofErr w:type="spellStart"/>
      <w:r w:rsidR="00CF0F4A" w:rsidRPr="00857BCB">
        <w:rPr>
          <w:sz w:val="24"/>
          <w:szCs w:val="24"/>
        </w:rPr>
        <w:t>Nº</w:t>
      </w:r>
      <w:proofErr w:type="spellEnd"/>
      <w:r w:rsidR="00CF0F4A" w:rsidRPr="00857BCB">
        <w:rPr>
          <w:sz w:val="24"/>
          <w:szCs w:val="24"/>
        </w:rPr>
        <w:t xml:space="preserve"> 047-2009-PCM</w:t>
      </w:r>
      <w:r w:rsidR="00C9614E" w:rsidRPr="00857BCB">
        <w:rPr>
          <w:sz w:val="24"/>
          <w:szCs w:val="24"/>
        </w:rPr>
        <w:t>)</w:t>
      </w:r>
      <w:r w:rsidR="00AE7CE4" w:rsidRPr="00857BCB">
        <w:rPr>
          <w:sz w:val="24"/>
          <w:szCs w:val="24"/>
        </w:rPr>
        <w:t>.</w:t>
      </w:r>
      <w:r w:rsidR="00716338" w:rsidRPr="00857BCB">
        <w:rPr>
          <w:sz w:val="24"/>
          <w:szCs w:val="24"/>
        </w:rPr>
        <w:t xml:space="preserve"> </w:t>
      </w:r>
      <w:r w:rsidR="0077227B" w:rsidRPr="00857BCB">
        <w:rPr>
          <w:sz w:val="24"/>
          <w:szCs w:val="24"/>
        </w:rPr>
        <w:t>Según esta norma, la gestión descentralizada</w:t>
      </w:r>
      <w:r w:rsidR="00716338" w:rsidRPr="00857BCB">
        <w:rPr>
          <w:sz w:val="24"/>
          <w:szCs w:val="24"/>
        </w:rPr>
        <w:t xml:space="preserve"> pasa por “un cambio progresivo del enfoque sectorial a un enfoque territorial de servicio público orientado al ciudadano, identificando, formulando, implementando, evaluando y supervisando las fases de la gestión técnica y administrativa de las funciones sectoriales transferidas”</w:t>
      </w:r>
      <w:r w:rsidR="0066042F" w:rsidRPr="00857BCB">
        <w:rPr>
          <w:rStyle w:val="FootnoteReference"/>
          <w:sz w:val="24"/>
          <w:szCs w:val="24"/>
        </w:rPr>
        <w:footnoteReference w:id="9"/>
      </w:r>
      <w:r w:rsidR="00716338" w:rsidRPr="00857BCB">
        <w:rPr>
          <w:sz w:val="24"/>
          <w:szCs w:val="24"/>
        </w:rPr>
        <w:t>.</w:t>
      </w:r>
    </w:p>
    <w:p w14:paraId="38665A68" w14:textId="77777777" w:rsidR="00F64B42" w:rsidRPr="00857BCB" w:rsidRDefault="00F64B42" w:rsidP="00F64B42">
      <w:pPr>
        <w:jc w:val="both"/>
        <w:rPr>
          <w:b/>
          <w:sz w:val="24"/>
          <w:szCs w:val="24"/>
          <w:u w:val="single"/>
        </w:rPr>
      </w:pPr>
    </w:p>
    <w:p w14:paraId="274C24DC" w14:textId="58D682D7" w:rsidR="009D7896" w:rsidRPr="00857BCB" w:rsidRDefault="00646D14" w:rsidP="00F64B42">
      <w:pPr>
        <w:jc w:val="both"/>
        <w:rPr>
          <w:b/>
          <w:sz w:val="24"/>
          <w:szCs w:val="24"/>
          <w:u w:val="single"/>
        </w:rPr>
      </w:pPr>
      <w:r w:rsidRPr="00857BCB">
        <w:rPr>
          <w:b/>
          <w:sz w:val="24"/>
          <w:szCs w:val="24"/>
          <w:u w:val="single"/>
        </w:rPr>
        <w:t xml:space="preserve">Resultado 1 (2013-2017): </w:t>
      </w:r>
      <w:r w:rsidRPr="00857BCB">
        <w:rPr>
          <w:b/>
          <w:i/>
          <w:sz w:val="24"/>
          <w:szCs w:val="24"/>
          <w:u w:val="single"/>
        </w:rPr>
        <w:t>Competencias de gestión de los funcionarios públicos fortalecidas, a nivel regional y local en el marco del proceso de descentralización y modernización del Estado</w:t>
      </w:r>
      <w:r w:rsidRPr="00857BCB">
        <w:rPr>
          <w:b/>
          <w:sz w:val="24"/>
          <w:szCs w:val="24"/>
          <w:u w:val="single"/>
        </w:rPr>
        <w:t>.</w:t>
      </w:r>
    </w:p>
    <w:p w14:paraId="6CD7FDFA" w14:textId="4615BEF2" w:rsidR="00AE7CE4" w:rsidRPr="00857BCB" w:rsidRDefault="00646D14" w:rsidP="00646D14">
      <w:pPr>
        <w:jc w:val="center"/>
        <w:rPr>
          <w:sz w:val="24"/>
          <w:szCs w:val="24"/>
        </w:rPr>
      </w:pPr>
      <w:r w:rsidRPr="00857BCB">
        <w:rPr>
          <w:b/>
          <w:sz w:val="24"/>
          <w:szCs w:val="24"/>
          <w:u w:val="single"/>
        </w:rPr>
        <w:t>Actividades realizadas por año</w:t>
      </w:r>
      <w:r w:rsidR="00986278" w:rsidRPr="00857BCB">
        <w:rPr>
          <w:b/>
          <w:sz w:val="24"/>
          <w:szCs w:val="24"/>
          <w:u w:val="single"/>
        </w:rPr>
        <w:t xml:space="preserve"> (componente de gestión descentralizada)</w:t>
      </w:r>
    </w:p>
    <w:tbl>
      <w:tblPr>
        <w:tblW w:w="9722" w:type="dxa"/>
        <w:tblInd w:w="-431" w:type="dxa"/>
        <w:tblLayout w:type="fixed"/>
        <w:tblCellMar>
          <w:left w:w="70" w:type="dxa"/>
          <w:right w:w="70" w:type="dxa"/>
        </w:tblCellMar>
        <w:tblLook w:val="04A0" w:firstRow="1" w:lastRow="0" w:firstColumn="1" w:lastColumn="0" w:noHBand="0" w:noVBand="1"/>
      </w:tblPr>
      <w:tblGrid>
        <w:gridCol w:w="394"/>
        <w:gridCol w:w="1460"/>
        <w:gridCol w:w="1271"/>
        <w:gridCol w:w="1271"/>
        <w:gridCol w:w="2484"/>
        <w:gridCol w:w="1138"/>
        <w:gridCol w:w="1704"/>
      </w:tblGrid>
      <w:tr w:rsidR="007139D9" w:rsidRPr="009D7896" w14:paraId="0013DABE" w14:textId="77777777" w:rsidTr="00857BCB">
        <w:trPr>
          <w:trHeight w:val="70"/>
        </w:trPr>
        <w:tc>
          <w:tcPr>
            <w:tcW w:w="394" w:type="dxa"/>
            <w:tcBorders>
              <w:top w:val="single" w:sz="4" w:space="0" w:color="auto"/>
              <w:left w:val="single" w:sz="4" w:space="0" w:color="auto"/>
              <w:right w:val="single" w:sz="4" w:space="0" w:color="auto"/>
            </w:tcBorders>
            <w:shd w:val="clear" w:color="auto" w:fill="auto"/>
            <w:noWrap/>
            <w:hideMark/>
          </w:tcPr>
          <w:p w14:paraId="3E8E2F35" w14:textId="23E066F3" w:rsidR="007139D9" w:rsidRPr="009D7896" w:rsidRDefault="00857BCB" w:rsidP="007139D9">
            <w:pPr>
              <w:spacing w:after="0" w:line="240" w:lineRule="auto"/>
              <w:rPr>
                <w:rFonts w:ascii="Calibri" w:eastAsia="Times New Roman" w:hAnsi="Calibri" w:cs="Times New Roman"/>
                <w:b/>
                <w:bCs/>
                <w:color w:val="000000"/>
                <w:sz w:val="16"/>
                <w:szCs w:val="16"/>
                <w:lang w:eastAsia="es-PE"/>
              </w:rPr>
            </w:pPr>
            <w:proofErr w:type="spellStart"/>
            <w:r>
              <w:rPr>
                <w:rFonts w:ascii="Calibri" w:eastAsia="Times New Roman" w:hAnsi="Calibri" w:cs="Times New Roman"/>
                <w:b/>
                <w:bCs/>
                <w:color w:val="000000"/>
                <w:sz w:val="16"/>
                <w:szCs w:val="16"/>
                <w:lang w:eastAsia="es-PE"/>
              </w:rPr>
              <w:t>N°</w:t>
            </w:r>
            <w:proofErr w:type="spellEnd"/>
          </w:p>
        </w:tc>
        <w:tc>
          <w:tcPr>
            <w:tcW w:w="1460" w:type="dxa"/>
            <w:tcBorders>
              <w:top w:val="single" w:sz="4" w:space="0" w:color="auto"/>
              <w:left w:val="nil"/>
              <w:right w:val="single" w:sz="4" w:space="0" w:color="auto"/>
            </w:tcBorders>
            <w:shd w:val="clear" w:color="auto" w:fill="auto"/>
            <w:hideMark/>
          </w:tcPr>
          <w:p w14:paraId="6FB5D0FA" w14:textId="1219480F" w:rsidR="007139D9" w:rsidRPr="009D7896" w:rsidRDefault="007139D9" w:rsidP="007139D9">
            <w:pPr>
              <w:spacing w:after="0" w:line="240" w:lineRule="auto"/>
              <w:rPr>
                <w:rFonts w:ascii="Calibri" w:eastAsia="Times New Roman" w:hAnsi="Calibri" w:cs="Times New Roman"/>
                <w:b/>
                <w:bCs/>
                <w:color w:val="000000"/>
                <w:sz w:val="16"/>
                <w:szCs w:val="16"/>
                <w:lang w:eastAsia="es-PE"/>
              </w:rPr>
            </w:pPr>
            <w:r w:rsidRPr="009D7896">
              <w:rPr>
                <w:rFonts w:ascii="Calibri" w:eastAsia="Times New Roman" w:hAnsi="Calibri" w:cs="Times New Roman"/>
                <w:b/>
                <w:bCs/>
                <w:color w:val="000000"/>
                <w:sz w:val="16"/>
                <w:szCs w:val="16"/>
                <w:lang w:eastAsia="es-PE"/>
              </w:rPr>
              <w:t xml:space="preserve">Actividad / </w:t>
            </w:r>
          </w:p>
        </w:tc>
        <w:tc>
          <w:tcPr>
            <w:tcW w:w="7868" w:type="dxa"/>
            <w:gridSpan w:val="5"/>
            <w:tcBorders>
              <w:top w:val="single" w:sz="4" w:space="0" w:color="auto"/>
              <w:left w:val="nil"/>
              <w:bottom w:val="single" w:sz="4" w:space="0" w:color="auto"/>
              <w:right w:val="single" w:sz="4" w:space="0" w:color="auto"/>
            </w:tcBorders>
            <w:shd w:val="clear" w:color="auto" w:fill="auto"/>
          </w:tcPr>
          <w:p w14:paraId="3EF2B4EE" w14:textId="6EEE1D8B" w:rsidR="007139D9" w:rsidRPr="009D7896" w:rsidRDefault="007139D9" w:rsidP="007139D9">
            <w:pPr>
              <w:spacing w:after="0" w:line="240" w:lineRule="auto"/>
              <w:rPr>
                <w:rFonts w:ascii="Calibri" w:eastAsia="Times New Roman" w:hAnsi="Calibri" w:cs="Times New Roman"/>
                <w:b/>
                <w:bCs/>
                <w:color w:val="000000"/>
                <w:sz w:val="16"/>
                <w:szCs w:val="16"/>
                <w:lang w:eastAsia="es-PE"/>
              </w:rPr>
            </w:pPr>
            <w:r w:rsidRPr="009D7896">
              <w:rPr>
                <w:rFonts w:ascii="Calibri" w:eastAsia="Times New Roman" w:hAnsi="Calibri" w:cs="Times New Roman"/>
                <w:b/>
                <w:bCs/>
                <w:color w:val="000000"/>
                <w:sz w:val="16"/>
                <w:szCs w:val="16"/>
                <w:lang w:eastAsia="es-PE"/>
              </w:rPr>
              <w:t>Cumplimiento por año</w:t>
            </w:r>
          </w:p>
        </w:tc>
      </w:tr>
      <w:tr w:rsidR="007139D9" w:rsidRPr="009D7896" w14:paraId="5B3B12ED" w14:textId="77777777" w:rsidTr="00857BCB">
        <w:trPr>
          <w:trHeight w:val="70"/>
        </w:trPr>
        <w:tc>
          <w:tcPr>
            <w:tcW w:w="394" w:type="dxa"/>
            <w:tcBorders>
              <w:left w:val="single" w:sz="4" w:space="0" w:color="auto"/>
              <w:bottom w:val="single" w:sz="4" w:space="0" w:color="auto"/>
              <w:right w:val="single" w:sz="4" w:space="0" w:color="auto"/>
            </w:tcBorders>
            <w:shd w:val="clear" w:color="auto" w:fill="auto"/>
            <w:noWrap/>
            <w:vAlign w:val="bottom"/>
          </w:tcPr>
          <w:p w14:paraId="31384143" w14:textId="77777777" w:rsidR="007139D9" w:rsidRPr="009D7896" w:rsidRDefault="007139D9" w:rsidP="007139D9">
            <w:pPr>
              <w:spacing w:after="0" w:line="240" w:lineRule="auto"/>
              <w:rPr>
                <w:rFonts w:ascii="Calibri" w:eastAsia="Times New Roman" w:hAnsi="Calibri" w:cs="Times New Roman"/>
                <w:b/>
                <w:bCs/>
                <w:color w:val="000000"/>
                <w:sz w:val="16"/>
                <w:szCs w:val="16"/>
                <w:lang w:eastAsia="es-PE"/>
              </w:rPr>
            </w:pPr>
          </w:p>
        </w:tc>
        <w:tc>
          <w:tcPr>
            <w:tcW w:w="1460" w:type="dxa"/>
            <w:tcBorders>
              <w:left w:val="nil"/>
              <w:bottom w:val="single" w:sz="4" w:space="0" w:color="auto"/>
              <w:right w:val="single" w:sz="4" w:space="0" w:color="auto"/>
            </w:tcBorders>
            <w:shd w:val="clear" w:color="auto" w:fill="auto"/>
            <w:vAlign w:val="bottom"/>
          </w:tcPr>
          <w:p w14:paraId="562C742E" w14:textId="77777777" w:rsidR="007139D9" w:rsidRPr="009D7896" w:rsidRDefault="007139D9" w:rsidP="007139D9">
            <w:pPr>
              <w:spacing w:after="0" w:line="240" w:lineRule="auto"/>
              <w:rPr>
                <w:rFonts w:ascii="Calibri" w:eastAsia="Times New Roman" w:hAnsi="Calibri" w:cs="Times New Roman"/>
                <w:b/>
                <w:bCs/>
                <w:color w:val="000000"/>
                <w:sz w:val="16"/>
                <w:szCs w:val="16"/>
                <w:lang w:eastAsia="es-PE"/>
              </w:rPr>
            </w:pPr>
          </w:p>
        </w:tc>
        <w:tc>
          <w:tcPr>
            <w:tcW w:w="1271" w:type="dxa"/>
            <w:tcBorders>
              <w:top w:val="single" w:sz="4" w:space="0" w:color="auto"/>
              <w:left w:val="nil"/>
              <w:bottom w:val="single" w:sz="4" w:space="0" w:color="auto"/>
              <w:right w:val="single" w:sz="4" w:space="0" w:color="auto"/>
            </w:tcBorders>
            <w:shd w:val="clear" w:color="auto" w:fill="auto"/>
            <w:vAlign w:val="bottom"/>
          </w:tcPr>
          <w:p w14:paraId="0271D9D3" w14:textId="4C1B8873" w:rsidR="007139D9" w:rsidRPr="009D7896" w:rsidRDefault="007139D9" w:rsidP="007139D9">
            <w:pPr>
              <w:spacing w:after="0" w:line="240" w:lineRule="auto"/>
              <w:jc w:val="right"/>
              <w:rPr>
                <w:rFonts w:ascii="Calibri" w:eastAsia="Times New Roman" w:hAnsi="Calibri" w:cs="Times New Roman"/>
                <w:b/>
                <w:bCs/>
                <w:color w:val="000000"/>
                <w:sz w:val="16"/>
                <w:szCs w:val="16"/>
                <w:lang w:eastAsia="es-PE"/>
              </w:rPr>
            </w:pPr>
            <w:r w:rsidRPr="009D7896">
              <w:rPr>
                <w:rFonts w:ascii="Calibri" w:eastAsia="Times New Roman" w:hAnsi="Calibri" w:cs="Times New Roman"/>
                <w:b/>
                <w:bCs/>
                <w:color w:val="000000"/>
                <w:sz w:val="16"/>
                <w:szCs w:val="16"/>
                <w:lang w:eastAsia="es-PE"/>
              </w:rPr>
              <w:t>2013</w:t>
            </w:r>
          </w:p>
        </w:tc>
        <w:tc>
          <w:tcPr>
            <w:tcW w:w="1271" w:type="dxa"/>
            <w:tcBorders>
              <w:top w:val="single" w:sz="4" w:space="0" w:color="auto"/>
              <w:left w:val="nil"/>
              <w:bottom w:val="single" w:sz="4" w:space="0" w:color="auto"/>
              <w:right w:val="single" w:sz="4" w:space="0" w:color="auto"/>
            </w:tcBorders>
            <w:shd w:val="clear" w:color="auto" w:fill="auto"/>
            <w:vAlign w:val="bottom"/>
          </w:tcPr>
          <w:p w14:paraId="64BE2BFF" w14:textId="574E7D77" w:rsidR="007139D9" w:rsidRPr="009D7896" w:rsidRDefault="007139D9" w:rsidP="007139D9">
            <w:pPr>
              <w:spacing w:after="0" w:line="240" w:lineRule="auto"/>
              <w:jc w:val="right"/>
              <w:rPr>
                <w:rFonts w:ascii="Calibri" w:eastAsia="Times New Roman" w:hAnsi="Calibri" w:cs="Times New Roman"/>
                <w:b/>
                <w:bCs/>
                <w:color w:val="000000"/>
                <w:sz w:val="16"/>
                <w:szCs w:val="16"/>
                <w:lang w:eastAsia="es-PE"/>
              </w:rPr>
            </w:pPr>
            <w:r w:rsidRPr="009D7896">
              <w:rPr>
                <w:rFonts w:ascii="Calibri" w:eastAsia="Times New Roman" w:hAnsi="Calibri" w:cs="Times New Roman"/>
                <w:b/>
                <w:bCs/>
                <w:color w:val="000000"/>
                <w:sz w:val="16"/>
                <w:szCs w:val="16"/>
                <w:lang w:eastAsia="es-PE"/>
              </w:rPr>
              <w:t>2014</w:t>
            </w:r>
          </w:p>
        </w:tc>
        <w:tc>
          <w:tcPr>
            <w:tcW w:w="2484" w:type="dxa"/>
            <w:tcBorders>
              <w:top w:val="single" w:sz="4" w:space="0" w:color="auto"/>
              <w:left w:val="nil"/>
              <w:bottom w:val="single" w:sz="4" w:space="0" w:color="auto"/>
              <w:right w:val="single" w:sz="4" w:space="0" w:color="auto"/>
            </w:tcBorders>
            <w:shd w:val="clear" w:color="auto" w:fill="auto"/>
            <w:noWrap/>
            <w:vAlign w:val="bottom"/>
          </w:tcPr>
          <w:p w14:paraId="6EAAC641" w14:textId="79302853" w:rsidR="007139D9" w:rsidRPr="009D7896" w:rsidRDefault="007139D9" w:rsidP="007139D9">
            <w:pPr>
              <w:spacing w:after="0" w:line="240" w:lineRule="auto"/>
              <w:jc w:val="right"/>
              <w:rPr>
                <w:rFonts w:ascii="Calibri" w:eastAsia="Times New Roman" w:hAnsi="Calibri" w:cs="Times New Roman"/>
                <w:b/>
                <w:bCs/>
                <w:color w:val="000000"/>
                <w:sz w:val="16"/>
                <w:szCs w:val="16"/>
                <w:lang w:eastAsia="es-PE"/>
              </w:rPr>
            </w:pPr>
            <w:r w:rsidRPr="009D7896">
              <w:rPr>
                <w:rFonts w:ascii="Calibri" w:eastAsia="Times New Roman" w:hAnsi="Calibri" w:cs="Times New Roman"/>
                <w:b/>
                <w:bCs/>
                <w:color w:val="000000"/>
                <w:sz w:val="16"/>
                <w:szCs w:val="16"/>
                <w:lang w:eastAsia="es-PE"/>
              </w:rPr>
              <w:t>2015</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28849CAF" w14:textId="47880026" w:rsidR="007139D9" w:rsidRPr="009D7896" w:rsidRDefault="007139D9" w:rsidP="007139D9">
            <w:pPr>
              <w:spacing w:after="0" w:line="240" w:lineRule="auto"/>
              <w:jc w:val="right"/>
              <w:rPr>
                <w:rFonts w:ascii="Calibri" w:eastAsia="Times New Roman" w:hAnsi="Calibri" w:cs="Times New Roman"/>
                <w:b/>
                <w:bCs/>
                <w:color w:val="000000"/>
                <w:sz w:val="16"/>
                <w:szCs w:val="16"/>
                <w:lang w:eastAsia="es-PE"/>
              </w:rPr>
            </w:pPr>
            <w:r w:rsidRPr="009D7896">
              <w:rPr>
                <w:rFonts w:ascii="Calibri" w:eastAsia="Times New Roman" w:hAnsi="Calibri" w:cs="Times New Roman"/>
                <w:b/>
                <w:bCs/>
                <w:color w:val="000000"/>
                <w:sz w:val="16"/>
                <w:szCs w:val="16"/>
                <w:lang w:eastAsia="es-PE"/>
              </w:rPr>
              <w:t>2016</w:t>
            </w:r>
          </w:p>
        </w:tc>
        <w:tc>
          <w:tcPr>
            <w:tcW w:w="1704" w:type="dxa"/>
            <w:tcBorders>
              <w:top w:val="single" w:sz="4" w:space="0" w:color="auto"/>
              <w:left w:val="nil"/>
              <w:bottom w:val="single" w:sz="4" w:space="0" w:color="auto"/>
              <w:right w:val="single" w:sz="4" w:space="0" w:color="auto"/>
            </w:tcBorders>
            <w:shd w:val="clear" w:color="auto" w:fill="auto"/>
            <w:vAlign w:val="bottom"/>
          </w:tcPr>
          <w:p w14:paraId="027B9CCD" w14:textId="477A7F5B" w:rsidR="007139D9" w:rsidRPr="009D7896" w:rsidRDefault="007139D9" w:rsidP="007139D9">
            <w:pPr>
              <w:spacing w:after="0" w:line="240" w:lineRule="auto"/>
              <w:jc w:val="right"/>
              <w:rPr>
                <w:rFonts w:ascii="Calibri" w:eastAsia="Times New Roman" w:hAnsi="Calibri" w:cs="Times New Roman"/>
                <w:b/>
                <w:bCs/>
                <w:color w:val="000000"/>
                <w:sz w:val="16"/>
                <w:szCs w:val="16"/>
                <w:lang w:eastAsia="es-PE"/>
              </w:rPr>
            </w:pPr>
            <w:r w:rsidRPr="009D7896">
              <w:rPr>
                <w:rFonts w:ascii="Calibri" w:eastAsia="Times New Roman" w:hAnsi="Calibri" w:cs="Times New Roman"/>
                <w:b/>
                <w:bCs/>
                <w:color w:val="000000"/>
                <w:sz w:val="16"/>
                <w:szCs w:val="16"/>
                <w:lang w:eastAsia="es-PE"/>
              </w:rPr>
              <w:t>2017</w:t>
            </w:r>
          </w:p>
        </w:tc>
      </w:tr>
      <w:tr w:rsidR="00415ECB" w:rsidRPr="009D7896" w14:paraId="67A4A975" w14:textId="77777777" w:rsidTr="00857BCB">
        <w:trPr>
          <w:trHeight w:val="835"/>
        </w:trPr>
        <w:tc>
          <w:tcPr>
            <w:tcW w:w="394" w:type="dxa"/>
            <w:tcBorders>
              <w:top w:val="nil"/>
              <w:left w:val="single" w:sz="4" w:space="0" w:color="auto"/>
              <w:bottom w:val="single" w:sz="4" w:space="0" w:color="auto"/>
              <w:right w:val="single" w:sz="4" w:space="0" w:color="auto"/>
            </w:tcBorders>
            <w:shd w:val="clear" w:color="auto" w:fill="auto"/>
            <w:noWrap/>
            <w:hideMark/>
          </w:tcPr>
          <w:p w14:paraId="14BB5B0E" w14:textId="77777777" w:rsidR="009D7896" w:rsidRPr="00857BCB" w:rsidRDefault="009D7896" w:rsidP="007139D9">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1.1</w:t>
            </w:r>
          </w:p>
        </w:tc>
        <w:tc>
          <w:tcPr>
            <w:tcW w:w="1460" w:type="dxa"/>
            <w:tcBorders>
              <w:top w:val="nil"/>
              <w:left w:val="nil"/>
              <w:bottom w:val="single" w:sz="4" w:space="0" w:color="auto"/>
              <w:right w:val="single" w:sz="4" w:space="0" w:color="auto"/>
            </w:tcBorders>
            <w:shd w:val="clear" w:color="auto" w:fill="auto"/>
            <w:hideMark/>
          </w:tcPr>
          <w:p w14:paraId="72A0EC1F" w14:textId="77777777" w:rsidR="009D7896" w:rsidRPr="00857BCB" w:rsidRDefault="009D7896" w:rsidP="007139D9">
            <w:pPr>
              <w:spacing w:after="0" w:line="240" w:lineRule="auto"/>
              <w:rPr>
                <w:rFonts w:ascii="Calibri" w:eastAsia="Times New Roman" w:hAnsi="Calibri" w:cs="Times New Roman"/>
                <w:b/>
                <w:color w:val="000000"/>
                <w:sz w:val="20"/>
                <w:szCs w:val="20"/>
                <w:lang w:eastAsia="es-PE"/>
              </w:rPr>
            </w:pPr>
            <w:r w:rsidRPr="00857BCB">
              <w:rPr>
                <w:rFonts w:ascii="Calibri" w:eastAsia="Times New Roman" w:hAnsi="Calibri" w:cs="Times New Roman"/>
                <w:b/>
                <w:color w:val="000000"/>
                <w:sz w:val="20"/>
                <w:szCs w:val="20"/>
                <w:lang w:eastAsia="es-PE"/>
              </w:rPr>
              <w:t>Desarrollar la Gestión Descentralizada</w:t>
            </w:r>
          </w:p>
        </w:tc>
        <w:tc>
          <w:tcPr>
            <w:tcW w:w="1271" w:type="dxa"/>
            <w:tcBorders>
              <w:top w:val="nil"/>
              <w:left w:val="nil"/>
              <w:bottom w:val="single" w:sz="4" w:space="0" w:color="auto"/>
              <w:right w:val="single" w:sz="4" w:space="0" w:color="auto"/>
            </w:tcBorders>
            <w:shd w:val="clear" w:color="auto" w:fill="auto"/>
            <w:hideMark/>
          </w:tcPr>
          <w:p w14:paraId="6D7F8B55" w14:textId="626D6626" w:rsidR="009D7896" w:rsidRPr="00857BCB" w:rsidRDefault="009D7896" w:rsidP="007139D9">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 Aplicación de cuestionarios a ministerios, gobiernos regionales y sociedad civil en el marco del plan de supervisión de competencias (contratación de consultores y viaje a las regiones)</w:t>
            </w:r>
          </w:p>
        </w:tc>
        <w:tc>
          <w:tcPr>
            <w:tcW w:w="1271" w:type="dxa"/>
            <w:tcBorders>
              <w:top w:val="nil"/>
              <w:left w:val="nil"/>
              <w:bottom w:val="single" w:sz="4" w:space="0" w:color="auto"/>
              <w:right w:val="single" w:sz="4" w:space="0" w:color="auto"/>
            </w:tcBorders>
            <w:shd w:val="clear" w:color="auto" w:fill="auto"/>
            <w:hideMark/>
          </w:tcPr>
          <w:p w14:paraId="51112C92" w14:textId="65FB19F7" w:rsidR="009D7896" w:rsidRPr="00857BCB" w:rsidRDefault="009D7896" w:rsidP="007139D9">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 Aplicación de cuestionarios a ministerios, gobiernos regionales y sociedad civil en el marco del plan de supervisión de competencias (contratación de consultores y viaje a las regiones). Inducción de las Acciones de Mejora Continua.</w:t>
            </w:r>
          </w:p>
        </w:tc>
        <w:tc>
          <w:tcPr>
            <w:tcW w:w="2484" w:type="dxa"/>
            <w:tcBorders>
              <w:top w:val="nil"/>
              <w:left w:val="nil"/>
              <w:bottom w:val="single" w:sz="4" w:space="0" w:color="auto"/>
              <w:right w:val="single" w:sz="4" w:space="0" w:color="auto"/>
            </w:tcBorders>
            <w:shd w:val="clear" w:color="auto" w:fill="auto"/>
            <w:hideMark/>
          </w:tcPr>
          <w:p w14:paraId="1AE7BE13" w14:textId="49749E31" w:rsidR="009D7896" w:rsidRPr="00857BCB" w:rsidRDefault="009D7896" w:rsidP="007139D9">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 Aplicación de cuestionarios a ministerios, gobiernos regionales y sociedad civil en el marco del plan de supervisión de competencias (contratación de consultores y viaje a las regiones). Inducción de las Acciones de Mejora Continua.</w:t>
            </w:r>
            <w:r w:rsidRPr="00857BCB">
              <w:rPr>
                <w:rFonts w:ascii="Calibri" w:eastAsia="Times New Roman" w:hAnsi="Calibri" w:cs="Times New Roman"/>
                <w:color w:val="000000"/>
                <w:sz w:val="20"/>
                <w:szCs w:val="20"/>
                <w:lang w:eastAsia="es-PE"/>
              </w:rPr>
              <w:br/>
              <w:t>* Se organizó el taller "Lineamientos generales para la determinación e implementación de las Acciones de Mejora Continua de los servicios públicos" para los sectores y sus respectivas comisiones intergubernamentales.</w:t>
            </w:r>
            <w:r w:rsidRPr="00857BCB">
              <w:rPr>
                <w:rFonts w:ascii="Calibri" w:eastAsia="Times New Roman" w:hAnsi="Calibri" w:cs="Times New Roman"/>
                <w:color w:val="000000"/>
                <w:sz w:val="20"/>
                <w:szCs w:val="20"/>
                <w:lang w:eastAsia="es-PE"/>
              </w:rPr>
              <w:br/>
              <w:t>* Asesoría técnica de consultores contratados a los equipos de trabajo formado en siete ministerios.</w:t>
            </w:r>
          </w:p>
        </w:tc>
        <w:tc>
          <w:tcPr>
            <w:tcW w:w="1138" w:type="dxa"/>
            <w:tcBorders>
              <w:top w:val="nil"/>
              <w:left w:val="nil"/>
              <w:bottom w:val="single" w:sz="4" w:space="0" w:color="auto"/>
              <w:right w:val="single" w:sz="4" w:space="0" w:color="auto"/>
            </w:tcBorders>
            <w:shd w:val="clear" w:color="auto" w:fill="auto"/>
            <w:hideMark/>
          </w:tcPr>
          <w:p w14:paraId="47739AFF" w14:textId="556D5979" w:rsidR="009D7896" w:rsidRPr="00857BCB" w:rsidRDefault="009D7896" w:rsidP="007139D9">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 Diseño del sistema de seguimiento, monitoreo y evaluación de la gestión descentralizada de los servicios públicos</w:t>
            </w:r>
            <w:r w:rsidR="00D832C9" w:rsidRPr="00857BCB">
              <w:rPr>
                <w:rFonts w:ascii="Calibri" w:eastAsia="Times New Roman" w:hAnsi="Calibri" w:cs="Times New Roman"/>
                <w:color w:val="000000"/>
                <w:sz w:val="20"/>
                <w:szCs w:val="20"/>
                <w:lang w:eastAsia="es-PE"/>
              </w:rPr>
              <w:t xml:space="preserve"> (entró en rediseño con el cambio de gobierno)</w:t>
            </w:r>
            <w:r w:rsidR="001D6E59" w:rsidRPr="00857BCB">
              <w:rPr>
                <w:rFonts w:ascii="Calibri" w:eastAsia="Times New Roman" w:hAnsi="Calibri" w:cs="Times New Roman"/>
                <w:color w:val="000000"/>
                <w:sz w:val="20"/>
                <w:szCs w:val="20"/>
                <w:lang w:eastAsia="es-PE"/>
              </w:rPr>
              <w:t>.</w:t>
            </w:r>
          </w:p>
        </w:tc>
        <w:tc>
          <w:tcPr>
            <w:tcW w:w="1704" w:type="dxa"/>
            <w:tcBorders>
              <w:top w:val="nil"/>
              <w:left w:val="nil"/>
              <w:bottom w:val="single" w:sz="4" w:space="0" w:color="auto"/>
              <w:right w:val="single" w:sz="4" w:space="0" w:color="auto"/>
            </w:tcBorders>
            <w:shd w:val="clear" w:color="auto" w:fill="auto"/>
            <w:hideMark/>
          </w:tcPr>
          <w:p w14:paraId="029AC022" w14:textId="77777777" w:rsidR="009C504D" w:rsidRPr="00857BCB" w:rsidRDefault="009D7896" w:rsidP="007139D9">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 Institucionalización de GORE</w:t>
            </w:r>
            <w:r w:rsidR="00E43D3A" w:rsidRPr="00857BCB">
              <w:rPr>
                <w:rFonts w:ascii="Calibri" w:eastAsia="Times New Roman" w:hAnsi="Calibri" w:cs="Times New Roman"/>
                <w:color w:val="000000"/>
                <w:sz w:val="20"/>
                <w:szCs w:val="20"/>
                <w:lang w:eastAsia="es-PE"/>
              </w:rPr>
              <w:t xml:space="preserve">, con </w:t>
            </w:r>
            <w:r w:rsidR="00877887" w:rsidRPr="00857BCB">
              <w:rPr>
                <w:rFonts w:ascii="Calibri" w:eastAsia="Times New Roman" w:hAnsi="Calibri" w:cs="Times New Roman"/>
                <w:color w:val="000000"/>
                <w:sz w:val="20"/>
                <w:szCs w:val="20"/>
                <w:lang w:eastAsia="es-PE"/>
              </w:rPr>
              <w:t>asistencia</w:t>
            </w:r>
            <w:r w:rsidR="00E43D3A" w:rsidRPr="00857BCB">
              <w:rPr>
                <w:rFonts w:ascii="Calibri" w:eastAsia="Times New Roman" w:hAnsi="Calibri" w:cs="Times New Roman"/>
                <w:color w:val="000000"/>
                <w:sz w:val="20"/>
                <w:szCs w:val="20"/>
                <w:lang w:eastAsia="es-PE"/>
              </w:rPr>
              <w:t xml:space="preserve"> técnica</w:t>
            </w:r>
            <w:r w:rsidR="00877887" w:rsidRPr="00857BCB">
              <w:rPr>
                <w:rFonts w:ascii="Calibri" w:eastAsia="Times New Roman" w:hAnsi="Calibri" w:cs="Times New Roman"/>
                <w:color w:val="000000"/>
                <w:sz w:val="20"/>
                <w:szCs w:val="20"/>
                <w:lang w:eastAsia="es-PE"/>
              </w:rPr>
              <w:t xml:space="preserve"> y seguimiento </w:t>
            </w:r>
            <w:r w:rsidR="00627AD6" w:rsidRPr="00857BCB">
              <w:rPr>
                <w:rFonts w:ascii="Calibri" w:eastAsia="Times New Roman" w:hAnsi="Calibri" w:cs="Times New Roman"/>
                <w:color w:val="000000"/>
                <w:sz w:val="20"/>
                <w:szCs w:val="20"/>
                <w:lang w:eastAsia="es-PE"/>
              </w:rPr>
              <w:t xml:space="preserve">a los equipos técnicos </w:t>
            </w:r>
            <w:r w:rsidR="00415ECB" w:rsidRPr="00857BCB">
              <w:rPr>
                <w:rFonts w:ascii="Calibri" w:eastAsia="Times New Roman" w:hAnsi="Calibri" w:cs="Times New Roman"/>
                <w:color w:val="000000"/>
                <w:sz w:val="20"/>
                <w:szCs w:val="20"/>
                <w:lang w:eastAsia="es-PE"/>
              </w:rPr>
              <w:t>de los gobiernos regionales en los tema abordados durante los encuentros.</w:t>
            </w:r>
          </w:p>
          <w:p w14:paraId="72921444" w14:textId="77777777" w:rsidR="00893DB5" w:rsidRPr="00857BCB" w:rsidRDefault="009C504D" w:rsidP="007139D9">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*Ventanilla abierta para que los gobiernos subnacionales se informen sobre inversiones públicas.</w:t>
            </w:r>
          </w:p>
          <w:p w14:paraId="390DF60A" w14:textId="293D08A2" w:rsidR="009D7896" w:rsidRPr="00857BCB" w:rsidRDefault="00893DB5" w:rsidP="007139D9">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 Se han establecido agendas territoriales</w:t>
            </w:r>
            <w:r w:rsidR="000402AF" w:rsidRPr="00857BCB">
              <w:rPr>
                <w:rFonts w:ascii="Calibri" w:eastAsia="Times New Roman" w:hAnsi="Calibri" w:cs="Times New Roman"/>
                <w:color w:val="000000"/>
                <w:sz w:val="20"/>
                <w:szCs w:val="20"/>
                <w:lang w:eastAsia="es-PE"/>
              </w:rPr>
              <w:t xml:space="preserve"> con los gobiernos regionales.</w:t>
            </w:r>
            <w:r w:rsidR="00E43D3A" w:rsidRPr="00857BCB">
              <w:rPr>
                <w:rFonts w:ascii="Calibri" w:eastAsia="Times New Roman" w:hAnsi="Calibri" w:cs="Times New Roman"/>
                <w:color w:val="000000"/>
                <w:sz w:val="20"/>
                <w:szCs w:val="20"/>
                <w:lang w:eastAsia="es-PE"/>
              </w:rPr>
              <w:t xml:space="preserve"> </w:t>
            </w:r>
          </w:p>
        </w:tc>
      </w:tr>
    </w:tbl>
    <w:p w14:paraId="2E5014BF" w14:textId="6DF2F1DE" w:rsidR="00F7263F" w:rsidRDefault="00F7263F" w:rsidP="00F7263F">
      <w:pPr>
        <w:jc w:val="both"/>
      </w:pPr>
      <w:r w:rsidRPr="002F7E6E">
        <w:rPr>
          <w:sz w:val="20"/>
          <w:szCs w:val="20"/>
        </w:rPr>
        <w:lastRenderedPageBreak/>
        <w:t>Fuente</w:t>
      </w:r>
      <w:r w:rsidR="00515314" w:rsidRPr="002F7E6E">
        <w:rPr>
          <w:sz w:val="20"/>
          <w:szCs w:val="20"/>
        </w:rPr>
        <w:t>: Reportes</w:t>
      </w:r>
      <w:r w:rsidRPr="002F7E6E">
        <w:rPr>
          <w:sz w:val="20"/>
          <w:szCs w:val="20"/>
        </w:rPr>
        <w:t xml:space="preserve"> de la PCM a PNUD</w:t>
      </w:r>
    </w:p>
    <w:p w14:paraId="450670C2" w14:textId="5E6A996C" w:rsidR="0017332C" w:rsidRPr="00857BCB" w:rsidRDefault="00640061" w:rsidP="00E86E8A">
      <w:pPr>
        <w:jc w:val="both"/>
        <w:rPr>
          <w:sz w:val="24"/>
          <w:szCs w:val="24"/>
        </w:rPr>
      </w:pPr>
      <w:r w:rsidRPr="00857BCB">
        <w:rPr>
          <w:sz w:val="24"/>
          <w:szCs w:val="24"/>
        </w:rPr>
        <w:t>Como antesala a este cambio de enfoque, a</w:t>
      </w:r>
      <w:r w:rsidR="0017332C" w:rsidRPr="00857BCB">
        <w:rPr>
          <w:sz w:val="24"/>
          <w:szCs w:val="24"/>
        </w:rPr>
        <w:t xml:space="preserve"> fines de 2012 se aprueba </w:t>
      </w:r>
      <w:r w:rsidR="005171AC" w:rsidRPr="00857BCB">
        <w:rPr>
          <w:sz w:val="24"/>
          <w:szCs w:val="24"/>
        </w:rPr>
        <w:t>el “</w:t>
      </w:r>
      <w:r w:rsidR="004606CD" w:rsidRPr="00857BCB">
        <w:rPr>
          <w:sz w:val="24"/>
          <w:szCs w:val="24"/>
        </w:rPr>
        <w:t>Plan de Supervisión y Evaluación de las Competencias Sectoriales Transferidas a los Gobiernos Regionales y Locales, con Enfoque de Gestión Descentralizada de Servicios Públicos”</w:t>
      </w:r>
      <w:r w:rsidR="00E86E8A" w:rsidRPr="00857BCB">
        <w:rPr>
          <w:sz w:val="24"/>
          <w:szCs w:val="24"/>
        </w:rPr>
        <w:t xml:space="preserve"> (Resolución Ministerial </w:t>
      </w:r>
      <w:proofErr w:type="spellStart"/>
      <w:r w:rsidR="00E86E8A" w:rsidRPr="00857BCB">
        <w:rPr>
          <w:sz w:val="24"/>
          <w:szCs w:val="24"/>
        </w:rPr>
        <w:t>Nº</w:t>
      </w:r>
      <w:proofErr w:type="spellEnd"/>
      <w:r w:rsidR="00E86E8A" w:rsidRPr="00857BCB">
        <w:rPr>
          <w:sz w:val="24"/>
          <w:szCs w:val="24"/>
        </w:rPr>
        <w:t xml:space="preserve"> 335-2012-PCM)</w:t>
      </w:r>
      <w:r w:rsidR="00704436" w:rsidRPr="00857BCB">
        <w:rPr>
          <w:sz w:val="24"/>
          <w:szCs w:val="24"/>
        </w:rPr>
        <w:t xml:space="preserve"> cuyo objetivo era “evaluar el impacto del proceso de transferencia de</w:t>
      </w:r>
      <w:r w:rsidR="00CC4858" w:rsidRPr="00857BCB">
        <w:rPr>
          <w:sz w:val="24"/>
          <w:szCs w:val="24"/>
        </w:rPr>
        <w:t xml:space="preserve"> </w:t>
      </w:r>
      <w:r w:rsidR="00704436" w:rsidRPr="00857BCB">
        <w:rPr>
          <w:sz w:val="24"/>
          <w:szCs w:val="24"/>
        </w:rPr>
        <w:t>competencias del Gobierno Nacional a los Gobiernos</w:t>
      </w:r>
      <w:r w:rsidR="00CC4858" w:rsidRPr="00857BCB">
        <w:rPr>
          <w:sz w:val="24"/>
          <w:szCs w:val="24"/>
        </w:rPr>
        <w:t xml:space="preserve"> </w:t>
      </w:r>
      <w:r w:rsidR="00704436" w:rsidRPr="00857BCB">
        <w:rPr>
          <w:sz w:val="24"/>
          <w:szCs w:val="24"/>
        </w:rPr>
        <w:t>Regionales y Locales, en el marco del proceso de</w:t>
      </w:r>
      <w:r w:rsidR="00CC4858" w:rsidRPr="00857BCB">
        <w:rPr>
          <w:sz w:val="24"/>
          <w:szCs w:val="24"/>
        </w:rPr>
        <w:t xml:space="preserve"> </w:t>
      </w:r>
      <w:r w:rsidR="00704436" w:rsidRPr="00857BCB">
        <w:rPr>
          <w:sz w:val="24"/>
          <w:szCs w:val="24"/>
        </w:rPr>
        <w:t>descentralización, en la calidad de los servicios que</w:t>
      </w:r>
      <w:r w:rsidR="00CC4858" w:rsidRPr="00857BCB">
        <w:rPr>
          <w:sz w:val="24"/>
          <w:szCs w:val="24"/>
        </w:rPr>
        <w:t xml:space="preserve"> </w:t>
      </w:r>
      <w:r w:rsidR="00704436" w:rsidRPr="00857BCB">
        <w:rPr>
          <w:sz w:val="24"/>
          <w:szCs w:val="24"/>
        </w:rPr>
        <w:t>brinda el Estado a la ciudadanía, aplicando en el análisis</w:t>
      </w:r>
      <w:r w:rsidR="00CC4858" w:rsidRPr="00857BCB">
        <w:rPr>
          <w:sz w:val="24"/>
          <w:szCs w:val="24"/>
        </w:rPr>
        <w:t xml:space="preserve"> </w:t>
      </w:r>
      <w:r w:rsidR="00704436" w:rsidRPr="00857BCB">
        <w:rPr>
          <w:sz w:val="24"/>
          <w:szCs w:val="24"/>
        </w:rPr>
        <w:t>el enfoque de gestión descentralizada de los servicios</w:t>
      </w:r>
      <w:r w:rsidR="00CC4858" w:rsidRPr="00857BCB">
        <w:rPr>
          <w:sz w:val="24"/>
          <w:szCs w:val="24"/>
        </w:rPr>
        <w:t xml:space="preserve"> </w:t>
      </w:r>
      <w:r w:rsidR="00704436" w:rsidRPr="00857BCB">
        <w:rPr>
          <w:sz w:val="24"/>
          <w:szCs w:val="24"/>
        </w:rPr>
        <w:t>públicos</w:t>
      </w:r>
      <w:r w:rsidR="00AA2189" w:rsidRPr="00857BCB">
        <w:rPr>
          <w:sz w:val="24"/>
          <w:szCs w:val="24"/>
        </w:rPr>
        <w:t xml:space="preserve"> (…)”</w:t>
      </w:r>
      <w:r w:rsidR="005612B1" w:rsidRPr="00857BCB">
        <w:rPr>
          <w:sz w:val="24"/>
          <w:szCs w:val="24"/>
        </w:rPr>
        <w:t xml:space="preserve">. El plan incluía </w:t>
      </w:r>
      <w:r w:rsidR="0069620C" w:rsidRPr="00857BCB">
        <w:rPr>
          <w:sz w:val="24"/>
          <w:szCs w:val="24"/>
        </w:rPr>
        <w:t>la aplicación de cuestionarios que “considerarían preguntas relacionadas</w:t>
      </w:r>
      <w:r w:rsidR="00E14BE2" w:rsidRPr="00857BCB">
        <w:rPr>
          <w:sz w:val="24"/>
          <w:szCs w:val="24"/>
        </w:rPr>
        <w:t xml:space="preserve"> </w:t>
      </w:r>
      <w:r w:rsidR="0069620C" w:rsidRPr="00857BCB">
        <w:rPr>
          <w:sz w:val="24"/>
          <w:szCs w:val="24"/>
        </w:rPr>
        <w:t>tanto al ejercicio de las competencias transferidas como</w:t>
      </w:r>
      <w:r w:rsidR="00E14BE2" w:rsidRPr="00857BCB">
        <w:rPr>
          <w:sz w:val="24"/>
          <w:szCs w:val="24"/>
        </w:rPr>
        <w:t xml:space="preserve"> </w:t>
      </w:r>
      <w:r w:rsidR="0069620C" w:rsidRPr="00857BCB">
        <w:rPr>
          <w:sz w:val="24"/>
          <w:szCs w:val="24"/>
        </w:rPr>
        <w:t>a la gestión de los servicios públicos</w:t>
      </w:r>
      <w:r w:rsidR="00E14BE2" w:rsidRPr="00857BCB">
        <w:rPr>
          <w:sz w:val="24"/>
          <w:szCs w:val="24"/>
        </w:rPr>
        <w:t>”</w:t>
      </w:r>
      <w:r w:rsidR="006D2413" w:rsidRPr="00857BCB">
        <w:rPr>
          <w:rStyle w:val="FootnoteReference"/>
          <w:sz w:val="24"/>
          <w:szCs w:val="24"/>
        </w:rPr>
        <w:footnoteReference w:id="10"/>
      </w:r>
      <w:r w:rsidR="006D2413" w:rsidRPr="00857BCB">
        <w:rPr>
          <w:sz w:val="24"/>
          <w:szCs w:val="24"/>
        </w:rPr>
        <w:t>.</w:t>
      </w:r>
      <w:r w:rsidR="003772DF" w:rsidRPr="00857BCB">
        <w:rPr>
          <w:sz w:val="24"/>
          <w:szCs w:val="24"/>
        </w:rPr>
        <w:t xml:space="preserve"> Tras la evaluación de estos servicios, los gobiernos regionales y los entes rectores</w:t>
      </w:r>
      <w:r w:rsidR="0049208C" w:rsidRPr="00857BCB">
        <w:rPr>
          <w:sz w:val="24"/>
          <w:szCs w:val="24"/>
        </w:rPr>
        <w:t xml:space="preserve"> (sectores)</w:t>
      </w:r>
      <w:r w:rsidR="003772DF" w:rsidRPr="00857BCB">
        <w:rPr>
          <w:sz w:val="24"/>
          <w:szCs w:val="24"/>
        </w:rPr>
        <w:t xml:space="preserve"> elaborarían e implementarían </w:t>
      </w:r>
      <w:r w:rsidR="007139D9" w:rsidRPr="00857BCB">
        <w:rPr>
          <w:sz w:val="24"/>
          <w:szCs w:val="24"/>
        </w:rPr>
        <w:t>planes de</w:t>
      </w:r>
      <w:r w:rsidR="003772DF" w:rsidRPr="00857BCB">
        <w:rPr>
          <w:sz w:val="24"/>
          <w:szCs w:val="24"/>
        </w:rPr>
        <w:t xml:space="preserve"> “</w:t>
      </w:r>
      <w:r w:rsidR="005E75CF" w:rsidRPr="00857BCB">
        <w:rPr>
          <w:sz w:val="24"/>
          <w:szCs w:val="24"/>
        </w:rPr>
        <w:t xml:space="preserve">Acciones </w:t>
      </w:r>
      <w:r w:rsidR="003772DF" w:rsidRPr="00857BCB">
        <w:rPr>
          <w:sz w:val="24"/>
          <w:szCs w:val="24"/>
        </w:rPr>
        <w:t xml:space="preserve">de </w:t>
      </w:r>
      <w:r w:rsidR="005E75CF" w:rsidRPr="00857BCB">
        <w:rPr>
          <w:sz w:val="24"/>
          <w:szCs w:val="24"/>
        </w:rPr>
        <w:t>Mejora Continua</w:t>
      </w:r>
      <w:r w:rsidR="003772DF" w:rsidRPr="00857BCB">
        <w:rPr>
          <w:sz w:val="24"/>
          <w:szCs w:val="24"/>
        </w:rPr>
        <w:t>”</w:t>
      </w:r>
      <w:r w:rsidR="00F977AF" w:rsidRPr="00857BCB">
        <w:rPr>
          <w:sz w:val="24"/>
          <w:szCs w:val="24"/>
        </w:rPr>
        <w:t xml:space="preserve"> (AMC)</w:t>
      </w:r>
      <w:r w:rsidR="003772DF" w:rsidRPr="00857BCB">
        <w:rPr>
          <w:sz w:val="24"/>
          <w:szCs w:val="24"/>
        </w:rPr>
        <w:t>.</w:t>
      </w:r>
    </w:p>
    <w:p w14:paraId="71900B8A" w14:textId="426D6FFC" w:rsidR="00A454C2" w:rsidRPr="00857BCB" w:rsidRDefault="00A454C2" w:rsidP="00265FAA">
      <w:pPr>
        <w:jc w:val="both"/>
        <w:rPr>
          <w:sz w:val="24"/>
          <w:szCs w:val="24"/>
        </w:rPr>
      </w:pPr>
      <w:r w:rsidRPr="00857BCB">
        <w:rPr>
          <w:sz w:val="24"/>
          <w:szCs w:val="24"/>
        </w:rPr>
        <w:t xml:space="preserve">En 2013 los servicios evaluados fueron </w:t>
      </w:r>
      <w:r w:rsidR="005954BD" w:rsidRPr="00857BCB">
        <w:rPr>
          <w:sz w:val="24"/>
          <w:szCs w:val="24"/>
        </w:rPr>
        <w:t>e</w:t>
      </w:r>
      <w:r w:rsidRPr="00857BCB">
        <w:rPr>
          <w:sz w:val="24"/>
          <w:szCs w:val="24"/>
        </w:rPr>
        <w:t xml:space="preserve">ducación </w:t>
      </w:r>
      <w:r w:rsidR="00631F26" w:rsidRPr="00857BCB">
        <w:rPr>
          <w:sz w:val="24"/>
          <w:szCs w:val="24"/>
        </w:rPr>
        <w:t>i</w:t>
      </w:r>
      <w:r w:rsidRPr="00857BCB">
        <w:rPr>
          <w:sz w:val="24"/>
          <w:szCs w:val="24"/>
        </w:rPr>
        <w:t xml:space="preserve">nicial, atención primaria de la salud, titulación de tierras, aprovechamiento de recursos forestales, formalización de pequeña minería y minería artesanal. </w:t>
      </w:r>
      <w:r w:rsidR="00B37A68" w:rsidRPr="00857BCB">
        <w:rPr>
          <w:sz w:val="24"/>
          <w:szCs w:val="24"/>
        </w:rPr>
        <w:t xml:space="preserve">Para la determinación de las </w:t>
      </w:r>
      <w:r w:rsidR="001A1444" w:rsidRPr="00857BCB">
        <w:rPr>
          <w:sz w:val="24"/>
          <w:szCs w:val="24"/>
        </w:rPr>
        <w:t>AMC</w:t>
      </w:r>
      <w:r w:rsidR="00B37A68" w:rsidRPr="00857BCB">
        <w:rPr>
          <w:sz w:val="24"/>
          <w:szCs w:val="24"/>
        </w:rPr>
        <w:t xml:space="preserve">, el </w:t>
      </w:r>
      <w:r w:rsidR="00D63505" w:rsidRPr="00857BCB">
        <w:rPr>
          <w:sz w:val="24"/>
          <w:szCs w:val="24"/>
        </w:rPr>
        <w:t>22 de abril de 2014 se realizó el taller “Mejorando la Calidad de los Servicios Públicos Descentralizados – Identificación de Acciones de Mejora Continua”</w:t>
      </w:r>
      <w:r w:rsidR="00C60769" w:rsidRPr="00857BCB">
        <w:rPr>
          <w:sz w:val="24"/>
          <w:szCs w:val="24"/>
        </w:rPr>
        <w:t xml:space="preserve"> donde los entes rectores </w:t>
      </w:r>
      <w:r w:rsidR="00962543" w:rsidRPr="00857BCB">
        <w:rPr>
          <w:sz w:val="24"/>
          <w:szCs w:val="24"/>
        </w:rPr>
        <w:t>identificaron</w:t>
      </w:r>
      <w:r w:rsidR="00C60769" w:rsidRPr="00857BCB">
        <w:rPr>
          <w:sz w:val="24"/>
          <w:szCs w:val="24"/>
        </w:rPr>
        <w:t xml:space="preserve"> los problemas </w:t>
      </w:r>
      <w:r w:rsidR="00962543" w:rsidRPr="00857BCB">
        <w:rPr>
          <w:sz w:val="24"/>
          <w:szCs w:val="24"/>
        </w:rPr>
        <w:t>que aparecieron</w:t>
      </w:r>
      <w:r w:rsidR="00C60769" w:rsidRPr="00857BCB">
        <w:rPr>
          <w:sz w:val="24"/>
          <w:szCs w:val="24"/>
        </w:rPr>
        <w:t xml:space="preserve"> en la </w:t>
      </w:r>
      <w:r w:rsidR="007207C1" w:rsidRPr="00857BCB">
        <w:rPr>
          <w:sz w:val="24"/>
          <w:szCs w:val="24"/>
        </w:rPr>
        <w:t>evaluación</w:t>
      </w:r>
      <w:r w:rsidR="00C60769" w:rsidRPr="00857BCB">
        <w:rPr>
          <w:sz w:val="24"/>
          <w:szCs w:val="24"/>
        </w:rPr>
        <w:t xml:space="preserve"> de 2013. </w:t>
      </w:r>
    </w:p>
    <w:p w14:paraId="30A19BBA" w14:textId="7B6DED3C" w:rsidR="007616D3" w:rsidRPr="00857BCB" w:rsidRDefault="00A454C2" w:rsidP="00265FAA">
      <w:pPr>
        <w:jc w:val="both"/>
        <w:rPr>
          <w:sz w:val="24"/>
          <w:szCs w:val="24"/>
        </w:rPr>
      </w:pPr>
      <w:r w:rsidRPr="00857BCB">
        <w:rPr>
          <w:sz w:val="24"/>
          <w:szCs w:val="24"/>
        </w:rPr>
        <w:t>En 2014, los servicios evaluados fueron educación primaria, atención primaria de la salud</w:t>
      </w:r>
      <w:r w:rsidR="00E24A6F" w:rsidRPr="00857BCB">
        <w:rPr>
          <w:sz w:val="24"/>
          <w:szCs w:val="24"/>
        </w:rPr>
        <w:t xml:space="preserve"> (salud materno neonatal)</w:t>
      </w:r>
      <w:r w:rsidRPr="00857BCB">
        <w:rPr>
          <w:sz w:val="24"/>
          <w:szCs w:val="24"/>
        </w:rPr>
        <w:t>, promoción del empleo e igualdad de oportunidades, fomento y desarrollo de la pequeña y microempresa,</w:t>
      </w:r>
      <w:r w:rsidR="005954BD" w:rsidRPr="00857BCB">
        <w:rPr>
          <w:sz w:val="24"/>
          <w:szCs w:val="24"/>
        </w:rPr>
        <w:t xml:space="preserve"> y</w:t>
      </w:r>
      <w:r w:rsidRPr="00857BCB">
        <w:rPr>
          <w:sz w:val="24"/>
          <w:szCs w:val="24"/>
        </w:rPr>
        <w:t xml:space="preserve"> desarrollo integral de la familia. Los consultores contratados</w:t>
      </w:r>
      <w:r w:rsidR="00BA47FC" w:rsidRPr="00857BCB">
        <w:rPr>
          <w:sz w:val="24"/>
          <w:szCs w:val="24"/>
        </w:rPr>
        <w:t>, a la vez que aplica</w:t>
      </w:r>
      <w:r w:rsidR="00861120" w:rsidRPr="00857BCB">
        <w:rPr>
          <w:sz w:val="24"/>
          <w:szCs w:val="24"/>
        </w:rPr>
        <w:t>ro</w:t>
      </w:r>
      <w:r w:rsidR="00BA47FC" w:rsidRPr="00857BCB">
        <w:rPr>
          <w:sz w:val="24"/>
          <w:szCs w:val="24"/>
        </w:rPr>
        <w:t>n cuestionarios sobre estos servicios,</w:t>
      </w:r>
      <w:r w:rsidRPr="00857BCB">
        <w:rPr>
          <w:sz w:val="24"/>
          <w:szCs w:val="24"/>
        </w:rPr>
        <w:t xml:space="preserve"> también indujeron</w:t>
      </w:r>
      <w:r w:rsidR="00861120" w:rsidRPr="00857BCB">
        <w:rPr>
          <w:sz w:val="24"/>
          <w:szCs w:val="24"/>
        </w:rPr>
        <w:t xml:space="preserve"> a los gobiernos regionales a participar en la determinación </w:t>
      </w:r>
      <w:r w:rsidR="00542241" w:rsidRPr="00857BCB">
        <w:rPr>
          <w:sz w:val="24"/>
          <w:szCs w:val="24"/>
        </w:rPr>
        <w:t xml:space="preserve">e implementación </w:t>
      </w:r>
      <w:r w:rsidR="00861120" w:rsidRPr="00857BCB">
        <w:rPr>
          <w:sz w:val="24"/>
          <w:szCs w:val="24"/>
        </w:rPr>
        <w:t>de</w:t>
      </w:r>
      <w:r w:rsidRPr="00857BCB">
        <w:rPr>
          <w:sz w:val="24"/>
          <w:szCs w:val="24"/>
        </w:rPr>
        <w:t xml:space="preserve"> las AMC</w:t>
      </w:r>
      <w:r w:rsidR="00FA7865" w:rsidRPr="00857BCB">
        <w:rPr>
          <w:sz w:val="24"/>
          <w:szCs w:val="24"/>
        </w:rPr>
        <w:t xml:space="preserve"> </w:t>
      </w:r>
      <w:r w:rsidR="00861120" w:rsidRPr="00857BCB">
        <w:rPr>
          <w:sz w:val="24"/>
          <w:szCs w:val="24"/>
        </w:rPr>
        <w:t>coordinadas</w:t>
      </w:r>
      <w:r w:rsidRPr="00857BCB">
        <w:rPr>
          <w:sz w:val="24"/>
          <w:szCs w:val="24"/>
        </w:rPr>
        <w:t xml:space="preserve"> por cada ente rector (sectores)</w:t>
      </w:r>
      <w:r w:rsidR="00A24779" w:rsidRPr="00857BCB">
        <w:rPr>
          <w:sz w:val="24"/>
          <w:szCs w:val="24"/>
        </w:rPr>
        <w:t xml:space="preserve"> sobre los resultados obtenidos en las evaluaciones del año anterior</w:t>
      </w:r>
      <w:r w:rsidRPr="00857BCB">
        <w:rPr>
          <w:sz w:val="24"/>
          <w:szCs w:val="24"/>
        </w:rPr>
        <w:t>.</w:t>
      </w:r>
      <w:r w:rsidR="00EC2487" w:rsidRPr="00857BCB">
        <w:rPr>
          <w:sz w:val="24"/>
          <w:szCs w:val="24"/>
        </w:rPr>
        <w:t xml:space="preserve"> Este trabajo</w:t>
      </w:r>
      <w:r w:rsidR="009C4D49" w:rsidRPr="00857BCB">
        <w:rPr>
          <w:sz w:val="24"/>
          <w:szCs w:val="24"/>
        </w:rPr>
        <w:t xml:space="preserve"> de determinación e implementación</w:t>
      </w:r>
      <w:r w:rsidR="00EC2487" w:rsidRPr="00857BCB">
        <w:rPr>
          <w:sz w:val="24"/>
          <w:szCs w:val="24"/>
        </w:rPr>
        <w:t xml:space="preserve"> se daría en el seno de las “Comisiones Intergubernamentales Sectoriales”</w:t>
      </w:r>
      <w:r w:rsidR="007616D3" w:rsidRPr="00857BCB">
        <w:rPr>
          <w:sz w:val="24"/>
          <w:szCs w:val="24"/>
        </w:rPr>
        <w:t>.</w:t>
      </w:r>
      <w:r w:rsidR="006D2E80" w:rsidRPr="00857BCB">
        <w:rPr>
          <w:sz w:val="24"/>
          <w:szCs w:val="24"/>
        </w:rPr>
        <w:t xml:space="preserve"> Sin embargo,</w:t>
      </w:r>
      <w:r w:rsidR="00BC513E" w:rsidRPr="00857BCB">
        <w:rPr>
          <w:sz w:val="24"/>
          <w:szCs w:val="24"/>
        </w:rPr>
        <w:t xml:space="preserve"> para entonces</w:t>
      </w:r>
      <w:r w:rsidR="006D2E80" w:rsidRPr="00857BCB">
        <w:rPr>
          <w:sz w:val="24"/>
          <w:szCs w:val="24"/>
        </w:rPr>
        <w:t xml:space="preserve"> las Comisiones </w:t>
      </w:r>
      <w:r w:rsidR="00AD0DF2" w:rsidRPr="00857BCB">
        <w:rPr>
          <w:sz w:val="24"/>
          <w:szCs w:val="24"/>
        </w:rPr>
        <w:t>presenta</w:t>
      </w:r>
      <w:r w:rsidR="00826AE8" w:rsidRPr="00857BCB">
        <w:rPr>
          <w:sz w:val="24"/>
          <w:szCs w:val="24"/>
        </w:rPr>
        <w:t>ba</w:t>
      </w:r>
      <w:r w:rsidR="00AD0DF2" w:rsidRPr="00857BCB">
        <w:rPr>
          <w:sz w:val="24"/>
          <w:szCs w:val="24"/>
        </w:rPr>
        <w:t>n poca proactividad</w:t>
      </w:r>
      <w:r w:rsidR="009979CD" w:rsidRPr="00857BCB">
        <w:rPr>
          <w:sz w:val="24"/>
          <w:szCs w:val="24"/>
        </w:rPr>
        <w:t xml:space="preserve">: sólo cuatro de las trece </w:t>
      </w:r>
      <w:r w:rsidR="00B678AC" w:rsidRPr="00857BCB">
        <w:rPr>
          <w:sz w:val="24"/>
          <w:szCs w:val="24"/>
        </w:rPr>
        <w:t>establecidas</w:t>
      </w:r>
      <w:r w:rsidR="009979CD" w:rsidRPr="00857BCB">
        <w:rPr>
          <w:sz w:val="24"/>
          <w:szCs w:val="24"/>
        </w:rPr>
        <w:t xml:space="preserve"> se reunían periódicamente. </w:t>
      </w:r>
      <w:r w:rsidR="00B678AC" w:rsidRPr="00857BCB">
        <w:rPr>
          <w:sz w:val="24"/>
          <w:szCs w:val="24"/>
        </w:rPr>
        <w:t>Tres sectores ni siquiera las habían establecido</w:t>
      </w:r>
      <w:r w:rsidR="00B678AC" w:rsidRPr="00857BCB">
        <w:rPr>
          <w:rStyle w:val="FootnoteReference"/>
          <w:sz w:val="24"/>
          <w:szCs w:val="24"/>
        </w:rPr>
        <w:footnoteReference w:id="11"/>
      </w:r>
      <w:r w:rsidR="00B678AC" w:rsidRPr="00857BCB">
        <w:rPr>
          <w:sz w:val="24"/>
          <w:szCs w:val="24"/>
        </w:rPr>
        <w:t>.</w:t>
      </w:r>
    </w:p>
    <w:p w14:paraId="2B704470" w14:textId="104A0F07" w:rsidR="00A454C2" w:rsidRPr="00857BCB" w:rsidRDefault="007616D3" w:rsidP="00265FAA">
      <w:pPr>
        <w:jc w:val="both"/>
        <w:rPr>
          <w:sz w:val="24"/>
          <w:szCs w:val="24"/>
        </w:rPr>
      </w:pPr>
      <w:r w:rsidRPr="00857BCB">
        <w:rPr>
          <w:sz w:val="24"/>
          <w:szCs w:val="24"/>
        </w:rPr>
        <w:t>Sobe el papel de PCM en este proceso</w:t>
      </w:r>
      <w:r w:rsidR="00A454C2" w:rsidRPr="00857BCB">
        <w:rPr>
          <w:sz w:val="24"/>
          <w:szCs w:val="24"/>
        </w:rPr>
        <w:t xml:space="preserve">, la </w:t>
      </w:r>
      <w:r w:rsidR="00A24779" w:rsidRPr="00857BCB">
        <w:rPr>
          <w:sz w:val="24"/>
          <w:szCs w:val="24"/>
        </w:rPr>
        <w:t xml:space="preserve">extinta </w:t>
      </w:r>
      <w:r w:rsidR="00A454C2" w:rsidRPr="00857BCB">
        <w:rPr>
          <w:sz w:val="24"/>
          <w:szCs w:val="24"/>
        </w:rPr>
        <w:t>Oficina de Transferencia, Monitoreo y Evaluación de Competencias - OTME</w:t>
      </w:r>
      <w:r w:rsidR="00AE2D0F" w:rsidRPr="00857BCB">
        <w:rPr>
          <w:rStyle w:val="FootnoteReference"/>
          <w:sz w:val="24"/>
          <w:szCs w:val="24"/>
        </w:rPr>
        <w:footnoteReference w:id="12"/>
      </w:r>
      <w:r w:rsidR="00A454C2" w:rsidRPr="00857BCB">
        <w:rPr>
          <w:sz w:val="24"/>
          <w:szCs w:val="24"/>
        </w:rPr>
        <w:t xml:space="preserve"> tenía un rol facilitador</w:t>
      </w:r>
      <w:r w:rsidR="009553D8" w:rsidRPr="00857BCB">
        <w:rPr>
          <w:sz w:val="24"/>
          <w:szCs w:val="24"/>
        </w:rPr>
        <w:t xml:space="preserve">: </w:t>
      </w:r>
      <w:r w:rsidR="00A454C2" w:rsidRPr="00857BCB">
        <w:rPr>
          <w:sz w:val="24"/>
          <w:szCs w:val="24"/>
        </w:rPr>
        <w:t>organizaba talleres sobre el tema</w:t>
      </w:r>
      <w:r w:rsidR="00BA47FC" w:rsidRPr="00857BCB">
        <w:rPr>
          <w:sz w:val="24"/>
          <w:szCs w:val="24"/>
        </w:rPr>
        <w:t xml:space="preserve"> con los sectores</w:t>
      </w:r>
      <w:r w:rsidR="002851F1" w:rsidRPr="00857BCB">
        <w:rPr>
          <w:sz w:val="24"/>
          <w:szCs w:val="24"/>
        </w:rPr>
        <w:t xml:space="preserve"> y </w:t>
      </w:r>
      <w:r w:rsidR="00A24779" w:rsidRPr="00857BCB">
        <w:rPr>
          <w:sz w:val="24"/>
          <w:szCs w:val="24"/>
        </w:rPr>
        <w:t>elaboraba las</w:t>
      </w:r>
      <w:r w:rsidR="00A454C2" w:rsidRPr="00857BCB">
        <w:rPr>
          <w:sz w:val="24"/>
          <w:szCs w:val="24"/>
        </w:rPr>
        <w:t xml:space="preserve"> actas de compromiso</w:t>
      </w:r>
      <w:r w:rsidR="00A24779" w:rsidRPr="00857BCB">
        <w:rPr>
          <w:sz w:val="24"/>
          <w:szCs w:val="24"/>
        </w:rPr>
        <w:t xml:space="preserve"> que debían firmar</w:t>
      </w:r>
      <w:r w:rsidR="00A454C2" w:rsidRPr="00857BCB">
        <w:rPr>
          <w:sz w:val="24"/>
          <w:szCs w:val="24"/>
        </w:rPr>
        <w:t xml:space="preserve"> los GR</w:t>
      </w:r>
      <w:r w:rsidR="00A24779" w:rsidRPr="00857BCB">
        <w:rPr>
          <w:sz w:val="24"/>
          <w:szCs w:val="24"/>
        </w:rPr>
        <w:t xml:space="preserve"> para implementar las AMC</w:t>
      </w:r>
      <w:r w:rsidR="002851F1" w:rsidRPr="00857BCB">
        <w:rPr>
          <w:sz w:val="24"/>
          <w:szCs w:val="24"/>
        </w:rPr>
        <w:t>.</w:t>
      </w:r>
      <w:r w:rsidR="00B95B3D" w:rsidRPr="00857BCB">
        <w:rPr>
          <w:sz w:val="24"/>
          <w:szCs w:val="24"/>
        </w:rPr>
        <w:t xml:space="preserve"> El protagonismo, no obstante, estaba en manos de los sectores.</w:t>
      </w:r>
      <w:r w:rsidR="00A24779" w:rsidRPr="00857BCB">
        <w:rPr>
          <w:sz w:val="24"/>
          <w:szCs w:val="24"/>
        </w:rPr>
        <w:t xml:space="preserve"> Algunos </w:t>
      </w:r>
      <w:r w:rsidR="009553D8" w:rsidRPr="00857BCB">
        <w:rPr>
          <w:sz w:val="24"/>
          <w:szCs w:val="24"/>
        </w:rPr>
        <w:t>mostraban más avances que otros en este aspecto:</w:t>
      </w:r>
      <w:r w:rsidR="00A24779" w:rsidRPr="00857BCB">
        <w:rPr>
          <w:sz w:val="24"/>
          <w:szCs w:val="24"/>
        </w:rPr>
        <w:t xml:space="preserve"> </w:t>
      </w:r>
      <w:r w:rsidR="009553D8" w:rsidRPr="00857BCB">
        <w:rPr>
          <w:sz w:val="24"/>
          <w:szCs w:val="24"/>
        </w:rPr>
        <w:t xml:space="preserve">en </w:t>
      </w:r>
      <w:r w:rsidR="00A24779" w:rsidRPr="00857BCB">
        <w:rPr>
          <w:sz w:val="24"/>
          <w:szCs w:val="24"/>
        </w:rPr>
        <w:t>el caso del Ministerio de Salud, según lo referido durante el año 2015 por el consultor</w:t>
      </w:r>
      <w:r w:rsidR="000825AD" w:rsidRPr="00857BCB">
        <w:rPr>
          <w:sz w:val="24"/>
          <w:szCs w:val="24"/>
        </w:rPr>
        <w:t xml:space="preserve"> Quispe</w:t>
      </w:r>
      <w:r w:rsidR="00A24779" w:rsidRPr="00857BCB">
        <w:rPr>
          <w:sz w:val="24"/>
          <w:szCs w:val="24"/>
        </w:rPr>
        <w:t xml:space="preserve"> </w:t>
      </w:r>
      <w:r w:rsidR="002D6BFB" w:rsidRPr="00857BCB">
        <w:rPr>
          <w:sz w:val="24"/>
          <w:szCs w:val="24"/>
        </w:rPr>
        <w:t>Cajas</w:t>
      </w:r>
      <w:r w:rsidR="009553D8" w:rsidRPr="00857BCB">
        <w:rPr>
          <w:sz w:val="24"/>
          <w:szCs w:val="24"/>
        </w:rPr>
        <w:t xml:space="preserve">, </w:t>
      </w:r>
      <w:r w:rsidR="00AF576E" w:rsidRPr="00857BCB">
        <w:rPr>
          <w:sz w:val="24"/>
          <w:szCs w:val="24"/>
        </w:rPr>
        <w:t xml:space="preserve">el MINSA no </w:t>
      </w:r>
      <w:r w:rsidR="00B95B3D" w:rsidRPr="00857BCB">
        <w:rPr>
          <w:sz w:val="24"/>
          <w:szCs w:val="24"/>
        </w:rPr>
        <w:t>hizo ningún avance</w:t>
      </w:r>
      <w:r w:rsidR="004C33D9" w:rsidRPr="00857BCB">
        <w:rPr>
          <w:sz w:val="24"/>
          <w:szCs w:val="24"/>
        </w:rPr>
        <w:t xml:space="preserve"> con el argumento de que </w:t>
      </w:r>
      <w:r w:rsidR="0091634E" w:rsidRPr="00857BCB">
        <w:rPr>
          <w:sz w:val="24"/>
          <w:szCs w:val="24"/>
        </w:rPr>
        <w:t xml:space="preserve">su presupuesto por </w:t>
      </w:r>
      <w:r w:rsidR="0091634E" w:rsidRPr="00857BCB">
        <w:rPr>
          <w:sz w:val="24"/>
          <w:szCs w:val="24"/>
        </w:rPr>
        <w:lastRenderedPageBreak/>
        <w:t>resultados</w:t>
      </w:r>
      <w:r w:rsidR="007710EB" w:rsidRPr="00857BCB">
        <w:rPr>
          <w:sz w:val="24"/>
          <w:szCs w:val="24"/>
        </w:rPr>
        <w:t xml:space="preserve"> (PPR)</w:t>
      </w:r>
      <w:r w:rsidR="004C33D9" w:rsidRPr="00857BCB">
        <w:rPr>
          <w:sz w:val="24"/>
          <w:szCs w:val="24"/>
        </w:rPr>
        <w:t xml:space="preserve"> ya incluía acciones de mejora continua; mientras que el Ministerio de Trabajo avanzó sustancialmente en este aspecto</w:t>
      </w:r>
      <w:r w:rsidR="00C03304" w:rsidRPr="00857BCB">
        <w:rPr>
          <w:sz w:val="24"/>
          <w:szCs w:val="24"/>
        </w:rPr>
        <w:t xml:space="preserve"> aunque sus AMC presentaban </w:t>
      </w:r>
      <w:r w:rsidR="002B585B" w:rsidRPr="00857BCB">
        <w:rPr>
          <w:sz w:val="24"/>
          <w:szCs w:val="24"/>
        </w:rPr>
        <w:t>problemas (no tenían carácter propositivo</w:t>
      </w:r>
      <w:r w:rsidR="003025C4" w:rsidRPr="00857BCB">
        <w:rPr>
          <w:sz w:val="24"/>
          <w:szCs w:val="24"/>
        </w:rPr>
        <w:t>,</w:t>
      </w:r>
      <w:r w:rsidR="00311AAD" w:rsidRPr="00857BCB">
        <w:rPr>
          <w:sz w:val="24"/>
          <w:szCs w:val="24"/>
        </w:rPr>
        <w:t xml:space="preserve"> </w:t>
      </w:r>
      <w:r w:rsidR="003025C4" w:rsidRPr="00857BCB">
        <w:rPr>
          <w:sz w:val="24"/>
          <w:szCs w:val="24"/>
        </w:rPr>
        <w:t>no se correspondían</w:t>
      </w:r>
      <w:r w:rsidR="001202D4" w:rsidRPr="00857BCB">
        <w:rPr>
          <w:sz w:val="24"/>
          <w:szCs w:val="24"/>
        </w:rPr>
        <w:t xml:space="preserve"> con los problemas identificados</w:t>
      </w:r>
      <w:r w:rsidR="003025C4" w:rsidRPr="00857BCB">
        <w:rPr>
          <w:sz w:val="24"/>
          <w:szCs w:val="24"/>
        </w:rPr>
        <w:t xml:space="preserve"> durante la evaluación ni tampoco con</w:t>
      </w:r>
      <w:r w:rsidR="001202D4" w:rsidRPr="00857BCB">
        <w:rPr>
          <w:sz w:val="24"/>
          <w:szCs w:val="24"/>
        </w:rPr>
        <w:t xml:space="preserve"> la cadena de valor</w:t>
      </w:r>
      <w:r w:rsidR="003025C4" w:rsidRPr="00857BCB">
        <w:rPr>
          <w:sz w:val="24"/>
          <w:szCs w:val="24"/>
        </w:rPr>
        <w:t xml:space="preserve"> identificada en el diseño</w:t>
      </w:r>
      <w:r w:rsidR="001202D4" w:rsidRPr="00857BCB">
        <w:rPr>
          <w:sz w:val="24"/>
          <w:szCs w:val="24"/>
        </w:rPr>
        <w:t>)</w:t>
      </w:r>
      <w:r w:rsidR="001202D4" w:rsidRPr="00857BCB">
        <w:rPr>
          <w:rStyle w:val="FootnoteReference"/>
          <w:sz w:val="24"/>
          <w:szCs w:val="24"/>
        </w:rPr>
        <w:footnoteReference w:id="13"/>
      </w:r>
      <w:r w:rsidR="00A24779" w:rsidRPr="00857BCB">
        <w:rPr>
          <w:sz w:val="24"/>
          <w:szCs w:val="24"/>
        </w:rPr>
        <w:t>.</w:t>
      </w:r>
      <w:r w:rsidR="00AE2D0F" w:rsidRPr="00857BCB">
        <w:rPr>
          <w:sz w:val="24"/>
          <w:szCs w:val="24"/>
        </w:rPr>
        <w:t xml:space="preserve"> </w:t>
      </w:r>
    </w:p>
    <w:p w14:paraId="328BCE1D" w14:textId="00E44429" w:rsidR="00681F2B" w:rsidRPr="00857BCB" w:rsidRDefault="007139D9" w:rsidP="00265FAA">
      <w:pPr>
        <w:jc w:val="both"/>
        <w:rPr>
          <w:sz w:val="24"/>
          <w:szCs w:val="24"/>
        </w:rPr>
      </w:pPr>
      <w:r w:rsidRPr="00857BCB">
        <w:rPr>
          <w:sz w:val="24"/>
          <w:szCs w:val="24"/>
        </w:rPr>
        <w:t>P</w:t>
      </w:r>
      <w:r w:rsidR="004C33D9" w:rsidRPr="00857BCB">
        <w:rPr>
          <w:sz w:val="24"/>
          <w:szCs w:val="24"/>
        </w:rPr>
        <w:t xml:space="preserve">arte de la tarea de los consultores </w:t>
      </w:r>
      <w:r w:rsidRPr="00857BCB">
        <w:rPr>
          <w:sz w:val="24"/>
          <w:szCs w:val="24"/>
        </w:rPr>
        <w:t xml:space="preserve">de la SD contratados </w:t>
      </w:r>
      <w:r w:rsidR="0094558D" w:rsidRPr="00857BCB">
        <w:rPr>
          <w:sz w:val="24"/>
          <w:szCs w:val="24"/>
        </w:rPr>
        <w:t>a través del proyecto</w:t>
      </w:r>
      <w:r w:rsidR="0046402D" w:rsidRPr="00857BCB">
        <w:rPr>
          <w:sz w:val="24"/>
          <w:szCs w:val="24"/>
        </w:rPr>
        <w:t xml:space="preserve"> </w:t>
      </w:r>
      <w:r w:rsidR="004C33D9" w:rsidRPr="00857BCB">
        <w:rPr>
          <w:sz w:val="24"/>
          <w:szCs w:val="24"/>
        </w:rPr>
        <w:t>en las regiones era la aplicación de encuestas a sociedad civil. Sin embargo, el diseño metodológico de las encuestas no permite tomar sus datos como probabilísticos</w:t>
      </w:r>
      <w:r w:rsidR="002422B8" w:rsidRPr="00857BCB">
        <w:rPr>
          <w:sz w:val="24"/>
          <w:szCs w:val="24"/>
        </w:rPr>
        <w:t>:</w:t>
      </w:r>
      <w:r w:rsidR="008647AD" w:rsidRPr="00857BCB">
        <w:rPr>
          <w:sz w:val="24"/>
          <w:szCs w:val="24"/>
        </w:rPr>
        <w:t xml:space="preserve"> además de </w:t>
      </w:r>
      <w:r w:rsidR="00DA2EC1" w:rsidRPr="00857BCB">
        <w:rPr>
          <w:sz w:val="24"/>
          <w:szCs w:val="24"/>
        </w:rPr>
        <w:t xml:space="preserve">limitadas </w:t>
      </w:r>
      <w:r w:rsidR="008647AD" w:rsidRPr="00857BCB">
        <w:rPr>
          <w:sz w:val="24"/>
          <w:szCs w:val="24"/>
        </w:rPr>
        <w:t xml:space="preserve">en número (se </w:t>
      </w:r>
      <w:r w:rsidR="00B71672" w:rsidRPr="00857BCB">
        <w:rPr>
          <w:sz w:val="24"/>
          <w:szCs w:val="24"/>
        </w:rPr>
        <w:t>pedía</w:t>
      </w:r>
      <w:r w:rsidR="008647AD" w:rsidRPr="00857BCB">
        <w:rPr>
          <w:sz w:val="24"/>
          <w:szCs w:val="24"/>
        </w:rPr>
        <w:t xml:space="preserve"> un mínimo de cincuenta personas</w:t>
      </w:r>
      <w:r w:rsidR="00DA2EC1" w:rsidRPr="00857BCB">
        <w:rPr>
          <w:sz w:val="24"/>
          <w:szCs w:val="24"/>
        </w:rPr>
        <w:t xml:space="preserve"> encuestadas</w:t>
      </w:r>
      <w:r w:rsidR="008647AD" w:rsidRPr="00857BCB">
        <w:rPr>
          <w:sz w:val="24"/>
          <w:szCs w:val="24"/>
        </w:rPr>
        <w:t>),</w:t>
      </w:r>
      <w:r w:rsidR="002422B8" w:rsidRPr="00857BCB">
        <w:rPr>
          <w:sz w:val="24"/>
          <w:szCs w:val="24"/>
        </w:rPr>
        <w:t xml:space="preserve"> </w:t>
      </w:r>
      <w:r w:rsidR="007D7760" w:rsidRPr="00857BCB">
        <w:rPr>
          <w:sz w:val="24"/>
          <w:szCs w:val="24"/>
        </w:rPr>
        <w:t>todos los consultores usaron</w:t>
      </w:r>
      <w:r w:rsidR="002422B8" w:rsidRPr="00857BCB">
        <w:rPr>
          <w:sz w:val="24"/>
          <w:szCs w:val="24"/>
        </w:rPr>
        <w:t xml:space="preserve"> un muestreo </w:t>
      </w:r>
      <w:r w:rsidR="007D7760" w:rsidRPr="00857BCB">
        <w:rPr>
          <w:sz w:val="24"/>
          <w:szCs w:val="24"/>
        </w:rPr>
        <w:t>basado en la accesibilidad de la información antes que en su posible representatividad</w:t>
      </w:r>
      <w:r w:rsidR="00E90EB6" w:rsidRPr="00857BCB">
        <w:rPr>
          <w:rStyle w:val="FootnoteReference"/>
          <w:sz w:val="24"/>
          <w:szCs w:val="24"/>
        </w:rPr>
        <w:footnoteReference w:id="14"/>
      </w:r>
      <w:r w:rsidR="00E90EB6" w:rsidRPr="00857BCB">
        <w:rPr>
          <w:sz w:val="24"/>
          <w:szCs w:val="24"/>
        </w:rPr>
        <w:t>.</w:t>
      </w:r>
    </w:p>
    <w:p w14:paraId="17C1E045" w14:textId="23537991" w:rsidR="00D6407A" w:rsidRPr="00857BCB" w:rsidRDefault="00A454C2" w:rsidP="00265FAA">
      <w:pPr>
        <w:jc w:val="both"/>
        <w:rPr>
          <w:sz w:val="24"/>
          <w:szCs w:val="24"/>
        </w:rPr>
      </w:pPr>
      <w:r w:rsidRPr="00857BCB">
        <w:rPr>
          <w:sz w:val="24"/>
          <w:szCs w:val="24"/>
        </w:rPr>
        <w:t>En 2015, los servicios evaluados fueron educación secundaria, calidad, acceso y eficiencia a los servicios de salud a nivel hospitalario - hospitales regionales y promoción y desarrollo de la pesca artesanal y de la acuicultura.</w:t>
      </w:r>
      <w:r w:rsidR="00B155DE" w:rsidRPr="00857BCB">
        <w:rPr>
          <w:sz w:val="24"/>
          <w:szCs w:val="24"/>
        </w:rPr>
        <w:t xml:space="preserve"> También hubo </w:t>
      </w:r>
      <w:r w:rsidR="007D7760" w:rsidRPr="00857BCB">
        <w:rPr>
          <w:sz w:val="24"/>
          <w:szCs w:val="24"/>
        </w:rPr>
        <w:t>el</w:t>
      </w:r>
      <w:r w:rsidR="00B155DE" w:rsidRPr="00857BCB">
        <w:rPr>
          <w:sz w:val="24"/>
          <w:szCs w:val="24"/>
        </w:rPr>
        <w:t xml:space="preserve"> proceso de inducción a los gobiernos regionales.</w:t>
      </w:r>
      <w:r w:rsidR="00ED5B6B" w:rsidRPr="00857BCB">
        <w:rPr>
          <w:sz w:val="24"/>
          <w:szCs w:val="24"/>
        </w:rPr>
        <w:t xml:space="preserve"> </w:t>
      </w:r>
      <w:r w:rsidR="00907BD5" w:rsidRPr="00857BCB">
        <w:rPr>
          <w:sz w:val="24"/>
          <w:szCs w:val="24"/>
        </w:rPr>
        <w:t>En mayo de este año</w:t>
      </w:r>
      <w:r w:rsidR="001226AA" w:rsidRPr="00857BCB">
        <w:rPr>
          <w:sz w:val="24"/>
          <w:szCs w:val="24"/>
        </w:rPr>
        <w:t xml:space="preserve"> se aprobó </w:t>
      </w:r>
      <w:r w:rsidR="000F2219" w:rsidRPr="00857BCB">
        <w:rPr>
          <w:sz w:val="24"/>
          <w:szCs w:val="24"/>
        </w:rPr>
        <w:t xml:space="preserve">la Resolución 009-2015-PCM/SD por la cual se </w:t>
      </w:r>
      <w:r w:rsidR="004402D7" w:rsidRPr="00857BCB">
        <w:rPr>
          <w:sz w:val="24"/>
          <w:szCs w:val="24"/>
        </w:rPr>
        <w:t>aprobaron los lineamientos generales para la determinación e implementación de Acciones de Mejora Continua de los Servicios Públicos.</w:t>
      </w:r>
      <w:r w:rsidR="00623467" w:rsidRPr="00857BCB">
        <w:rPr>
          <w:sz w:val="24"/>
          <w:szCs w:val="24"/>
        </w:rPr>
        <w:t xml:space="preserve"> Según estos lineamientos, el ciclo</w:t>
      </w:r>
      <w:r w:rsidR="00D6407A" w:rsidRPr="00857BCB">
        <w:rPr>
          <w:sz w:val="24"/>
          <w:szCs w:val="24"/>
        </w:rPr>
        <w:t xml:space="preserve"> </w:t>
      </w:r>
      <w:r w:rsidR="00623467" w:rsidRPr="00857BCB">
        <w:rPr>
          <w:sz w:val="24"/>
          <w:szCs w:val="24"/>
        </w:rPr>
        <w:t>de las AMC incluiría</w:t>
      </w:r>
      <w:r w:rsidR="00D6407A" w:rsidRPr="00857BCB">
        <w:rPr>
          <w:sz w:val="24"/>
          <w:szCs w:val="24"/>
        </w:rPr>
        <w:t xml:space="preserve"> </w:t>
      </w:r>
      <w:r w:rsidR="00FE1D85" w:rsidRPr="00857BCB">
        <w:rPr>
          <w:sz w:val="24"/>
          <w:szCs w:val="24"/>
        </w:rPr>
        <w:t>nueve</w:t>
      </w:r>
      <w:r w:rsidR="00D6407A" w:rsidRPr="00857BCB">
        <w:rPr>
          <w:sz w:val="24"/>
          <w:szCs w:val="24"/>
        </w:rPr>
        <w:t xml:space="preserve"> fases:</w:t>
      </w:r>
    </w:p>
    <w:p w14:paraId="0225524D" w14:textId="79791330" w:rsidR="004A4040" w:rsidRPr="00857BCB" w:rsidRDefault="004A4040" w:rsidP="006C7872">
      <w:pPr>
        <w:pStyle w:val="ListParagraph"/>
        <w:numPr>
          <w:ilvl w:val="0"/>
          <w:numId w:val="13"/>
        </w:numPr>
        <w:ind w:left="357" w:hanging="357"/>
        <w:jc w:val="both"/>
        <w:rPr>
          <w:sz w:val="24"/>
          <w:szCs w:val="24"/>
        </w:rPr>
      </w:pPr>
      <w:r w:rsidRPr="00857BCB">
        <w:rPr>
          <w:sz w:val="24"/>
          <w:szCs w:val="24"/>
          <w:u w:val="single"/>
        </w:rPr>
        <w:t>Difusión</w:t>
      </w:r>
      <w:r w:rsidRPr="00857BCB">
        <w:rPr>
          <w:sz w:val="24"/>
          <w:szCs w:val="24"/>
        </w:rPr>
        <w:t>: por la cual la SD difundía los hallazgos de las evaluaciones con los sectores</w:t>
      </w:r>
      <w:r w:rsidR="008813E5" w:rsidRPr="00857BCB">
        <w:rPr>
          <w:sz w:val="24"/>
          <w:szCs w:val="24"/>
        </w:rPr>
        <w:t>.</w:t>
      </w:r>
    </w:p>
    <w:p w14:paraId="39A76521" w14:textId="612FC72D" w:rsidR="004A4040" w:rsidRPr="00857BCB" w:rsidRDefault="006E3362" w:rsidP="006C7872">
      <w:pPr>
        <w:pStyle w:val="ListParagraph"/>
        <w:numPr>
          <w:ilvl w:val="0"/>
          <w:numId w:val="13"/>
        </w:numPr>
        <w:ind w:left="357" w:hanging="357"/>
        <w:jc w:val="both"/>
        <w:rPr>
          <w:sz w:val="24"/>
          <w:szCs w:val="24"/>
        </w:rPr>
      </w:pPr>
      <w:r w:rsidRPr="00857BCB">
        <w:rPr>
          <w:sz w:val="24"/>
          <w:szCs w:val="24"/>
          <w:u w:val="single"/>
        </w:rPr>
        <w:t>Organización</w:t>
      </w:r>
      <w:r w:rsidRPr="00857BCB">
        <w:rPr>
          <w:sz w:val="24"/>
          <w:szCs w:val="24"/>
        </w:rPr>
        <w:t xml:space="preserve">: </w:t>
      </w:r>
      <w:r w:rsidR="00933B9C" w:rsidRPr="00857BCB">
        <w:rPr>
          <w:sz w:val="24"/>
          <w:szCs w:val="24"/>
        </w:rPr>
        <w:t>los sectores convocaban la conformación de equipos de trabajo</w:t>
      </w:r>
      <w:r w:rsidR="008813E5" w:rsidRPr="00857BCB">
        <w:rPr>
          <w:sz w:val="24"/>
          <w:szCs w:val="24"/>
        </w:rPr>
        <w:t>.</w:t>
      </w:r>
    </w:p>
    <w:p w14:paraId="446566BC" w14:textId="5F158AFE" w:rsidR="00933B9C" w:rsidRPr="00857BCB" w:rsidRDefault="00D74ACF" w:rsidP="006C7872">
      <w:pPr>
        <w:pStyle w:val="ListParagraph"/>
        <w:numPr>
          <w:ilvl w:val="0"/>
          <w:numId w:val="13"/>
        </w:numPr>
        <w:ind w:left="357" w:hanging="357"/>
        <w:jc w:val="both"/>
        <w:rPr>
          <w:sz w:val="24"/>
          <w:szCs w:val="24"/>
        </w:rPr>
      </w:pPr>
      <w:r w:rsidRPr="00857BCB">
        <w:rPr>
          <w:sz w:val="24"/>
          <w:szCs w:val="24"/>
          <w:u w:val="single"/>
        </w:rPr>
        <w:t>Diseño</w:t>
      </w:r>
      <w:r w:rsidRPr="00857BCB">
        <w:rPr>
          <w:sz w:val="24"/>
          <w:szCs w:val="24"/>
        </w:rPr>
        <w:t xml:space="preserve">: los </w:t>
      </w:r>
      <w:r w:rsidR="004F08C8" w:rsidRPr="00857BCB">
        <w:rPr>
          <w:sz w:val="24"/>
          <w:szCs w:val="24"/>
        </w:rPr>
        <w:t>equipos de trabajo</w:t>
      </w:r>
      <w:r w:rsidRPr="00857BCB">
        <w:rPr>
          <w:sz w:val="24"/>
          <w:szCs w:val="24"/>
        </w:rPr>
        <w:t xml:space="preserve"> </w:t>
      </w:r>
      <w:r w:rsidR="00F01FFC" w:rsidRPr="00857BCB">
        <w:rPr>
          <w:sz w:val="24"/>
          <w:szCs w:val="24"/>
        </w:rPr>
        <w:t>elabora</w:t>
      </w:r>
      <w:r w:rsidR="004F08C8" w:rsidRPr="00857BCB">
        <w:rPr>
          <w:sz w:val="24"/>
          <w:szCs w:val="24"/>
        </w:rPr>
        <w:t>b</w:t>
      </w:r>
      <w:r w:rsidR="00F01FFC" w:rsidRPr="00857BCB">
        <w:rPr>
          <w:sz w:val="24"/>
          <w:szCs w:val="24"/>
        </w:rPr>
        <w:t>an AMC</w:t>
      </w:r>
      <w:r w:rsidR="0013594E" w:rsidRPr="00857BCB">
        <w:rPr>
          <w:sz w:val="24"/>
          <w:szCs w:val="24"/>
        </w:rPr>
        <w:t xml:space="preserve"> identificando problemas, estableciendo un análisis causal, desarrollando alternativas de solución al corto, largo y mediano plazo</w:t>
      </w:r>
      <w:r w:rsidR="008813E5" w:rsidRPr="00857BCB">
        <w:rPr>
          <w:sz w:val="24"/>
          <w:szCs w:val="24"/>
        </w:rPr>
        <w:t>. Posteriormente s</w:t>
      </w:r>
      <w:r w:rsidR="00E31068" w:rsidRPr="00857BCB">
        <w:rPr>
          <w:sz w:val="24"/>
          <w:szCs w:val="24"/>
        </w:rPr>
        <w:t>elecci</w:t>
      </w:r>
      <w:r w:rsidR="008813E5" w:rsidRPr="00857BCB">
        <w:rPr>
          <w:sz w:val="24"/>
          <w:szCs w:val="24"/>
        </w:rPr>
        <w:t>onaban</w:t>
      </w:r>
      <w:r w:rsidR="00E31068" w:rsidRPr="00857BCB">
        <w:rPr>
          <w:sz w:val="24"/>
          <w:szCs w:val="24"/>
        </w:rPr>
        <w:t xml:space="preserve"> las soluciones a corto plazo para priorizar</w:t>
      </w:r>
      <w:r w:rsidR="00913C7C" w:rsidRPr="00857BCB">
        <w:rPr>
          <w:sz w:val="24"/>
          <w:szCs w:val="24"/>
        </w:rPr>
        <w:t xml:space="preserve"> y </w:t>
      </w:r>
      <w:r w:rsidR="008813E5" w:rsidRPr="00857BCB">
        <w:rPr>
          <w:sz w:val="24"/>
          <w:szCs w:val="24"/>
        </w:rPr>
        <w:t>establecían</w:t>
      </w:r>
      <w:r w:rsidR="00913C7C" w:rsidRPr="00857BCB">
        <w:rPr>
          <w:sz w:val="24"/>
          <w:szCs w:val="24"/>
        </w:rPr>
        <w:t xml:space="preserve"> un plan de implementación para esta última.</w:t>
      </w:r>
    </w:p>
    <w:p w14:paraId="3E423ECB" w14:textId="339EF808" w:rsidR="00913C7C" w:rsidRPr="00857BCB" w:rsidRDefault="00913C7C" w:rsidP="006C7872">
      <w:pPr>
        <w:pStyle w:val="ListParagraph"/>
        <w:numPr>
          <w:ilvl w:val="0"/>
          <w:numId w:val="13"/>
        </w:numPr>
        <w:ind w:left="357" w:hanging="357"/>
        <w:jc w:val="both"/>
        <w:rPr>
          <w:sz w:val="24"/>
          <w:szCs w:val="24"/>
        </w:rPr>
      </w:pPr>
      <w:r w:rsidRPr="00857BCB">
        <w:rPr>
          <w:sz w:val="24"/>
          <w:szCs w:val="24"/>
          <w:u w:val="single"/>
        </w:rPr>
        <w:t>Socialización</w:t>
      </w:r>
      <w:r w:rsidRPr="00857BCB">
        <w:rPr>
          <w:sz w:val="24"/>
          <w:szCs w:val="24"/>
        </w:rPr>
        <w:t>:</w:t>
      </w:r>
      <w:r w:rsidR="000043DA" w:rsidRPr="00857BCB">
        <w:rPr>
          <w:sz w:val="24"/>
          <w:szCs w:val="24"/>
        </w:rPr>
        <w:t xml:space="preserve"> </w:t>
      </w:r>
      <w:r w:rsidR="00385554" w:rsidRPr="00857BCB">
        <w:rPr>
          <w:sz w:val="24"/>
          <w:szCs w:val="24"/>
        </w:rPr>
        <w:t xml:space="preserve">los sectores convocan a talleres de trabajo con los gobiernos subnacionales, para lo cual </w:t>
      </w:r>
      <w:r w:rsidR="008813E5" w:rsidRPr="00857BCB">
        <w:rPr>
          <w:sz w:val="24"/>
          <w:szCs w:val="24"/>
        </w:rPr>
        <w:t>podían</w:t>
      </w:r>
      <w:r w:rsidR="00385554" w:rsidRPr="00857BCB">
        <w:rPr>
          <w:sz w:val="24"/>
          <w:szCs w:val="24"/>
        </w:rPr>
        <w:t xml:space="preserve"> establecer grupos de trabajo intergubernamentales</w:t>
      </w:r>
      <w:r w:rsidR="006A35BA" w:rsidRPr="00857BCB">
        <w:rPr>
          <w:sz w:val="24"/>
          <w:szCs w:val="24"/>
        </w:rPr>
        <w:t xml:space="preserve"> antes de su aprobación en las comisiones intergubernamentales.</w:t>
      </w:r>
    </w:p>
    <w:p w14:paraId="2D228E71" w14:textId="25FCB9E0" w:rsidR="00913C7C" w:rsidRPr="00857BCB" w:rsidRDefault="00913C7C" w:rsidP="006C7872">
      <w:pPr>
        <w:pStyle w:val="ListParagraph"/>
        <w:numPr>
          <w:ilvl w:val="0"/>
          <w:numId w:val="13"/>
        </w:numPr>
        <w:ind w:left="357" w:hanging="357"/>
        <w:jc w:val="both"/>
        <w:rPr>
          <w:sz w:val="24"/>
          <w:szCs w:val="24"/>
        </w:rPr>
      </w:pPr>
      <w:r w:rsidRPr="00857BCB">
        <w:rPr>
          <w:sz w:val="24"/>
          <w:szCs w:val="24"/>
          <w:u w:val="single"/>
        </w:rPr>
        <w:t>Aprobación</w:t>
      </w:r>
      <w:r w:rsidRPr="00857BCB">
        <w:rPr>
          <w:sz w:val="24"/>
          <w:szCs w:val="24"/>
        </w:rPr>
        <w:t>:</w:t>
      </w:r>
      <w:r w:rsidR="00F97EE2" w:rsidRPr="00857BCB">
        <w:rPr>
          <w:sz w:val="24"/>
          <w:szCs w:val="24"/>
        </w:rPr>
        <w:t xml:space="preserve"> Las comisiones intergubernamentales, previa evaluación, aprueban las AMC.</w:t>
      </w:r>
    </w:p>
    <w:p w14:paraId="57D5862A" w14:textId="152BA8CC" w:rsidR="00913C7C" w:rsidRPr="00857BCB" w:rsidRDefault="00913C7C" w:rsidP="006C7872">
      <w:pPr>
        <w:pStyle w:val="ListParagraph"/>
        <w:numPr>
          <w:ilvl w:val="0"/>
          <w:numId w:val="13"/>
        </w:numPr>
        <w:ind w:left="357" w:hanging="357"/>
        <w:jc w:val="both"/>
        <w:rPr>
          <w:sz w:val="24"/>
          <w:szCs w:val="24"/>
        </w:rPr>
      </w:pPr>
      <w:r w:rsidRPr="00857BCB">
        <w:rPr>
          <w:sz w:val="24"/>
          <w:szCs w:val="24"/>
          <w:u w:val="single"/>
        </w:rPr>
        <w:lastRenderedPageBreak/>
        <w:t>Reconocimiento</w:t>
      </w:r>
      <w:r w:rsidRPr="00857BCB">
        <w:rPr>
          <w:sz w:val="24"/>
          <w:szCs w:val="24"/>
        </w:rPr>
        <w:t>:</w:t>
      </w:r>
      <w:r w:rsidR="003760B7" w:rsidRPr="00857BCB">
        <w:rPr>
          <w:sz w:val="24"/>
          <w:szCs w:val="24"/>
        </w:rPr>
        <w:t xml:space="preserve"> Las AMC aprobadas son puestas en conocimiento a la Secretaría de Descentralización, para que las supervise.</w:t>
      </w:r>
    </w:p>
    <w:p w14:paraId="7CBA3833" w14:textId="3A8B59A7" w:rsidR="00913C7C" w:rsidRPr="00857BCB" w:rsidRDefault="008B0796" w:rsidP="006C7872">
      <w:pPr>
        <w:pStyle w:val="ListParagraph"/>
        <w:numPr>
          <w:ilvl w:val="0"/>
          <w:numId w:val="13"/>
        </w:numPr>
        <w:ind w:left="357" w:hanging="357"/>
        <w:jc w:val="both"/>
        <w:rPr>
          <w:sz w:val="24"/>
          <w:szCs w:val="24"/>
        </w:rPr>
      </w:pPr>
      <w:r w:rsidRPr="00857BCB">
        <w:rPr>
          <w:sz w:val="24"/>
          <w:szCs w:val="24"/>
          <w:u w:val="single"/>
        </w:rPr>
        <w:t>Implementación</w:t>
      </w:r>
      <w:r w:rsidRPr="00857BCB">
        <w:rPr>
          <w:sz w:val="24"/>
          <w:szCs w:val="24"/>
        </w:rPr>
        <w:t>:</w:t>
      </w:r>
      <w:r w:rsidR="00E2263F" w:rsidRPr="00857BCB">
        <w:rPr>
          <w:sz w:val="24"/>
          <w:szCs w:val="24"/>
        </w:rPr>
        <w:t xml:space="preserve"> los sectores las implementan.</w:t>
      </w:r>
    </w:p>
    <w:p w14:paraId="47A1F6EF" w14:textId="39B7F929" w:rsidR="008B0796" w:rsidRPr="00857BCB" w:rsidRDefault="008B0796" w:rsidP="006C7872">
      <w:pPr>
        <w:pStyle w:val="ListParagraph"/>
        <w:numPr>
          <w:ilvl w:val="0"/>
          <w:numId w:val="13"/>
        </w:numPr>
        <w:ind w:left="357" w:hanging="357"/>
        <w:jc w:val="both"/>
        <w:rPr>
          <w:sz w:val="24"/>
          <w:szCs w:val="24"/>
        </w:rPr>
      </w:pPr>
      <w:r w:rsidRPr="00857BCB">
        <w:rPr>
          <w:sz w:val="24"/>
          <w:szCs w:val="24"/>
          <w:u w:val="single"/>
        </w:rPr>
        <w:t>Supervisión</w:t>
      </w:r>
      <w:r w:rsidRPr="00857BCB">
        <w:rPr>
          <w:sz w:val="24"/>
          <w:szCs w:val="24"/>
        </w:rPr>
        <w:t>:</w:t>
      </w:r>
      <w:r w:rsidR="00CE3791" w:rsidRPr="00857BCB">
        <w:rPr>
          <w:sz w:val="24"/>
          <w:szCs w:val="24"/>
        </w:rPr>
        <w:t xml:space="preserve"> </w:t>
      </w:r>
      <w:r w:rsidR="00DC033E" w:rsidRPr="00857BCB">
        <w:rPr>
          <w:sz w:val="24"/>
          <w:szCs w:val="24"/>
        </w:rPr>
        <w:t xml:space="preserve">de la implementación de las AMC, </w:t>
      </w:r>
      <w:r w:rsidR="00AA5123" w:rsidRPr="00857BCB">
        <w:rPr>
          <w:sz w:val="24"/>
          <w:szCs w:val="24"/>
        </w:rPr>
        <w:t>a cargo de la Secretaría de Descentralización</w:t>
      </w:r>
      <w:r w:rsidR="00CE3791" w:rsidRPr="00857BCB">
        <w:rPr>
          <w:sz w:val="24"/>
          <w:szCs w:val="24"/>
        </w:rPr>
        <w:t>.</w:t>
      </w:r>
    </w:p>
    <w:p w14:paraId="0422B336" w14:textId="22416CD6" w:rsidR="008B0796" w:rsidRPr="00857BCB" w:rsidRDefault="008B0796" w:rsidP="006C7872">
      <w:pPr>
        <w:pStyle w:val="ListParagraph"/>
        <w:numPr>
          <w:ilvl w:val="0"/>
          <w:numId w:val="13"/>
        </w:numPr>
        <w:ind w:left="357" w:hanging="357"/>
        <w:jc w:val="both"/>
        <w:rPr>
          <w:sz w:val="24"/>
          <w:szCs w:val="24"/>
        </w:rPr>
      </w:pPr>
      <w:r w:rsidRPr="00857BCB">
        <w:rPr>
          <w:sz w:val="24"/>
          <w:szCs w:val="24"/>
          <w:u w:val="single"/>
        </w:rPr>
        <w:t>Evaluación</w:t>
      </w:r>
      <w:r w:rsidRPr="00857BCB">
        <w:rPr>
          <w:sz w:val="24"/>
          <w:szCs w:val="24"/>
        </w:rPr>
        <w:t>:</w:t>
      </w:r>
      <w:r w:rsidR="00CE3791" w:rsidRPr="00857BCB">
        <w:rPr>
          <w:sz w:val="24"/>
          <w:szCs w:val="24"/>
        </w:rPr>
        <w:t xml:space="preserve"> etapa contin</w:t>
      </w:r>
      <w:r w:rsidR="00DC033E" w:rsidRPr="00857BCB">
        <w:rPr>
          <w:sz w:val="24"/>
          <w:szCs w:val="24"/>
        </w:rPr>
        <w:t>u</w:t>
      </w:r>
      <w:r w:rsidR="00F03635" w:rsidRPr="00857BCB">
        <w:rPr>
          <w:sz w:val="24"/>
          <w:szCs w:val="24"/>
        </w:rPr>
        <w:t>a, una vez implementadas las AMC, que permiti</w:t>
      </w:r>
      <w:r w:rsidR="00F3198B" w:rsidRPr="00857BCB">
        <w:rPr>
          <w:sz w:val="24"/>
          <w:szCs w:val="24"/>
        </w:rPr>
        <w:t>ría</w:t>
      </w:r>
      <w:r w:rsidR="00F03635" w:rsidRPr="00857BCB">
        <w:rPr>
          <w:sz w:val="24"/>
          <w:szCs w:val="24"/>
        </w:rPr>
        <w:t xml:space="preserve"> saber si se cumpl</w:t>
      </w:r>
      <w:r w:rsidR="00AA5123" w:rsidRPr="00857BCB">
        <w:rPr>
          <w:sz w:val="24"/>
          <w:szCs w:val="24"/>
        </w:rPr>
        <w:t>ieron</w:t>
      </w:r>
      <w:r w:rsidR="00F03635" w:rsidRPr="00857BCB">
        <w:rPr>
          <w:sz w:val="24"/>
          <w:szCs w:val="24"/>
        </w:rPr>
        <w:t xml:space="preserve"> las metas</w:t>
      </w:r>
      <w:r w:rsidR="00F159FE" w:rsidRPr="00857BCB">
        <w:rPr>
          <w:sz w:val="24"/>
          <w:szCs w:val="24"/>
        </w:rPr>
        <w:t xml:space="preserve"> de calidad y cobertura del servicio.</w:t>
      </w:r>
    </w:p>
    <w:p w14:paraId="0CFE540F" w14:textId="31552346" w:rsidR="00A454C2" w:rsidRPr="00857BCB" w:rsidRDefault="001361C5" w:rsidP="00265FAA">
      <w:pPr>
        <w:jc w:val="both"/>
        <w:rPr>
          <w:sz w:val="24"/>
          <w:szCs w:val="24"/>
        </w:rPr>
      </w:pPr>
      <w:r w:rsidRPr="00857BCB">
        <w:rPr>
          <w:sz w:val="24"/>
          <w:szCs w:val="24"/>
        </w:rPr>
        <w:t>En</w:t>
      </w:r>
      <w:r w:rsidR="00A07088" w:rsidRPr="00857BCB">
        <w:rPr>
          <w:sz w:val="24"/>
          <w:szCs w:val="24"/>
        </w:rPr>
        <w:t xml:space="preserve"> la evaluación de</w:t>
      </w:r>
      <w:r w:rsidRPr="00857BCB">
        <w:rPr>
          <w:sz w:val="24"/>
          <w:szCs w:val="24"/>
        </w:rPr>
        <w:t xml:space="preserve"> 2015, dos sectores no presentaban avances: Salud</w:t>
      </w:r>
      <w:r w:rsidR="00F3198B" w:rsidRPr="00857BCB">
        <w:rPr>
          <w:sz w:val="24"/>
          <w:szCs w:val="24"/>
        </w:rPr>
        <w:t>,</w:t>
      </w:r>
      <w:r w:rsidRPr="00857BCB">
        <w:rPr>
          <w:sz w:val="24"/>
          <w:szCs w:val="24"/>
        </w:rPr>
        <w:t xml:space="preserve"> </w:t>
      </w:r>
      <w:r w:rsidR="00AC58FF" w:rsidRPr="00857BCB">
        <w:rPr>
          <w:sz w:val="24"/>
          <w:szCs w:val="24"/>
        </w:rPr>
        <w:t>y Agricultura y Riego (en la competencia de “aprovechamiento sostenible de los recursos forestales</w:t>
      </w:r>
      <w:r w:rsidR="00514B22" w:rsidRPr="00857BCB">
        <w:rPr>
          <w:sz w:val="24"/>
          <w:szCs w:val="24"/>
        </w:rPr>
        <w:t>”</w:t>
      </w:r>
      <w:r w:rsidR="00AC58FF" w:rsidRPr="00857BCB">
        <w:rPr>
          <w:sz w:val="24"/>
          <w:szCs w:val="24"/>
        </w:rPr>
        <w:t>). Los demás en su mayoría habían culminado la fase de diseño de las AMC y estaban próximos a socializarlas</w:t>
      </w:r>
      <w:r w:rsidR="00072BA4" w:rsidRPr="00857BCB">
        <w:rPr>
          <w:sz w:val="24"/>
          <w:szCs w:val="24"/>
        </w:rPr>
        <w:t xml:space="preserve"> (etapa 4 de 9)</w:t>
      </w:r>
      <w:r w:rsidR="00AC58FF" w:rsidRPr="00857BCB">
        <w:rPr>
          <w:sz w:val="24"/>
          <w:szCs w:val="24"/>
        </w:rPr>
        <w:t>.</w:t>
      </w:r>
    </w:p>
    <w:p w14:paraId="26C48478" w14:textId="25B7F08E" w:rsidR="00222F0D" w:rsidRPr="00857BCB" w:rsidRDefault="00222F0D" w:rsidP="00265FAA">
      <w:pPr>
        <w:jc w:val="both"/>
        <w:rPr>
          <w:sz w:val="24"/>
          <w:szCs w:val="24"/>
        </w:rPr>
      </w:pPr>
      <w:r w:rsidRPr="00857BCB">
        <w:rPr>
          <w:sz w:val="24"/>
          <w:szCs w:val="24"/>
        </w:rPr>
        <w:t>De nuestros diálogos con representantes de las gestiones regionales</w:t>
      </w:r>
      <w:r w:rsidR="007139D9" w:rsidRPr="00857BCB">
        <w:rPr>
          <w:sz w:val="24"/>
          <w:szCs w:val="24"/>
        </w:rPr>
        <w:t xml:space="preserve"> visitadas</w:t>
      </w:r>
      <w:r w:rsidR="003F456A" w:rsidRPr="00857BCB">
        <w:rPr>
          <w:sz w:val="24"/>
          <w:szCs w:val="24"/>
        </w:rPr>
        <w:t>,</w:t>
      </w:r>
      <w:r w:rsidR="007139D9" w:rsidRPr="00857BCB">
        <w:rPr>
          <w:sz w:val="24"/>
          <w:szCs w:val="24"/>
        </w:rPr>
        <w:t xml:space="preserve"> encontramos</w:t>
      </w:r>
      <w:r w:rsidRPr="00857BCB">
        <w:rPr>
          <w:sz w:val="24"/>
          <w:szCs w:val="24"/>
        </w:rPr>
        <w:t xml:space="preserve"> que</w:t>
      </w:r>
      <w:r w:rsidR="00830A53" w:rsidRPr="00857BCB">
        <w:rPr>
          <w:sz w:val="24"/>
          <w:szCs w:val="24"/>
        </w:rPr>
        <w:t xml:space="preserve"> -pese a</w:t>
      </w:r>
      <w:r w:rsidR="009C3AA8" w:rsidRPr="00857BCB">
        <w:rPr>
          <w:sz w:val="24"/>
          <w:szCs w:val="24"/>
        </w:rPr>
        <w:t xml:space="preserve"> que las evaluaciones </w:t>
      </w:r>
      <w:r w:rsidR="00B16F60" w:rsidRPr="00857BCB">
        <w:rPr>
          <w:sz w:val="24"/>
          <w:szCs w:val="24"/>
        </w:rPr>
        <w:t>y el apoyo a</w:t>
      </w:r>
      <w:r w:rsidR="009C3AA8" w:rsidRPr="00857BCB">
        <w:rPr>
          <w:sz w:val="24"/>
          <w:szCs w:val="24"/>
        </w:rPr>
        <w:t xml:space="preserve"> las AMC fueron</w:t>
      </w:r>
      <w:r w:rsidR="00830A53" w:rsidRPr="00857BCB">
        <w:rPr>
          <w:sz w:val="24"/>
          <w:szCs w:val="24"/>
        </w:rPr>
        <w:t xml:space="preserve"> una actividad </w:t>
      </w:r>
      <w:r w:rsidR="00363352" w:rsidRPr="00857BCB">
        <w:rPr>
          <w:sz w:val="24"/>
          <w:szCs w:val="24"/>
        </w:rPr>
        <w:t>central para la Secretaría de Descentralización</w:t>
      </w:r>
      <w:r w:rsidR="009C3AA8" w:rsidRPr="00857BCB">
        <w:rPr>
          <w:sz w:val="24"/>
          <w:szCs w:val="24"/>
        </w:rPr>
        <w:t xml:space="preserve"> durante al menos tres años</w:t>
      </w:r>
      <w:r w:rsidR="00363352" w:rsidRPr="00857BCB">
        <w:rPr>
          <w:sz w:val="24"/>
          <w:szCs w:val="24"/>
        </w:rPr>
        <w:t xml:space="preserve">- no existe memoria institucional </w:t>
      </w:r>
      <w:r w:rsidR="00B16F60" w:rsidRPr="00857BCB">
        <w:rPr>
          <w:sz w:val="24"/>
          <w:szCs w:val="24"/>
        </w:rPr>
        <w:t xml:space="preserve">sobre </w:t>
      </w:r>
      <w:r w:rsidR="009C3AA8" w:rsidRPr="00857BCB">
        <w:rPr>
          <w:sz w:val="24"/>
          <w:szCs w:val="24"/>
        </w:rPr>
        <w:t>éstas</w:t>
      </w:r>
      <w:r w:rsidR="00363352" w:rsidRPr="00857BCB">
        <w:rPr>
          <w:sz w:val="24"/>
          <w:szCs w:val="24"/>
        </w:rPr>
        <w:t xml:space="preserve">. </w:t>
      </w:r>
      <w:r w:rsidR="00C57391" w:rsidRPr="00857BCB">
        <w:rPr>
          <w:sz w:val="24"/>
          <w:szCs w:val="24"/>
        </w:rPr>
        <w:t>En Cusco, Piura y San Martín</w:t>
      </w:r>
      <w:r w:rsidR="005C1708" w:rsidRPr="00857BCB">
        <w:rPr>
          <w:sz w:val="24"/>
          <w:szCs w:val="24"/>
        </w:rPr>
        <w:t xml:space="preserve">, ninguno de los cargos entrevistados </w:t>
      </w:r>
      <w:r w:rsidR="00785066" w:rsidRPr="00857BCB">
        <w:rPr>
          <w:sz w:val="24"/>
          <w:szCs w:val="24"/>
        </w:rPr>
        <w:t>pudo</w:t>
      </w:r>
      <w:r w:rsidR="005C1708" w:rsidRPr="00857BCB">
        <w:rPr>
          <w:sz w:val="24"/>
          <w:szCs w:val="24"/>
        </w:rPr>
        <w:t xml:space="preserve"> dar una opinión informada sobre el contenido de las evaluaciones o los planes</w:t>
      </w:r>
      <w:r w:rsidR="00647148" w:rsidRPr="00857BCB">
        <w:rPr>
          <w:sz w:val="24"/>
          <w:szCs w:val="24"/>
        </w:rPr>
        <w:t>,</w:t>
      </w:r>
      <w:r w:rsidR="00785066" w:rsidRPr="00857BCB">
        <w:rPr>
          <w:sz w:val="24"/>
          <w:szCs w:val="24"/>
        </w:rPr>
        <w:t xml:space="preserve"> y cómo se articula</w:t>
      </w:r>
      <w:r w:rsidR="00647148" w:rsidRPr="00857BCB">
        <w:rPr>
          <w:sz w:val="24"/>
          <w:szCs w:val="24"/>
        </w:rPr>
        <w:t>ro</w:t>
      </w:r>
      <w:r w:rsidR="00785066" w:rsidRPr="00857BCB">
        <w:rPr>
          <w:sz w:val="24"/>
          <w:szCs w:val="24"/>
        </w:rPr>
        <w:t>n</w:t>
      </w:r>
      <w:r w:rsidR="00B16F60" w:rsidRPr="00857BCB">
        <w:rPr>
          <w:sz w:val="24"/>
          <w:szCs w:val="24"/>
        </w:rPr>
        <w:t xml:space="preserve"> o integraron</w:t>
      </w:r>
      <w:r w:rsidR="00785066" w:rsidRPr="00857BCB">
        <w:rPr>
          <w:sz w:val="24"/>
          <w:szCs w:val="24"/>
        </w:rPr>
        <w:t xml:space="preserve"> con las políticas actuales del proceso de descentralización</w:t>
      </w:r>
      <w:r w:rsidR="001C5D9E" w:rsidRPr="00857BCB">
        <w:rPr>
          <w:sz w:val="24"/>
          <w:szCs w:val="24"/>
        </w:rPr>
        <w:t xml:space="preserve">, </w:t>
      </w:r>
      <w:r w:rsidR="00B16F60" w:rsidRPr="00857BCB">
        <w:rPr>
          <w:sz w:val="24"/>
          <w:szCs w:val="24"/>
        </w:rPr>
        <w:t xml:space="preserve">mucho menos </w:t>
      </w:r>
      <w:r w:rsidR="001C5D9E" w:rsidRPr="00857BCB">
        <w:rPr>
          <w:sz w:val="24"/>
          <w:szCs w:val="24"/>
        </w:rPr>
        <w:t>si tuvieron algún impacto</w:t>
      </w:r>
      <w:r w:rsidR="00B16F60" w:rsidRPr="00857BCB">
        <w:rPr>
          <w:sz w:val="24"/>
          <w:szCs w:val="24"/>
        </w:rPr>
        <w:t xml:space="preserve"> concreto</w:t>
      </w:r>
      <w:r w:rsidR="001C5D9E" w:rsidRPr="00857BCB">
        <w:rPr>
          <w:sz w:val="24"/>
          <w:szCs w:val="24"/>
        </w:rPr>
        <w:t xml:space="preserve">. </w:t>
      </w:r>
      <w:r w:rsidR="00647148" w:rsidRPr="00857BCB">
        <w:rPr>
          <w:sz w:val="24"/>
          <w:szCs w:val="24"/>
        </w:rPr>
        <w:t xml:space="preserve">Si bien las evaluaciones de 2013 y 2014 se dieron durante la gestión regional anterior, la evaluación de 2015 -y la implementación de AMC </w:t>
      </w:r>
      <w:r w:rsidR="009823D7" w:rsidRPr="00857BCB">
        <w:rPr>
          <w:sz w:val="24"/>
          <w:szCs w:val="24"/>
        </w:rPr>
        <w:t>de</w:t>
      </w:r>
      <w:r w:rsidR="008D7072" w:rsidRPr="00857BCB">
        <w:rPr>
          <w:sz w:val="24"/>
          <w:szCs w:val="24"/>
        </w:rPr>
        <w:t xml:space="preserve"> los períodos 2013 y</w:t>
      </w:r>
      <w:r w:rsidR="009823D7" w:rsidRPr="00857BCB">
        <w:rPr>
          <w:sz w:val="24"/>
          <w:szCs w:val="24"/>
        </w:rPr>
        <w:t>2014-</w:t>
      </w:r>
      <w:r w:rsidR="002D0D1C" w:rsidRPr="00857BCB">
        <w:rPr>
          <w:sz w:val="24"/>
          <w:szCs w:val="24"/>
        </w:rPr>
        <w:t xml:space="preserve"> sí se llevaron adelante </w:t>
      </w:r>
      <w:r w:rsidR="009C5A79" w:rsidRPr="00857BCB">
        <w:rPr>
          <w:sz w:val="24"/>
          <w:szCs w:val="24"/>
        </w:rPr>
        <w:t>durante</w:t>
      </w:r>
      <w:r w:rsidR="002D0D1C" w:rsidRPr="00857BCB">
        <w:rPr>
          <w:sz w:val="24"/>
          <w:szCs w:val="24"/>
        </w:rPr>
        <w:t xml:space="preserve"> la gestión</w:t>
      </w:r>
      <w:r w:rsidR="009C5A79" w:rsidRPr="00857BCB">
        <w:rPr>
          <w:sz w:val="24"/>
          <w:szCs w:val="24"/>
        </w:rPr>
        <w:t xml:space="preserve"> de los</w:t>
      </w:r>
      <w:r w:rsidR="002E145D" w:rsidRPr="00857BCB">
        <w:rPr>
          <w:sz w:val="24"/>
          <w:szCs w:val="24"/>
        </w:rPr>
        <w:t xml:space="preserve"> actual</w:t>
      </w:r>
      <w:r w:rsidR="009C5A79" w:rsidRPr="00857BCB">
        <w:rPr>
          <w:sz w:val="24"/>
          <w:szCs w:val="24"/>
        </w:rPr>
        <w:t>es</w:t>
      </w:r>
      <w:r w:rsidR="002E145D" w:rsidRPr="00857BCB">
        <w:rPr>
          <w:sz w:val="24"/>
          <w:szCs w:val="24"/>
        </w:rPr>
        <w:t xml:space="preserve"> </w:t>
      </w:r>
      <w:r w:rsidR="009C5A79" w:rsidRPr="00857BCB">
        <w:rPr>
          <w:sz w:val="24"/>
          <w:szCs w:val="24"/>
        </w:rPr>
        <w:t xml:space="preserve">gobernadores </w:t>
      </w:r>
      <w:r w:rsidR="002E145D" w:rsidRPr="00857BCB">
        <w:rPr>
          <w:sz w:val="24"/>
          <w:szCs w:val="24"/>
        </w:rPr>
        <w:t>regionales</w:t>
      </w:r>
      <w:r w:rsidR="002D0D1C" w:rsidRPr="00857BCB">
        <w:rPr>
          <w:sz w:val="24"/>
          <w:szCs w:val="24"/>
        </w:rPr>
        <w:t>.</w:t>
      </w:r>
    </w:p>
    <w:p w14:paraId="06AEB554" w14:textId="0A56453E" w:rsidR="009949BE" w:rsidRPr="00857BCB" w:rsidRDefault="001D06E4" w:rsidP="00265FAA">
      <w:pPr>
        <w:jc w:val="both"/>
        <w:rPr>
          <w:sz w:val="24"/>
          <w:szCs w:val="24"/>
        </w:rPr>
      </w:pPr>
      <w:r w:rsidRPr="00857BCB">
        <w:rPr>
          <w:sz w:val="24"/>
          <w:szCs w:val="24"/>
        </w:rPr>
        <w:t>Para entender los problemas que causó la transición</w:t>
      </w:r>
      <w:r w:rsidR="00A56B75" w:rsidRPr="00857BCB">
        <w:rPr>
          <w:sz w:val="24"/>
          <w:szCs w:val="24"/>
        </w:rPr>
        <w:t xml:space="preserve"> política de 2016</w:t>
      </w:r>
      <w:r w:rsidR="008015AD" w:rsidRPr="00857BCB">
        <w:rPr>
          <w:rStyle w:val="FootnoteReference"/>
          <w:sz w:val="24"/>
          <w:szCs w:val="24"/>
        </w:rPr>
        <w:footnoteReference w:id="15"/>
      </w:r>
      <w:r w:rsidR="008D7072" w:rsidRPr="00857BCB">
        <w:rPr>
          <w:sz w:val="24"/>
          <w:szCs w:val="24"/>
        </w:rPr>
        <w:t xml:space="preserve"> sobre este componente del proyecto</w:t>
      </w:r>
      <w:r w:rsidRPr="00857BCB">
        <w:rPr>
          <w:sz w:val="24"/>
          <w:szCs w:val="24"/>
        </w:rPr>
        <w:t xml:space="preserve">, </w:t>
      </w:r>
      <w:r w:rsidR="00F30FD7" w:rsidRPr="00857BCB">
        <w:rPr>
          <w:sz w:val="24"/>
          <w:szCs w:val="24"/>
        </w:rPr>
        <w:t xml:space="preserve">revisamos el </w:t>
      </w:r>
      <w:r w:rsidR="009949BE" w:rsidRPr="00857BCB">
        <w:rPr>
          <w:sz w:val="24"/>
          <w:szCs w:val="24"/>
        </w:rPr>
        <w:t>informe de 2016</w:t>
      </w:r>
      <w:r w:rsidRPr="00857BCB">
        <w:rPr>
          <w:sz w:val="24"/>
          <w:szCs w:val="24"/>
        </w:rPr>
        <w:t xml:space="preserve"> del consultor Quispe Cajas </w:t>
      </w:r>
      <w:r w:rsidR="00F30FD7" w:rsidRPr="00857BCB">
        <w:rPr>
          <w:sz w:val="24"/>
          <w:szCs w:val="24"/>
        </w:rPr>
        <w:t xml:space="preserve">quien </w:t>
      </w:r>
      <w:r w:rsidR="00E2344F" w:rsidRPr="00857BCB">
        <w:rPr>
          <w:sz w:val="24"/>
          <w:szCs w:val="24"/>
        </w:rPr>
        <w:t>sistematiza los hallazgos del período 2013 a 2015</w:t>
      </w:r>
      <w:r w:rsidR="00F30FD7" w:rsidRPr="00857BCB">
        <w:rPr>
          <w:sz w:val="24"/>
          <w:szCs w:val="24"/>
        </w:rPr>
        <w:t xml:space="preserve">. El consultor </w:t>
      </w:r>
      <w:r w:rsidRPr="00857BCB">
        <w:rPr>
          <w:sz w:val="24"/>
          <w:szCs w:val="24"/>
        </w:rPr>
        <w:t>señala</w:t>
      </w:r>
      <w:r w:rsidR="009949BE" w:rsidRPr="00857BCB">
        <w:rPr>
          <w:sz w:val="24"/>
          <w:szCs w:val="24"/>
        </w:rPr>
        <w:t xml:space="preserve"> que</w:t>
      </w:r>
      <w:r w:rsidR="00142074" w:rsidRPr="00857BCB">
        <w:rPr>
          <w:sz w:val="24"/>
          <w:szCs w:val="24"/>
        </w:rPr>
        <w:t xml:space="preserve">, a la </w:t>
      </w:r>
      <w:r w:rsidR="008E19CE" w:rsidRPr="00857BCB">
        <w:rPr>
          <w:sz w:val="24"/>
          <w:szCs w:val="24"/>
        </w:rPr>
        <w:t>reducción de actividades</w:t>
      </w:r>
      <w:r w:rsidR="00142074" w:rsidRPr="00857BCB">
        <w:rPr>
          <w:sz w:val="24"/>
          <w:szCs w:val="24"/>
        </w:rPr>
        <w:t xml:space="preserve"> que </w:t>
      </w:r>
      <w:r w:rsidR="002E145D" w:rsidRPr="00857BCB">
        <w:rPr>
          <w:sz w:val="24"/>
          <w:szCs w:val="24"/>
        </w:rPr>
        <w:t>ocasionó</w:t>
      </w:r>
      <w:r w:rsidR="008E19CE" w:rsidRPr="00857BCB">
        <w:rPr>
          <w:sz w:val="24"/>
          <w:szCs w:val="24"/>
        </w:rPr>
        <w:t xml:space="preserve"> el cambio de gobierno</w:t>
      </w:r>
      <w:r w:rsidR="000825AD" w:rsidRPr="00857BCB">
        <w:rPr>
          <w:sz w:val="24"/>
          <w:szCs w:val="24"/>
        </w:rPr>
        <w:t xml:space="preserve"> en 2016</w:t>
      </w:r>
      <w:r w:rsidR="008E19CE" w:rsidRPr="00857BCB">
        <w:rPr>
          <w:sz w:val="24"/>
          <w:szCs w:val="24"/>
        </w:rPr>
        <w:t>, se sumaban</w:t>
      </w:r>
      <w:r w:rsidR="000825AD" w:rsidRPr="00857BCB">
        <w:rPr>
          <w:sz w:val="24"/>
          <w:szCs w:val="24"/>
        </w:rPr>
        <w:t xml:space="preserve"> como factores </w:t>
      </w:r>
      <w:proofErr w:type="spellStart"/>
      <w:r w:rsidR="000825AD" w:rsidRPr="00857BCB">
        <w:rPr>
          <w:sz w:val="24"/>
          <w:szCs w:val="24"/>
        </w:rPr>
        <w:t>disruptores</w:t>
      </w:r>
      <w:proofErr w:type="spellEnd"/>
      <w:r w:rsidR="000825AD" w:rsidRPr="00857BCB">
        <w:rPr>
          <w:sz w:val="24"/>
          <w:szCs w:val="24"/>
        </w:rPr>
        <w:t xml:space="preserve"> d</w:t>
      </w:r>
      <w:r w:rsidRPr="00857BCB">
        <w:rPr>
          <w:sz w:val="24"/>
          <w:szCs w:val="24"/>
        </w:rPr>
        <w:t>el proceso de evaluación</w:t>
      </w:r>
      <w:r w:rsidR="008E19CE" w:rsidRPr="00857BCB">
        <w:rPr>
          <w:sz w:val="24"/>
          <w:szCs w:val="24"/>
        </w:rPr>
        <w:t>:</w:t>
      </w:r>
    </w:p>
    <w:p w14:paraId="60FF7B3C" w14:textId="2A091F26" w:rsidR="008E19CE" w:rsidRPr="00857BCB" w:rsidRDefault="00B67CD4" w:rsidP="00B67CD4">
      <w:pPr>
        <w:pStyle w:val="ListParagraph"/>
        <w:numPr>
          <w:ilvl w:val="0"/>
          <w:numId w:val="7"/>
        </w:numPr>
        <w:jc w:val="both"/>
        <w:rPr>
          <w:sz w:val="24"/>
          <w:szCs w:val="24"/>
        </w:rPr>
      </w:pPr>
      <w:r w:rsidRPr="00857BCB">
        <w:rPr>
          <w:sz w:val="24"/>
          <w:szCs w:val="24"/>
        </w:rPr>
        <w:t>Falta de reinicio de la</w:t>
      </w:r>
      <w:r w:rsidR="00BA581E" w:rsidRPr="00857BCB">
        <w:rPr>
          <w:sz w:val="24"/>
          <w:szCs w:val="24"/>
        </w:rPr>
        <w:t>s actividades de</w:t>
      </w:r>
      <w:r w:rsidRPr="00857BCB">
        <w:rPr>
          <w:sz w:val="24"/>
          <w:szCs w:val="24"/>
        </w:rPr>
        <w:t xml:space="preserve"> evaluación de las AMC</w:t>
      </w:r>
      <w:r w:rsidR="000825AD" w:rsidRPr="00857BCB">
        <w:rPr>
          <w:sz w:val="24"/>
          <w:szCs w:val="24"/>
        </w:rPr>
        <w:t xml:space="preserve"> en 2016</w:t>
      </w:r>
      <w:r w:rsidR="001B76AC" w:rsidRPr="00857BCB">
        <w:rPr>
          <w:sz w:val="24"/>
          <w:szCs w:val="24"/>
        </w:rPr>
        <w:t>.</w:t>
      </w:r>
    </w:p>
    <w:p w14:paraId="60F6A353" w14:textId="13EEE020" w:rsidR="00B67CD4" w:rsidRPr="00857BCB" w:rsidRDefault="00FE33E0" w:rsidP="00B67CD4">
      <w:pPr>
        <w:pStyle w:val="ListParagraph"/>
        <w:numPr>
          <w:ilvl w:val="0"/>
          <w:numId w:val="7"/>
        </w:numPr>
        <w:jc w:val="both"/>
        <w:rPr>
          <w:sz w:val="24"/>
          <w:szCs w:val="24"/>
        </w:rPr>
      </w:pPr>
      <w:r w:rsidRPr="00857BCB">
        <w:rPr>
          <w:sz w:val="24"/>
          <w:szCs w:val="24"/>
        </w:rPr>
        <w:t>Falta de actualización de los integrantes de los equipos de trabajo</w:t>
      </w:r>
      <w:r w:rsidR="00307AF2" w:rsidRPr="00857BCB">
        <w:rPr>
          <w:sz w:val="24"/>
          <w:szCs w:val="24"/>
        </w:rPr>
        <w:t xml:space="preserve"> para los servicios evaluados en 2013 y 2014</w:t>
      </w:r>
      <w:r w:rsidR="00554CA9" w:rsidRPr="00857BCB">
        <w:rPr>
          <w:sz w:val="24"/>
          <w:szCs w:val="24"/>
        </w:rPr>
        <w:t>, así como “la conformación de los nuevos equipos de trabajo de los servicios públicos evaluados en el año 2015”</w:t>
      </w:r>
      <w:r w:rsidR="001B76AC" w:rsidRPr="00857BCB">
        <w:rPr>
          <w:sz w:val="24"/>
          <w:szCs w:val="24"/>
        </w:rPr>
        <w:t>.</w:t>
      </w:r>
    </w:p>
    <w:p w14:paraId="04516CE5" w14:textId="3C4B0157" w:rsidR="00307AF2" w:rsidRPr="00857BCB" w:rsidRDefault="00307AF2" w:rsidP="00B67CD4">
      <w:pPr>
        <w:pStyle w:val="ListParagraph"/>
        <w:numPr>
          <w:ilvl w:val="0"/>
          <w:numId w:val="7"/>
        </w:numPr>
        <w:jc w:val="both"/>
        <w:rPr>
          <w:sz w:val="24"/>
          <w:szCs w:val="24"/>
        </w:rPr>
      </w:pPr>
      <w:r w:rsidRPr="00857BCB">
        <w:rPr>
          <w:sz w:val="24"/>
          <w:szCs w:val="24"/>
        </w:rPr>
        <w:t xml:space="preserve">Bajos niveles de supervisión </w:t>
      </w:r>
      <w:r w:rsidR="00FA6046" w:rsidRPr="00857BCB">
        <w:rPr>
          <w:sz w:val="24"/>
          <w:szCs w:val="24"/>
        </w:rPr>
        <w:t>a</w:t>
      </w:r>
      <w:r w:rsidRPr="00857BCB">
        <w:rPr>
          <w:sz w:val="24"/>
          <w:szCs w:val="24"/>
        </w:rPr>
        <w:t xml:space="preserve"> las AMC por</w:t>
      </w:r>
      <w:r w:rsidR="00FA6046" w:rsidRPr="00857BCB">
        <w:rPr>
          <w:sz w:val="24"/>
          <w:szCs w:val="24"/>
        </w:rPr>
        <w:t xml:space="preserve"> los sectores, </w:t>
      </w:r>
      <w:r w:rsidR="00564EF6" w:rsidRPr="00857BCB">
        <w:rPr>
          <w:sz w:val="24"/>
          <w:szCs w:val="24"/>
        </w:rPr>
        <w:t>debido a la reducción de personal y la</w:t>
      </w:r>
      <w:r w:rsidRPr="00857BCB">
        <w:rPr>
          <w:sz w:val="24"/>
          <w:szCs w:val="24"/>
        </w:rPr>
        <w:t xml:space="preserve"> falta de </w:t>
      </w:r>
      <w:r w:rsidR="00564EF6" w:rsidRPr="00857BCB">
        <w:rPr>
          <w:sz w:val="24"/>
          <w:szCs w:val="24"/>
        </w:rPr>
        <w:t>presupuesto</w:t>
      </w:r>
      <w:r w:rsidR="001B76AC" w:rsidRPr="00857BCB">
        <w:rPr>
          <w:sz w:val="24"/>
          <w:szCs w:val="24"/>
        </w:rPr>
        <w:t>.</w:t>
      </w:r>
    </w:p>
    <w:p w14:paraId="5C4CAD46" w14:textId="17C204B8" w:rsidR="00307AF2" w:rsidRPr="00857BCB" w:rsidRDefault="004F6DEA" w:rsidP="00B67CD4">
      <w:pPr>
        <w:pStyle w:val="ListParagraph"/>
        <w:numPr>
          <w:ilvl w:val="0"/>
          <w:numId w:val="7"/>
        </w:numPr>
        <w:jc w:val="both"/>
        <w:rPr>
          <w:sz w:val="24"/>
          <w:szCs w:val="24"/>
        </w:rPr>
      </w:pPr>
      <w:r w:rsidRPr="00857BCB">
        <w:rPr>
          <w:sz w:val="24"/>
          <w:szCs w:val="24"/>
        </w:rPr>
        <w:t xml:space="preserve">Diseño </w:t>
      </w:r>
      <w:r w:rsidR="00834FAD" w:rsidRPr="00857BCB">
        <w:rPr>
          <w:sz w:val="24"/>
          <w:szCs w:val="24"/>
        </w:rPr>
        <w:t xml:space="preserve">de AMC </w:t>
      </w:r>
      <w:r w:rsidR="00842E88" w:rsidRPr="00857BCB">
        <w:rPr>
          <w:sz w:val="24"/>
          <w:szCs w:val="24"/>
        </w:rPr>
        <w:t>con limitaciones de concepción y relevancia (en el caso del Ministerio de la Mujer y el de Trabajo)</w:t>
      </w:r>
      <w:r w:rsidR="001B76AC" w:rsidRPr="00857BCB">
        <w:rPr>
          <w:sz w:val="24"/>
          <w:szCs w:val="24"/>
        </w:rPr>
        <w:t>.</w:t>
      </w:r>
    </w:p>
    <w:p w14:paraId="141CD190" w14:textId="69A00D73" w:rsidR="00FE33E0" w:rsidRPr="00857BCB" w:rsidRDefault="000F7E00" w:rsidP="00B67CD4">
      <w:pPr>
        <w:pStyle w:val="ListParagraph"/>
        <w:numPr>
          <w:ilvl w:val="0"/>
          <w:numId w:val="7"/>
        </w:numPr>
        <w:jc w:val="both"/>
        <w:rPr>
          <w:sz w:val="24"/>
          <w:szCs w:val="24"/>
        </w:rPr>
      </w:pPr>
      <w:r w:rsidRPr="00857BCB">
        <w:rPr>
          <w:sz w:val="24"/>
          <w:szCs w:val="24"/>
        </w:rPr>
        <w:t>Debilidad de las Comisiones Intergubernamentales y falta de articulación</w:t>
      </w:r>
      <w:r w:rsidR="001B76AC" w:rsidRPr="00857BCB">
        <w:rPr>
          <w:sz w:val="24"/>
          <w:szCs w:val="24"/>
        </w:rPr>
        <w:t xml:space="preserve"> -en la</w:t>
      </w:r>
      <w:r w:rsidRPr="00857BCB">
        <w:rPr>
          <w:sz w:val="24"/>
          <w:szCs w:val="24"/>
        </w:rPr>
        <w:t xml:space="preserve"> práctica</w:t>
      </w:r>
      <w:r w:rsidR="001B76AC" w:rsidRPr="00857BCB">
        <w:rPr>
          <w:sz w:val="24"/>
          <w:szCs w:val="24"/>
        </w:rPr>
        <w:t>-</w:t>
      </w:r>
      <w:r w:rsidRPr="00857BCB">
        <w:rPr>
          <w:sz w:val="24"/>
          <w:szCs w:val="24"/>
        </w:rPr>
        <w:t xml:space="preserve"> con </w:t>
      </w:r>
      <w:r w:rsidR="001B76AC" w:rsidRPr="00857BCB">
        <w:rPr>
          <w:sz w:val="24"/>
          <w:szCs w:val="24"/>
        </w:rPr>
        <w:t>los gobiernos regionales.</w:t>
      </w:r>
    </w:p>
    <w:p w14:paraId="7DACD523" w14:textId="6F6D072E" w:rsidR="000F7E00" w:rsidRPr="00857BCB" w:rsidRDefault="00A00C06" w:rsidP="007D426A">
      <w:pPr>
        <w:pStyle w:val="ListParagraph"/>
        <w:numPr>
          <w:ilvl w:val="0"/>
          <w:numId w:val="7"/>
        </w:numPr>
        <w:jc w:val="both"/>
        <w:rPr>
          <w:sz w:val="24"/>
          <w:szCs w:val="24"/>
        </w:rPr>
      </w:pPr>
      <w:r w:rsidRPr="00857BCB">
        <w:rPr>
          <w:sz w:val="24"/>
          <w:szCs w:val="24"/>
        </w:rPr>
        <w:lastRenderedPageBreak/>
        <w:t>Énfasis del gobierno nacional en los programas presupuestales, en desmedro del apoyo al fortalecimiento de competencias regionales</w:t>
      </w:r>
      <w:r w:rsidRPr="00857BCB">
        <w:rPr>
          <w:rStyle w:val="FootnoteReference"/>
          <w:sz w:val="24"/>
          <w:szCs w:val="24"/>
        </w:rPr>
        <w:footnoteReference w:id="16"/>
      </w:r>
      <w:r w:rsidRPr="00857BCB">
        <w:rPr>
          <w:sz w:val="24"/>
          <w:szCs w:val="24"/>
        </w:rPr>
        <w:t>.</w:t>
      </w:r>
    </w:p>
    <w:p w14:paraId="1465D800" w14:textId="2E63F440" w:rsidR="00B155DE" w:rsidRPr="00857BCB" w:rsidRDefault="00785066" w:rsidP="00265FAA">
      <w:pPr>
        <w:jc w:val="both"/>
        <w:rPr>
          <w:sz w:val="24"/>
          <w:szCs w:val="24"/>
        </w:rPr>
      </w:pPr>
      <w:r w:rsidRPr="00857BCB">
        <w:rPr>
          <w:sz w:val="24"/>
          <w:szCs w:val="24"/>
        </w:rPr>
        <w:t>Asimismo, e</w:t>
      </w:r>
      <w:r w:rsidR="00B155DE" w:rsidRPr="00857BCB">
        <w:rPr>
          <w:sz w:val="24"/>
          <w:szCs w:val="24"/>
        </w:rPr>
        <w:t>s interesante notar que los resultados de estas evaluaciones no fueron insumo</w:t>
      </w:r>
      <w:r w:rsidR="00F635CE" w:rsidRPr="00857BCB">
        <w:rPr>
          <w:sz w:val="24"/>
          <w:szCs w:val="24"/>
        </w:rPr>
        <w:t>s</w:t>
      </w:r>
      <w:r w:rsidR="00B155DE" w:rsidRPr="00857BCB">
        <w:rPr>
          <w:sz w:val="24"/>
          <w:szCs w:val="24"/>
        </w:rPr>
        <w:t xml:space="preserve"> para el trabajo de</w:t>
      </w:r>
      <w:r w:rsidR="001C5D9E" w:rsidRPr="00857BCB">
        <w:rPr>
          <w:sz w:val="24"/>
          <w:szCs w:val="24"/>
        </w:rPr>
        <w:t xml:space="preserve"> lo que </w:t>
      </w:r>
      <w:r w:rsidR="00D851DB" w:rsidRPr="00857BCB">
        <w:rPr>
          <w:sz w:val="24"/>
          <w:szCs w:val="24"/>
        </w:rPr>
        <w:t>era</w:t>
      </w:r>
      <w:r w:rsidR="00B155DE" w:rsidRPr="00857BCB">
        <w:rPr>
          <w:sz w:val="24"/>
          <w:szCs w:val="24"/>
        </w:rPr>
        <w:t xml:space="preserve"> la Oficina de Desarrollo de Capacidades Regionales Municipales y Articulación Intergubernamental</w:t>
      </w:r>
      <w:r w:rsidR="001C5D9E" w:rsidRPr="00857BCB">
        <w:rPr>
          <w:sz w:val="24"/>
          <w:szCs w:val="24"/>
        </w:rPr>
        <w:t xml:space="preserve"> de la SD</w:t>
      </w:r>
      <w:r w:rsidR="00B155DE" w:rsidRPr="00857BCB">
        <w:rPr>
          <w:sz w:val="24"/>
          <w:szCs w:val="24"/>
        </w:rPr>
        <w:t>.</w:t>
      </w:r>
      <w:r w:rsidR="00115FB7" w:rsidRPr="00857BCB">
        <w:rPr>
          <w:sz w:val="24"/>
          <w:szCs w:val="24"/>
        </w:rPr>
        <w:t xml:space="preserve"> Según la resolución 009-2015-PCM/SD,</w:t>
      </w:r>
      <w:r w:rsidR="00B155DE" w:rsidRPr="00857BCB">
        <w:rPr>
          <w:sz w:val="24"/>
          <w:szCs w:val="24"/>
        </w:rPr>
        <w:t xml:space="preserve"> </w:t>
      </w:r>
      <w:r w:rsidR="00EF6B5D" w:rsidRPr="00857BCB">
        <w:rPr>
          <w:sz w:val="24"/>
          <w:szCs w:val="24"/>
        </w:rPr>
        <w:t>esta oficina brindaría “asistencia técnica</w:t>
      </w:r>
      <w:r w:rsidR="00591D1F" w:rsidRPr="00857BCB">
        <w:rPr>
          <w:sz w:val="24"/>
          <w:szCs w:val="24"/>
        </w:rPr>
        <w:t xml:space="preserve"> y capacitación a los equipos de trabajo, conformados en los sectores del gobierno nacional (…)</w:t>
      </w:r>
      <w:r w:rsidR="00A216F7" w:rsidRPr="00857BCB">
        <w:rPr>
          <w:sz w:val="24"/>
          <w:szCs w:val="24"/>
        </w:rPr>
        <w:t>”</w:t>
      </w:r>
      <w:r w:rsidR="00627992" w:rsidRPr="00857BCB">
        <w:rPr>
          <w:sz w:val="24"/>
          <w:szCs w:val="24"/>
        </w:rPr>
        <w:t>.</w:t>
      </w:r>
      <w:r w:rsidR="00A216F7" w:rsidRPr="00857BCB">
        <w:rPr>
          <w:sz w:val="24"/>
          <w:szCs w:val="24"/>
        </w:rPr>
        <w:t xml:space="preserve"> Sin embargo, este punto no se llegó a materializar.</w:t>
      </w:r>
      <w:r w:rsidR="00591D1F" w:rsidRPr="00857BCB">
        <w:rPr>
          <w:sz w:val="24"/>
          <w:szCs w:val="24"/>
        </w:rPr>
        <w:t xml:space="preserve"> </w:t>
      </w:r>
      <w:r w:rsidR="00A216F7" w:rsidRPr="00857BCB">
        <w:rPr>
          <w:sz w:val="24"/>
          <w:szCs w:val="24"/>
        </w:rPr>
        <w:t>E</w:t>
      </w:r>
      <w:r w:rsidR="00115FB7" w:rsidRPr="00857BCB">
        <w:rPr>
          <w:sz w:val="24"/>
          <w:szCs w:val="24"/>
        </w:rPr>
        <w:t xml:space="preserve">sta </w:t>
      </w:r>
      <w:r w:rsidR="00083E0E" w:rsidRPr="00857BCB">
        <w:rPr>
          <w:sz w:val="24"/>
          <w:szCs w:val="24"/>
        </w:rPr>
        <w:t xml:space="preserve">oficina </w:t>
      </w:r>
      <w:r w:rsidR="004A13D1" w:rsidRPr="00857BCB">
        <w:rPr>
          <w:sz w:val="24"/>
          <w:szCs w:val="24"/>
        </w:rPr>
        <w:t xml:space="preserve">desarrollaba sus capacitaciones por </w:t>
      </w:r>
      <w:r w:rsidR="00D851DB" w:rsidRPr="00857BCB">
        <w:rPr>
          <w:sz w:val="24"/>
          <w:szCs w:val="24"/>
        </w:rPr>
        <w:t>demanda</w:t>
      </w:r>
      <w:r w:rsidR="004A13D1" w:rsidRPr="00857BCB">
        <w:rPr>
          <w:sz w:val="24"/>
          <w:szCs w:val="24"/>
        </w:rPr>
        <w:t xml:space="preserve"> de los gobiernos regionales y en el marco de otras cooperaciones institucionales (por ejemplo, sobre contrataciones</w:t>
      </w:r>
      <w:r w:rsidR="00AB209B" w:rsidRPr="00857BCB">
        <w:rPr>
          <w:sz w:val="24"/>
          <w:szCs w:val="24"/>
        </w:rPr>
        <w:t xml:space="preserve"> </w:t>
      </w:r>
      <w:r w:rsidR="004A13D1" w:rsidRPr="00857BCB">
        <w:rPr>
          <w:sz w:val="24"/>
          <w:szCs w:val="24"/>
        </w:rPr>
        <w:t>del Estado</w:t>
      </w:r>
      <w:r w:rsidR="00212192" w:rsidRPr="00857BCB">
        <w:rPr>
          <w:sz w:val="24"/>
          <w:szCs w:val="24"/>
        </w:rPr>
        <w:t>, la oficina</w:t>
      </w:r>
      <w:r w:rsidR="004A13D1" w:rsidRPr="00857BCB">
        <w:rPr>
          <w:sz w:val="24"/>
          <w:szCs w:val="24"/>
        </w:rPr>
        <w:t xml:space="preserve"> </w:t>
      </w:r>
      <w:r w:rsidR="00212192" w:rsidRPr="00857BCB">
        <w:rPr>
          <w:sz w:val="24"/>
          <w:szCs w:val="24"/>
        </w:rPr>
        <w:t>realizó</w:t>
      </w:r>
      <w:r w:rsidR="004A13D1" w:rsidRPr="00857BCB">
        <w:rPr>
          <w:sz w:val="24"/>
          <w:szCs w:val="24"/>
        </w:rPr>
        <w:t xml:space="preserve"> talleres de capacitación en Piura coauspiciadas por</w:t>
      </w:r>
      <w:r w:rsidR="00B1179E" w:rsidRPr="00857BCB">
        <w:rPr>
          <w:sz w:val="24"/>
          <w:szCs w:val="24"/>
        </w:rPr>
        <w:t xml:space="preserve"> el</w:t>
      </w:r>
      <w:r w:rsidR="004A13D1" w:rsidRPr="00857BCB">
        <w:rPr>
          <w:sz w:val="24"/>
          <w:szCs w:val="24"/>
        </w:rPr>
        <w:t xml:space="preserve"> </w:t>
      </w:r>
      <w:r w:rsidR="00B1179E" w:rsidRPr="00857BCB">
        <w:rPr>
          <w:sz w:val="24"/>
          <w:szCs w:val="24"/>
        </w:rPr>
        <w:t>Organismo Supervisor de las Contrataciones del Estado – OSCE</w:t>
      </w:r>
      <w:r w:rsidR="00322FD8" w:rsidRPr="00857BCB">
        <w:rPr>
          <w:sz w:val="24"/>
          <w:szCs w:val="24"/>
        </w:rPr>
        <w:t>)</w:t>
      </w:r>
      <w:r w:rsidR="00B1179E" w:rsidRPr="00857BCB">
        <w:rPr>
          <w:sz w:val="24"/>
          <w:szCs w:val="24"/>
        </w:rPr>
        <w:t>.</w:t>
      </w:r>
      <w:r w:rsidR="00105C36" w:rsidRPr="00857BCB">
        <w:rPr>
          <w:sz w:val="24"/>
          <w:szCs w:val="24"/>
        </w:rPr>
        <w:t xml:space="preserve"> Según </w:t>
      </w:r>
      <w:r w:rsidR="00E64A1F" w:rsidRPr="00857BCB">
        <w:rPr>
          <w:sz w:val="24"/>
          <w:szCs w:val="24"/>
        </w:rPr>
        <w:t>dos entrevistados</w:t>
      </w:r>
      <w:r w:rsidR="00105C36" w:rsidRPr="00857BCB">
        <w:rPr>
          <w:sz w:val="24"/>
          <w:szCs w:val="24"/>
        </w:rPr>
        <w:t>, las oficinas de la PCM bajo el anterior ROF se manejaban como “islas”, con poca interacción entre ellas.</w:t>
      </w:r>
      <w:r w:rsidR="00EB1B70" w:rsidRPr="00857BCB">
        <w:rPr>
          <w:sz w:val="24"/>
          <w:szCs w:val="24"/>
        </w:rPr>
        <w:t xml:space="preserve"> </w:t>
      </w:r>
      <w:r w:rsidR="00D851DB" w:rsidRPr="00857BCB">
        <w:rPr>
          <w:sz w:val="24"/>
          <w:szCs w:val="24"/>
        </w:rPr>
        <w:t>Finalmente, e</w:t>
      </w:r>
      <w:r w:rsidR="00EB1B70" w:rsidRPr="00857BCB">
        <w:rPr>
          <w:sz w:val="24"/>
          <w:szCs w:val="24"/>
        </w:rPr>
        <w:t xml:space="preserve">l protagonismo de las </w:t>
      </w:r>
      <w:r w:rsidR="00E64A1F" w:rsidRPr="00857BCB">
        <w:rPr>
          <w:sz w:val="24"/>
          <w:szCs w:val="24"/>
        </w:rPr>
        <w:t>AMC</w:t>
      </w:r>
      <w:r w:rsidR="00EB1B70" w:rsidRPr="00857BCB">
        <w:rPr>
          <w:sz w:val="24"/>
          <w:szCs w:val="24"/>
        </w:rPr>
        <w:t xml:space="preserve"> recay</w:t>
      </w:r>
      <w:r w:rsidR="00D851DB" w:rsidRPr="00857BCB">
        <w:rPr>
          <w:sz w:val="24"/>
          <w:szCs w:val="24"/>
        </w:rPr>
        <w:t>ó</w:t>
      </w:r>
      <w:r w:rsidR="00EB1B70" w:rsidRPr="00857BCB">
        <w:rPr>
          <w:sz w:val="24"/>
          <w:szCs w:val="24"/>
        </w:rPr>
        <w:t xml:space="preserve"> en los sectores</w:t>
      </w:r>
      <w:r w:rsidR="003C046F" w:rsidRPr="00857BCB">
        <w:rPr>
          <w:sz w:val="24"/>
          <w:szCs w:val="24"/>
        </w:rPr>
        <w:t>, que no han sido contrapartes oficiales del proyecto.</w:t>
      </w:r>
    </w:p>
    <w:p w14:paraId="1AA495C2" w14:textId="162AACCB" w:rsidR="00A454C2" w:rsidRPr="00857BCB" w:rsidRDefault="00F970A3" w:rsidP="00265FAA">
      <w:pPr>
        <w:jc w:val="both"/>
        <w:rPr>
          <w:sz w:val="24"/>
          <w:szCs w:val="24"/>
        </w:rPr>
      </w:pPr>
      <w:r w:rsidRPr="00857BCB">
        <w:rPr>
          <w:sz w:val="24"/>
          <w:szCs w:val="24"/>
        </w:rPr>
        <w:t>Finalmente</w:t>
      </w:r>
      <w:r w:rsidR="00E64A1F" w:rsidRPr="00857BCB">
        <w:rPr>
          <w:sz w:val="24"/>
          <w:szCs w:val="24"/>
        </w:rPr>
        <w:t>, l</w:t>
      </w:r>
      <w:r w:rsidR="00927BA3" w:rsidRPr="00857BCB">
        <w:rPr>
          <w:sz w:val="24"/>
          <w:szCs w:val="24"/>
        </w:rPr>
        <w:t>as iniciativas vinculadas a la Secretaría de Descentralización decayeron en importancia política a fines del gobierno anterior. Por ejemplo, e</w:t>
      </w:r>
      <w:r w:rsidR="00A454C2" w:rsidRPr="00857BCB">
        <w:rPr>
          <w:sz w:val="24"/>
          <w:szCs w:val="24"/>
        </w:rPr>
        <w:t xml:space="preserve">n 2015, se </w:t>
      </w:r>
      <w:r w:rsidR="00927BA3" w:rsidRPr="00857BCB">
        <w:rPr>
          <w:sz w:val="24"/>
          <w:szCs w:val="24"/>
        </w:rPr>
        <w:t>aprobó</w:t>
      </w:r>
      <w:r w:rsidR="00A454C2" w:rsidRPr="00857BCB">
        <w:rPr>
          <w:sz w:val="24"/>
          <w:szCs w:val="24"/>
        </w:rPr>
        <w:t xml:space="preserve"> a través de resolución de secretaria el "Plan </w:t>
      </w:r>
      <w:r w:rsidR="003E170D" w:rsidRPr="00857BCB">
        <w:rPr>
          <w:sz w:val="24"/>
          <w:szCs w:val="24"/>
        </w:rPr>
        <w:t>Nacional de Fortalecimiento de Capacidades Institucionales para la Gestión Descentralizada</w:t>
      </w:r>
      <w:r w:rsidR="00A454C2" w:rsidRPr="00857BCB">
        <w:rPr>
          <w:sz w:val="24"/>
          <w:szCs w:val="24"/>
        </w:rPr>
        <w:t>"</w:t>
      </w:r>
      <w:r w:rsidR="00083E0E" w:rsidRPr="00857BCB">
        <w:rPr>
          <w:sz w:val="24"/>
          <w:szCs w:val="24"/>
        </w:rPr>
        <w:t>, elaborado por la Oficina de Desarrollo de Capacidades</w:t>
      </w:r>
      <w:r w:rsidR="00A454C2" w:rsidRPr="00857BCB">
        <w:rPr>
          <w:sz w:val="24"/>
          <w:szCs w:val="24"/>
        </w:rPr>
        <w:t xml:space="preserve">. </w:t>
      </w:r>
      <w:r w:rsidR="00927BA3" w:rsidRPr="00857BCB">
        <w:rPr>
          <w:sz w:val="24"/>
          <w:szCs w:val="24"/>
        </w:rPr>
        <w:t xml:space="preserve">Se esperaba que este instrumento </w:t>
      </w:r>
      <w:r w:rsidR="00D851DB" w:rsidRPr="00857BCB">
        <w:rPr>
          <w:sz w:val="24"/>
          <w:szCs w:val="24"/>
        </w:rPr>
        <w:t>fuera</w:t>
      </w:r>
      <w:r w:rsidR="00927BA3" w:rsidRPr="00857BCB">
        <w:rPr>
          <w:sz w:val="24"/>
          <w:szCs w:val="24"/>
        </w:rPr>
        <w:t xml:space="preserve"> aprobado por Decreto Supremo</w:t>
      </w:r>
      <w:r w:rsidR="00A454C2" w:rsidRPr="00857BCB">
        <w:rPr>
          <w:sz w:val="24"/>
          <w:szCs w:val="24"/>
        </w:rPr>
        <w:t>,</w:t>
      </w:r>
      <w:r w:rsidR="00E629F0" w:rsidRPr="00857BCB">
        <w:rPr>
          <w:sz w:val="24"/>
          <w:szCs w:val="24"/>
        </w:rPr>
        <w:t xml:space="preserve"> </w:t>
      </w:r>
      <w:r w:rsidR="001C5D9E" w:rsidRPr="00857BCB">
        <w:rPr>
          <w:sz w:val="24"/>
          <w:szCs w:val="24"/>
        </w:rPr>
        <w:t>pero no se</w:t>
      </w:r>
      <w:r w:rsidR="00E629F0" w:rsidRPr="00857BCB">
        <w:rPr>
          <w:sz w:val="24"/>
          <w:szCs w:val="24"/>
        </w:rPr>
        <w:t xml:space="preserve"> tuvo la aprobación del Despacho del Presidente del Consejo de Ministros,</w:t>
      </w:r>
      <w:r w:rsidR="00A454C2" w:rsidRPr="00857BCB">
        <w:rPr>
          <w:sz w:val="24"/>
          <w:szCs w:val="24"/>
        </w:rPr>
        <w:t xml:space="preserve"> por lo que finalmente lo publicaron como resolución de la </w:t>
      </w:r>
      <w:r w:rsidR="00083E0E" w:rsidRPr="00857BCB">
        <w:rPr>
          <w:sz w:val="24"/>
          <w:szCs w:val="24"/>
        </w:rPr>
        <w:t>Secretaría de Descentralización</w:t>
      </w:r>
      <w:r w:rsidR="00A454C2" w:rsidRPr="00857BCB">
        <w:rPr>
          <w:sz w:val="24"/>
          <w:szCs w:val="24"/>
        </w:rPr>
        <w:t>.</w:t>
      </w:r>
      <w:r w:rsidR="00927BA3" w:rsidRPr="00857BCB">
        <w:rPr>
          <w:sz w:val="24"/>
          <w:szCs w:val="24"/>
        </w:rPr>
        <w:t xml:space="preserve"> </w:t>
      </w:r>
      <w:r w:rsidR="009B047A" w:rsidRPr="00857BCB">
        <w:rPr>
          <w:sz w:val="24"/>
          <w:szCs w:val="24"/>
        </w:rPr>
        <w:t>También, h</w:t>
      </w:r>
      <w:r w:rsidR="00A454C2" w:rsidRPr="00857BCB">
        <w:rPr>
          <w:sz w:val="24"/>
          <w:szCs w:val="24"/>
        </w:rPr>
        <w:t>acia fines del gobierno de</w:t>
      </w:r>
      <w:r w:rsidR="001C7E03" w:rsidRPr="00857BCB">
        <w:rPr>
          <w:sz w:val="24"/>
          <w:szCs w:val="24"/>
        </w:rPr>
        <w:t xml:space="preserve"> Ollanta</w:t>
      </w:r>
      <w:r w:rsidR="00A454C2" w:rsidRPr="00857BCB">
        <w:rPr>
          <w:sz w:val="24"/>
          <w:szCs w:val="24"/>
        </w:rPr>
        <w:t xml:space="preserve"> Humala, se diseñó un "Sistema </w:t>
      </w:r>
      <w:r w:rsidR="003E170D" w:rsidRPr="00857BCB">
        <w:rPr>
          <w:sz w:val="24"/>
          <w:szCs w:val="24"/>
        </w:rPr>
        <w:t>de Seguimiento, Monitoreo y Evaluación de la Gestión Descentralizada de los Servicios Públicos</w:t>
      </w:r>
      <w:r w:rsidR="00A454C2" w:rsidRPr="00857BCB">
        <w:rPr>
          <w:sz w:val="24"/>
          <w:szCs w:val="24"/>
        </w:rPr>
        <w:t xml:space="preserve">", pero con el cambio de gobierno entró en rediseño y no aparece en documentos </w:t>
      </w:r>
      <w:r w:rsidR="00D851DB" w:rsidRPr="00857BCB">
        <w:rPr>
          <w:sz w:val="24"/>
          <w:szCs w:val="24"/>
        </w:rPr>
        <w:t>ulteriores</w:t>
      </w:r>
      <w:r w:rsidR="00A454C2" w:rsidRPr="00857BCB">
        <w:rPr>
          <w:sz w:val="24"/>
          <w:szCs w:val="24"/>
        </w:rPr>
        <w:t>.</w:t>
      </w:r>
      <w:r w:rsidR="00592B60" w:rsidRPr="00857BCB">
        <w:rPr>
          <w:sz w:val="24"/>
          <w:szCs w:val="24"/>
        </w:rPr>
        <w:t xml:space="preserve"> </w:t>
      </w:r>
      <w:r w:rsidR="00756654" w:rsidRPr="00857BCB">
        <w:rPr>
          <w:sz w:val="24"/>
          <w:szCs w:val="24"/>
        </w:rPr>
        <w:t>Una excepción en 2016, fue la aprobación de</w:t>
      </w:r>
      <w:r w:rsidR="00592B60" w:rsidRPr="00857BCB">
        <w:rPr>
          <w:sz w:val="24"/>
          <w:szCs w:val="24"/>
        </w:rPr>
        <w:t xml:space="preserve"> </w:t>
      </w:r>
      <w:r w:rsidR="00055F60" w:rsidRPr="00857BCB">
        <w:rPr>
          <w:sz w:val="24"/>
          <w:szCs w:val="24"/>
        </w:rPr>
        <w:t>la “</w:t>
      </w:r>
      <w:r w:rsidR="00813AC9" w:rsidRPr="00857BCB">
        <w:rPr>
          <w:sz w:val="24"/>
          <w:szCs w:val="24"/>
        </w:rPr>
        <w:t xml:space="preserve">Directiva </w:t>
      </w:r>
      <w:r w:rsidR="00055F60" w:rsidRPr="00857BCB">
        <w:rPr>
          <w:sz w:val="24"/>
          <w:szCs w:val="24"/>
        </w:rPr>
        <w:t>para el desarrollo de la gestión descentralizada de los servicios públicos orientados a resultados”</w:t>
      </w:r>
      <w:r w:rsidR="00FA0792" w:rsidRPr="00857BCB">
        <w:rPr>
          <w:sz w:val="24"/>
          <w:szCs w:val="24"/>
        </w:rPr>
        <w:t xml:space="preserve"> mediante resolución ministerial 014-2016-PCM.</w:t>
      </w:r>
      <w:r w:rsidR="001C7E03" w:rsidRPr="00857BCB">
        <w:rPr>
          <w:sz w:val="24"/>
          <w:szCs w:val="24"/>
        </w:rPr>
        <w:t xml:space="preserve"> El cambio de gobierno, no obstante, significó un replanteamiento general </w:t>
      </w:r>
      <w:r w:rsidR="00D851DB" w:rsidRPr="00857BCB">
        <w:rPr>
          <w:sz w:val="24"/>
          <w:szCs w:val="24"/>
        </w:rPr>
        <w:t>de</w:t>
      </w:r>
      <w:r w:rsidR="001C7E03" w:rsidRPr="00857BCB">
        <w:rPr>
          <w:sz w:val="24"/>
          <w:szCs w:val="24"/>
        </w:rPr>
        <w:t xml:space="preserve"> la estrategia de descentralización materializada en estos documentos.</w:t>
      </w:r>
    </w:p>
    <w:p w14:paraId="4491FD4A" w14:textId="1ABACCBC" w:rsidR="00E629F0" w:rsidRPr="00857BCB" w:rsidRDefault="00E629F0" w:rsidP="00265FAA">
      <w:pPr>
        <w:jc w:val="both"/>
        <w:rPr>
          <w:sz w:val="24"/>
          <w:szCs w:val="24"/>
        </w:rPr>
      </w:pPr>
      <w:r w:rsidRPr="00857BCB">
        <w:rPr>
          <w:sz w:val="24"/>
          <w:szCs w:val="24"/>
        </w:rPr>
        <w:t xml:space="preserve">En resumen, la implantación del enfoque de gestión descentralizada </w:t>
      </w:r>
      <w:r w:rsidR="00350830" w:rsidRPr="00857BCB">
        <w:rPr>
          <w:sz w:val="24"/>
          <w:szCs w:val="24"/>
        </w:rPr>
        <w:t>abrió la oportunidad de generar información valiosa sobre el estado de las transferencias y las percepciones sobre los servicios públicos</w:t>
      </w:r>
      <w:r w:rsidR="0028111F" w:rsidRPr="00857BCB">
        <w:rPr>
          <w:sz w:val="24"/>
          <w:szCs w:val="24"/>
        </w:rPr>
        <w:t>, así como de generar acciones de mejora en las capacidades institucionales</w:t>
      </w:r>
      <w:r w:rsidR="0028111F" w:rsidRPr="00857BCB">
        <w:rPr>
          <w:rStyle w:val="FootnoteReference"/>
          <w:sz w:val="24"/>
          <w:szCs w:val="24"/>
        </w:rPr>
        <w:footnoteReference w:id="17"/>
      </w:r>
      <w:r w:rsidR="0028111F" w:rsidRPr="00857BCB">
        <w:rPr>
          <w:sz w:val="24"/>
          <w:szCs w:val="24"/>
        </w:rPr>
        <w:t xml:space="preserve"> de las oficinas públicas</w:t>
      </w:r>
      <w:r w:rsidR="00350830" w:rsidRPr="00857BCB">
        <w:rPr>
          <w:sz w:val="24"/>
          <w:szCs w:val="24"/>
        </w:rPr>
        <w:t xml:space="preserve">. </w:t>
      </w:r>
      <w:r w:rsidR="007D0B23" w:rsidRPr="00857BCB">
        <w:rPr>
          <w:sz w:val="24"/>
          <w:szCs w:val="24"/>
        </w:rPr>
        <w:t xml:space="preserve">Si bien </w:t>
      </w:r>
      <w:r w:rsidR="00350830" w:rsidRPr="00857BCB">
        <w:rPr>
          <w:sz w:val="24"/>
          <w:szCs w:val="24"/>
        </w:rPr>
        <w:t>las ac</w:t>
      </w:r>
      <w:r w:rsidR="00E33C68" w:rsidRPr="00857BCB">
        <w:rPr>
          <w:sz w:val="24"/>
          <w:szCs w:val="24"/>
        </w:rPr>
        <w:t xml:space="preserve">ciones </w:t>
      </w:r>
      <w:r w:rsidR="00B16E9E" w:rsidRPr="00857BCB">
        <w:rPr>
          <w:sz w:val="24"/>
          <w:szCs w:val="24"/>
        </w:rPr>
        <w:t>vinculadas a la gestión descentralizada</w:t>
      </w:r>
      <w:r w:rsidR="00E33C68" w:rsidRPr="00857BCB">
        <w:rPr>
          <w:sz w:val="24"/>
          <w:szCs w:val="24"/>
        </w:rPr>
        <w:t xml:space="preserve"> se llevaron adelante, el vínculo de dichas acciones con </w:t>
      </w:r>
      <w:r w:rsidR="00FD62C6" w:rsidRPr="00857BCB">
        <w:rPr>
          <w:sz w:val="24"/>
          <w:szCs w:val="24"/>
        </w:rPr>
        <w:t>el resultado declarado</w:t>
      </w:r>
      <w:r w:rsidR="008F1ABF" w:rsidRPr="00857BCB">
        <w:rPr>
          <w:sz w:val="24"/>
          <w:szCs w:val="24"/>
        </w:rPr>
        <w:t xml:space="preserve"> (a saber</w:t>
      </w:r>
      <w:r w:rsidR="005377F7" w:rsidRPr="00857BCB">
        <w:rPr>
          <w:sz w:val="24"/>
          <w:szCs w:val="24"/>
        </w:rPr>
        <w:t>,</w:t>
      </w:r>
      <w:r w:rsidR="008F1ABF" w:rsidRPr="00857BCB">
        <w:rPr>
          <w:sz w:val="24"/>
          <w:szCs w:val="24"/>
        </w:rPr>
        <w:t xml:space="preserve"> que las “competencias de gestión de los funcionarios públicos (sean) fortalecidas, a nivel regional y local en el marco del proceso de descentralización y modernización del Estado</w:t>
      </w:r>
      <w:r w:rsidR="007C5CBE" w:rsidRPr="00857BCB">
        <w:rPr>
          <w:sz w:val="24"/>
          <w:szCs w:val="24"/>
        </w:rPr>
        <w:t>”</w:t>
      </w:r>
      <w:r w:rsidR="008F1ABF" w:rsidRPr="00857BCB">
        <w:rPr>
          <w:sz w:val="24"/>
          <w:szCs w:val="24"/>
        </w:rPr>
        <w:t>) es menos evidente</w:t>
      </w:r>
      <w:r w:rsidR="00AD132A" w:rsidRPr="00857BCB">
        <w:rPr>
          <w:sz w:val="24"/>
          <w:szCs w:val="24"/>
        </w:rPr>
        <w:t xml:space="preserve"> si tomamos en </w:t>
      </w:r>
      <w:r w:rsidR="00AD132A" w:rsidRPr="00857BCB">
        <w:rPr>
          <w:sz w:val="24"/>
          <w:szCs w:val="24"/>
        </w:rPr>
        <w:lastRenderedPageBreak/>
        <w:t xml:space="preserve">cuenta la ausencia de documentación </w:t>
      </w:r>
      <w:r w:rsidR="00E75F01" w:rsidRPr="00857BCB">
        <w:rPr>
          <w:sz w:val="24"/>
          <w:szCs w:val="24"/>
        </w:rPr>
        <w:t xml:space="preserve">y de memoria institucional en los gobiernos regionales que </w:t>
      </w:r>
      <w:r w:rsidR="00A91D2F" w:rsidRPr="00857BCB">
        <w:rPr>
          <w:sz w:val="24"/>
          <w:szCs w:val="24"/>
        </w:rPr>
        <w:t>muestre</w:t>
      </w:r>
      <w:r w:rsidR="001B2319" w:rsidRPr="00857BCB">
        <w:rPr>
          <w:sz w:val="24"/>
          <w:szCs w:val="24"/>
        </w:rPr>
        <w:t>n</w:t>
      </w:r>
      <w:r w:rsidR="00A91D2F" w:rsidRPr="00857BCB">
        <w:rPr>
          <w:sz w:val="24"/>
          <w:szCs w:val="24"/>
        </w:rPr>
        <w:t xml:space="preserve"> indicadores de</w:t>
      </w:r>
      <w:r w:rsidR="00E75F01" w:rsidRPr="00857BCB">
        <w:rPr>
          <w:sz w:val="24"/>
          <w:szCs w:val="24"/>
        </w:rPr>
        <w:t xml:space="preserve"> dicho fortalecimiento</w:t>
      </w:r>
      <w:r w:rsidR="008F1ABF" w:rsidRPr="00857BCB">
        <w:rPr>
          <w:sz w:val="24"/>
          <w:szCs w:val="24"/>
        </w:rPr>
        <w:t>.</w:t>
      </w:r>
    </w:p>
    <w:p w14:paraId="54613941" w14:textId="77777777" w:rsidR="008405D3" w:rsidRPr="00857BCB" w:rsidRDefault="008405D3" w:rsidP="00E70362">
      <w:pPr>
        <w:ind w:left="-360"/>
        <w:jc w:val="both"/>
        <w:rPr>
          <w:b/>
          <w:sz w:val="24"/>
          <w:szCs w:val="24"/>
        </w:rPr>
      </w:pPr>
    </w:p>
    <w:p w14:paraId="51EE62FC" w14:textId="28E4807E" w:rsidR="00F41C36" w:rsidRPr="00857BCB" w:rsidRDefault="00272547" w:rsidP="009A3727">
      <w:pPr>
        <w:pStyle w:val="Heading3"/>
        <w:ind w:left="709"/>
        <w:rPr>
          <w:i/>
          <w:color w:val="000000" w:themeColor="text1"/>
          <w:u w:val="single"/>
        </w:rPr>
      </w:pPr>
      <w:bookmarkStart w:id="6" w:name="_Toc523393985"/>
      <w:r w:rsidRPr="00857BCB">
        <w:rPr>
          <w:i/>
          <w:color w:val="000000" w:themeColor="text1"/>
        </w:rPr>
        <w:t>2.1.3</w:t>
      </w:r>
      <w:r w:rsidRPr="00857BCB">
        <w:rPr>
          <w:i/>
          <w:color w:val="000000" w:themeColor="text1"/>
        </w:rPr>
        <w:tab/>
      </w:r>
      <w:r w:rsidR="00F41C36" w:rsidRPr="00857BCB">
        <w:rPr>
          <w:i/>
          <w:color w:val="000000" w:themeColor="text1"/>
          <w:u w:val="single"/>
        </w:rPr>
        <w:t>Sobre el fortalecimiento de las capacidades de integración económica</w:t>
      </w:r>
      <w:r w:rsidR="00181933" w:rsidRPr="00857BCB">
        <w:rPr>
          <w:i/>
          <w:color w:val="000000" w:themeColor="text1"/>
          <w:u w:val="single"/>
        </w:rPr>
        <w:t xml:space="preserve"> (mancomunidades).</w:t>
      </w:r>
      <w:bookmarkEnd w:id="6"/>
    </w:p>
    <w:p w14:paraId="29D641AF" w14:textId="77777777" w:rsidR="009A3727" w:rsidRPr="00857BCB" w:rsidRDefault="009A3727" w:rsidP="00265FAA">
      <w:pPr>
        <w:jc w:val="both"/>
        <w:rPr>
          <w:sz w:val="24"/>
          <w:szCs w:val="24"/>
        </w:rPr>
      </w:pPr>
    </w:p>
    <w:p w14:paraId="47A256F7" w14:textId="5BF09183" w:rsidR="00F41C36" w:rsidRPr="00857BCB" w:rsidRDefault="0037331F" w:rsidP="00265FAA">
      <w:pPr>
        <w:jc w:val="both"/>
        <w:rPr>
          <w:sz w:val="24"/>
          <w:szCs w:val="24"/>
        </w:rPr>
      </w:pPr>
      <w:r w:rsidRPr="00857BCB">
        <w:rPr>
          <w:sz w:val="24"/>
          <w:szCs w:val="24"/>
        </w:rPr>
        <w:t>Este componente fue introducido en la revisión sustantiva de 2013</w:t>
      </w:r>
      <w:r w:rsidR="00181933" w:rsidRPr="00857BCB">
        <w:rPr>
          <w:sz w:val="24"/>
          <w:szCs w:val="24"/>
        </w:rPr>
        <w:t xml:space="preserve"> y ha tenido como trabajo protagónico el </w:t>
      </w:r>
      <w:r w:rsidR="00BB6838" w:rsidRPr="00857BCB">
        <w:rPr>
          <w:sz w:val="24"/>
          <w:szCs w:val="24"/>
        </w:rPr>
        <w:t>fortalecimiento de las</w:t>
      </w:r>
      <w:r w:rsidR="00A24485" w:rsidRPr="00857BCB">
        <w:rPr>
          <w:sz w:val="24"/>
          <w:szCs w:val="24"/>
        </w:rPr>
        <w:t xml:space="preserve"> </w:t>
      </w:r>
      <w:r w:rsidR="00181933" w:rsidRPr="00857BCB">
        <w:rPr>
          <w:sz w:val="24"/>
          <w:szCs w:val="24"/>
        </w:rPr>
        <w:t>mancomunidades</w:t>
      </w:r>
      <w:r w:rsidR="005D1F1C" w:rsidRPr="00857BCB">
        <w:rPr>
          <w:sz w:val="24"/>
          <w:szCs w:val="24"/>
        </w:rPr>
        <w:t>, tanto regionales como municipales</w:t>
      </w:r>
      <w:r w:rsidR="00181933" w:rsidRPr="00857BCB">
        <w:rPr>
          <w:sz w:val="24"/>
          <w:szCs w:val="24"/>
        </w:rPr>
        <w:t xml:space="preserve">. </w:t>
      </w:r>
      <w:r w:rsidR="009C7991" w:rsidRPr="00857BCB">
        <w:rPr>
          <w:sz w:val="24"/>
          <w:szCs w:val="24"/>
        </w:rPr>
        <w:t xml:space="preserve">Las debilidades </w:t>
      </w:r>
      <w:r w:rsidR="00BE0B62" w:rsidRPr="00857BCB">
        <w:rPr>
          <w:sz w:val="24"/>
          <w:szCs w:val="24"/>
        </w:rPr>
        <w:t>detectadas</w:t>
      </w:r>
      <w:r w:rsidR="00A24485" w:rsidRPr="00857BCB">
        <w:rPr>
          <w:sz w:val="24"/>
          <w:szCs w:val="24"/>
        </w:rPr>
        <w:t xml:space="preserve"> hasta esa fecha</w:t>
      </w:r>
      <w:r w:rsidR="00BE0B62" w:rsidRPr="00857BCB">
        <w:rPr>
          <w:sz w:val="24"/>
          <w:szCs w:val="24"/>
        </w:rPr>
        <w:t xml:space="preserve"> para que </w:t>
      </w:r>
      <w:r w:rsidR="009C7991" w:rsidRPr="00857BCB">
        <w:rPr>
          <w:sz w:val="24"/>
          <w:szCs w:val="24"/>
        </w:rPr>
        <w:t xml:space="preserve">las mancomunidades </w:t>
      </w:r>
      <w:r w:rsidR="00BE0B62" w:rsidRPr="00857BCB">
        <w:rPr>
          <w:sz w:val="24"/>
          <w:szCs w:val="24"/>
        </w:rPr>
        <w:t>presenten</w:t>
      </w:r>
      <w:r w:rsidR="009C7991" w:rsidRPr="00857BCB">
        <w:rPr>
          <w:sz w:val="24"/>
          <w:szCs w:val="24"/>
        </w:rPr>
        <w:t xml:space="preserve"> proyectos </w:t>
      </w:r>
      <w:r w:rsidR="00BE0B62" w:rsidRPr="00857BCB">
        <w:rPr>
          <w:sz w:val="24"/>
          <w:szCs w:val="24"/>
        </w:rPr>
        <w:t>que aprueben los requisitos del FONIPREL</w:t>
      </w:r>
      <w:r w:rsidR="00BC6598" w:rsidRPr="00857BCB">
        <w:rPr>
          <w:sz w:val="24"/>
          <w:szCs w:val="24"/>
        </w:rPr>
        <w:t>, FONIE, Agua para Todos, entre otros</w:t>
      </w:r>
      <w:r w:rsidR="0005012F" w:rsidRPr="00857BCB">
        <w:rPr>
          <w:sz w:val="24"/>
          <w:szCs w:val="24"/>
        </w:rPr>
        <w:t>,</w:t>
      </w:r>
      <w:r w:rsidR="00BC6598" w:rsidRPr="00857BCB">
        <w:rPr>
          <w:sz w:val="24"/>
          <w:szCs w:val="24"/>
        </w:rPr>
        <w:t xml:space="preserve"> llevó a trabajar esta línea de acción</w:t>
      </w:r>
      <w:r w:rsidR="000A69B7" w:rsidRPr="00857BCB">
        <w:rPr>
          <w:rStyle w:val="FootnoteReference"/>
          <w:sz w:val="24"/>
          <w:szCs w:val="24"/>
        </w:rPr>
        <w:footnoteReference w:id="18"/>
      </w:r>
      <w:r w:rsidR="00BC6598" w:rsidRPr="00857BCB">
        <w:rPr>
          <w:sz w:val="24"/>
          <w:szCs w:val="24"/>
        </w:rPr>
        <w:t>.</w:t>
      </w:r>
    </w:p>
    <w:p w14:paraId="370B4414" w14:textId="77777777" w:rsidR="00D709FA" w:rsidRPr="00857BCB" w:rsidRDefault="00D709FA" w:rsidP="00265FAA">
      <w:pPr>
        <w:jc w:val="both"/>
        <w:rPr>
          <w:sz w:val="24"/>
          <w:szCs w:val="24"/>
        </w:rPr>
      </w:pPr>
    </w:p>
    <w:p w14:paraId="66D52CBF" w14:textId="77777777" w:rsidR="00806E34" w:rsidRPr="00857BCB" w:rsidRDefault="00806E34">
      <w:pPr>
        <w:rPr>
          <w:b/>
          <w:sz w:val="24"/>
          <w:szCs w:val="24"/>
          <w:u w:val="single"/>
        </w:rPr>
      </w:pPr>
      <w:r w:rsidRPr="00857BCB">
        <w:rPr>
          <w:b/>
          <w:sz w:val="24"/>
          <w:szCs w:val="24"/>
          <w:u w:val="single"/>
        </w:rPr>
        <w:br w:type="page"/>
      </w:r>
    </w:p>
    <w:p w14:paraId="3011E984" w14:textId="281FCBAB" w:rsidR="00986278" w:rsidRPr="00857BCB" w:rsidRDefault="00986278" w:rsidP="00986278">
      <w:pPr>
        <w:jc w:val="center"/>
        <w:rPr>
          <w:b/>
          <w:sz w:val="24"/>
          <w:szCs w:val="24"/>
          <w:u w:val="single"/>
        </w:rPr>
      </w:pPr>
      <w:r w:rsidRPr="00857BCB">
        <w:rPr>
          <w:b/>
          <w:sz w:val="24"/>
          <w:szCs w:val="24"/>
          <w:u w:val="single"/>
        </w:rPr>
        <w:lastRenderedPageBreak/>
        <w:t>Resultado 1 (2013-2017): Competencias de gestión de los funcionarios públicos fortalecidas, a nivel regional y local en el marco del proceso de descentralización y modernización del Estado.</w:t>
      </w:r>
    </w:p>
    <w:p w14:paraId="3A382F57" w14:textId="2DF56641" w:rsidR="00806E34" w:rsidRPr="00857BCB" w:rsidRDefault="00986278" w:rsidP="00986278">
      <w:pPr>
        <w:jc w:val="center"/>
        <w:rPr>
          <w:b/>
          <w:sz w:val="24"/>
          <w:szCs w:val="24"/>
          <w:u w:val="single"/>
        </w:rPr>
      </w:pPr>
      <w:r w:rsidRPr="00857BCB">
        <w:rPr>
          <w:b/>
          <w:sz w:val="24"/>
          <w:szCs w:val="24"/>
          <w:u w:val="single"/>
        </w:rPr>
        <w:t>Actividades realizadas por año (componente de integración económica</w:t>
      </w:r>
      <w:r w:rsidR="00584410" w:rsidRPr="00857BCB">
        <w:rPr>
          <w:b/>
          <w:sz w:val="24"/>
          <w:szCs w:val="24"/>
          <w:u w:val="single"/>
        </w:rPr>
        <w:t>-mancomunidades</w:t>
      </w:r>
      <w:r w:rsidRPr="00857BCB">
        <w:rPr>
          <w:b/>
          <w:sz w:val="24"/>
          <w:szCs w:val="24"/>
          <w:u w:val="single"/>
        </w:rPr>
        <w:t>)</w:t>
      </w:r>
    </w:p>
    <w:tbl>
      <w:tblPr>
        <w:tblW w:w="9417" w:type="dxa"/>
        <w:tblInd w:w="-356" w:type="dxa"/>
        <w:tblLayout w:type="fixed"/>
        <w:tblCellMar>
          <w:left w:w="70" w:type="dxa"/>
          <w:right w:w="70" w:type="dxa"/>
        </w:tblCellMar>
        <w:tblLook w:val="04A0" w:firstRow="1" w:lastRow="0" w:firstColumn="1" w:lastColumn="0" w:noHBand="0" w:noVBand="1"/>
      </w:tblPr>
      <w:tblGrid>
        <w:gridCol w:w="426"/>
        <w:gridCol w:w="1134"/>
        <w:gridCol w:w="709"/>
        <w:gridCol w:w="1559"/>
        <w:gridCol w:w="2218"/>
        <w:gridCol w:w="1641"/>
        <w:gridCol w:w="252"/>
        <w:gridCol w:w="1478"/>
      </w:tblGrid>
      <w:tr w:rsidR="001C5D9E" w:rsidRPr="00D44C92" w14:paraId="129CD99A" w14:textId="77777777" w:rsidTr="00857BCB">
        <w:trPr>
          <w:trHeight w:val="123"/>
        </w:trPr>
        <w:tc>
          <w:tcPr>
            <w:tcW w:w="426" w:type="dxa"/>
            <w:tcBorders>
              <w:top w:val="single" w:sz="4" w:space="0" w:color="auto"/>
              <w:left w:val="single" w:sz="4" w:space="0" w:color="auto"/>
              <w:right w:val="single" w:sz="4" w:space="0" w:color="auto"/>
            </w:tcBorders>
            <w:shd w:val="clear" w:color="auto" w:fill="auto"/>
            <w:vAlign w:val="bottom"/>
            <w:hideMark/>
          </w:tcPr>
          <w:p w14:paraId="234E0F02" w14:textId="2CFEBB25" w:rsidR="001C5D9E" w:rsidRPr="00D44C92" w:rsidRDefault="00857BCB" w:rsidP="00D44C92">
            <w:pPr>
              <w:spacing w:after="0" w:line="240" w:lineRule="auto"/>
              <w:rPr>
                <w:rFonts w:ascii="Calibri" w:eastAsia="Times New Roman" w:hAnsi="Calibri" w:cs="Times New Roman"/>
                <w:b/>
                <w:bCs/>
                <w:color w:val="000000"/>
                <w:sz w:val="16"/>
                <w:szCs w:val="16"/>
                <w:lang w:eastAsia="es-PE"/>
              </w:rPr>
            </w:pPr>
            <w:proofErr w:type="spellStart"/>
            <w:r>
              <w:rPr>
                <w:rFonts w:ascii="Calibri" w:eastAsia="Times New Roman" w:hAnsi="Calibri" w:cs="Times New Roman"/>
                <w:b/>
                <w:bCs/>
                <w:color w:val="000000"/>
                <w:sz w:val="16"/>
                <w:szCs w:val="16"/>
                <w:lang w:eastAsia="es-PE"/>
              </w:rPr>
              <w:t>N°</w:t>
            </w:r>
            <w:proofErr w:type="spellEnd"/>
          </w:p>
        </w:tc>
        <w:tc>
          <w:tcPr>
            <w:tcW w:w="1134" w:type="dxa"/>
            <w:tcBorders>
              <w:top w:val="single" w:sz="4" w:space="0" w:color="auto"/>
              <w:left w:val="nil"/>
              <w:right w:val="single" w:sz="4" w:space="0" w:color="auto"/>
            </w:tcBorders>
            <w:shd w:val="clear" w:color="auto" w:fill="auto"/>
            <w:vAlign w:val="bottom"/>
            <w:hideMark/>
          </w:tcPr>
          <w:p w14:paraId="04A282DE" w14:textId="65420FE5" w:rsidR="001C5D9E" w:rsidRPr="00D44C92" w:rsidRDefault="001C5D9E" w:rsidP="001C5D9E">
            <w:pPr>
              <w:spacing w:after="0" w:line="240" w:lineRule="auto"/>
              <w:rPr>
                <w:rFonts w:ascii="Calibri" w:eastAsia="Times New Roman" w:hAnsi="Calibri" w:cs="Times New Roman"/>
                <w:b/>
                <w:bCs/>
                <w:color w:val="000000"/>
                <w:sz w:val="16"/>
                <w:szCs w:val="16"/>
                <w:lang w:eastAsia="es-PE"/>
              </w:rPr>
            </w:pPr>
            <w:r w:rsidRPr="00D44C92">
              <w:rPr>
                <w:rFonts w:ascii="Calibri" w:eastAsia="Times New Roman" w:hAnsi="Calibri" w:cs="Times New Roman"/>
                <w:b/>
                <w:bCs/>
                <w:color w:val="000000"/>
                <w:sz w:val="16"/>
                <w:szCs w:val="16"/>
                <w:lang w:eastAsia="es-PE"/>
              </w:rPr>
              <w:t xml:space="preserve">Actividad / </w:t>
            </w:r>
          </w:p>
        </w:tc>
        <w:tc>
          <w:tcPr>
            <w:tcW w:w="7857" w:type="dxa"/>
            <w:gridSpan w:val="6"/>
            <w:tcBorders>
              <w:top w:val="single" w:sz="4" w:space="0" w:color="auto"/>
              <w:left w:val="nil"/>
              <w:bottom w:val="single" w:sz="4" w:space="0" w:color="auto"/>
              <w:right w:val="single" w:sz="4" w:space="0" w:color="auto"/>
            </w:tcBorders>
            <w:shd w:val="clear" w:color="auto" w:fill="auto"/>
            <w:vAlign w:val="bottom"/>
          </w:tcPr>
          <w:p w14:paraId="633F689A" w14:textId="3268B269" w:rsidR="001C5D9E" w:rsidRPr="00D44C92" w:rsidRDefault="001C5D9E" w:rsidP="001C5D9E">
            <w:pPr>
              <w:spacing w:after="0" w:line="240" w:lineRule="auto"/>
              <w:rPr>
                <w:rFonts w:ascii="Calibri" w:eastAsia="Times New Roman" w:hAnsi="Calibri" w:cs="Times New Roman"/>
                <w:b/>
                <w:bCs/>
                <w:color w:val="000000"/>
                <w:sz w:val="16"/>
                <w:szCs w:val="16"/>
                <w:lang w:eastAsia="es-PE"/>
              </w:rPr>
            </w:pPr>
            <w:r w:rsidRPr="00D44C92">
              <w:rPr>
                <w:rFonts w:ascii="Calibri" w:eastAsia="Times New Roman" w:hAnsi="Calibri" w:cs="Times New Roman"/>
                <w:b/>
                <w:bCs/>
                <w:color w:val="000000"/>
                <w:sz w:val="16"/>
                <w:szCs w:val="16"/>
                <w:lang w:eastAsia="es-PE"/>
              </w:rPr>
              <w:t>Cumplimiento por año</w:t>
            </w:r>
          </w:p>
        </w:tc>
      </w:tr>
      <w:tr w:rsidR="001C5D9E" w:rsidRPr="00D44C92" w14:paraId="53875F5D" w14:textId="77777777" w:rsidTr="00857BCB">
        <w:trPr>
          <w:trHeight w:val="227"/>
        </w:trPr>
        <w:tc>
          <w:tcPr>
            <w:tcW w:w="426" w:type="dxa"/>
            <w:tcBorders>
              <w:left w:val="single" w:sz="4" w:space="0" w:color="auto"/>
              <w:bottom w:val="single" w:sz="4" w:space="0" w:color="auto"/>
              <w:right w:val="single" w:sz="4" w:space="0" w:color="auto"/>
            </w:tcBorders>
            <w:shd w:val="clear" w:color="auto" w:fill="auto"/>
            <w:vAlign w:val="bottom"/>
          </w:tcPr>
          <w:p w14:paraId="0D050D14" w14:textId="77777777" w:rsidR="001C5D9E" w:rsidRPr="00D44C92" w:rsidRDefault="001C5D9E" w:rsidP="001C5D9E">
            <w:pPr>
              <w:spacing w:after="0" w:line="240" w:lineRule="auto"/>
              <w:rPr>
                <w:rFonts w:ascii="Calibri" w:eastAsia="Times New Roman" w:hAnsi="Calibri" w:cs="Times New Roman"/>
                <w:b/>
                <w:bCs/>
                <w:color w:val="000000"/>
                <w:sz w:val="16"/>
                <w:szCs w:val="16"/>
                <w:lang w:eastAsia="es-PE"/>
              </w:rPr>
            </w:pPr>
          </w:p>
        </w:tc>
        <w:tc>
          <w:tcPr>
            <w:tcW w:w="1134" w:type="dxa"/>
            <w:tcBorders>
              <w:left w:val="nil"/>
              <w:bottom w:val="single" w:sz="4" w:space="0" w:color="auto"/>
              <w:right w:val="single" w:sz="4" w:space="0" w:color="auto"/>
            </w:tcBorders>
            <w:shd w:val="clear" w:color="auto" w:fill="auto"/>
            <w:vAlign w:val="bottom"/>
          </w:tcPr>
          <w:p w14:paraId="15D37BEE" w14:textId="77777777" w:rsidR="001C5D9E" w:rsidRPr="00D44C92" w:rsidRDefault="001C5D9E" w:rsidP="001C5D9E">
            <w:pPr>
              <w:spacing w:after="0" w:line="240" w:lineRule="auto"/>
              <w:rPr>
                <w:rFonts w:ascii="Calibri" w:eastAsia="Times New Roman" w:hAnsi="Calibri" w:cs="Times New Roman"/>
                <w:b/>
                <w:bCs/>
                <w:color w:val="000000"/>
                <w:sz w:val="16"/>
                <w:szCs w:val="16"/>
                <w:lang w:eastAsia="es-PE"/>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6D460DC2" w14:textId="23ADF471" w:rsidR="001C5D9E" w:rsidRPr="00D44C92" w:rsidRDefault="001C5D9E" w:rsidP="001C5D9E">
            <w:pPr>
              <w:spacing w:after="0" w:line="240" w:lineRule="auto"/>
              <w:jc w:val="right"/>
              <w:rPr>
                <w:rFonts w:ascii="Calibri" w:eastAsia="Times New Roman" w:hAnsi="Calibri" w:cs="Times New Roman"/>
                <w:b/>
                <w:bCs/>
                <w:color w:val="000000"/>
                <w:sz w:val="16"/>
                <w:szCs w:val="16"/>
                <w:lang w:eastAsia="es-PE"/>
              </w:rPr>
            </w:pPr>
            <w:r w:rsidRPr="00D44C92">
              <w:rPr>
                <w:rFonts w:ascii="Calibri" w:eastAsia="Times New Roman" w:hAnsi="Calibri" w:cs="Times New Roman"/>
                <w:b/>
                <w:bCs/>
                <w:color w:val="000000"/>
                <w:sz w:val="16"/>
                <w:szCs w:val="16"/>
                <w:lang w:eastAsia="es-PE"/>
              </w:rPr>
              <w:t>2013</w:t>
            </w:r>
          </w:p>
        </w:tc>
        <w:tc>
          <w:tcPr>
            <w:tcW w:w="1559" w:type="dxa"/>
            <w:tcBorders>
              <w:top w:val="single" w:sz="4" w:space="0" w:color="auto"/>
              <w:left w:val="nil"/>
              <w:bottom w:val="single" w:sz="4" w:space="0" w:color="auto"/>
              <w:right w:val="single" w:sz="4" w:space="0" w:color="auto"/>
            </w:tcBorders>
            <w:shd w:val="clear" w:color="auto" w:fill="auto"/>
            <w:vAlign w:val="bottom"/>
          </w:tcPr>
          <w:p w14:paraId="338AC370" w14:textId="638768D8" w:rsidR="001C5D9E" w:rsidRPr="00D44C92" w:rsidRDefault="001C5D9E" w:rsidP="001C5D9E">
            <w:pPr>
              <w:spacing w:after="0" w:line="240" w:lineRule="auto"/>
              <w:jc w:val="right"/>
              <w:rPr>
                <w:rFonts w:ascii="Calibri" w:eastAsia="Times New Roman" w:hAnsi="Calibri" w:cs="Times New Roman"/>
                <w:b/>
                <w:bCs/>
                <w:color w:val="000000"/>
                <w:sz w:val="16"/>
                <w:szCs w:val="16"/>
                <w:lang w:eastAsia="es-PE"/>
              </w:rPr>
            </w:pPr>
            <w:r w:rsidRPr="00D44C92">
              <w:rPr>
                <w:rFonts w:ascii="Calibri" w:eastAsia="Times New Roman" w:hAnsi="Calibri" w:cs="Times New Roman"/>
                <w:b/>
                <w:bCs/>
                <w:color w:val="000000"/>
                <w:sz w:val="16"/>
                <w:szCs w:val="16"/>
                <w:lang w:eastAsia="es-PE"/>
              </w:rPr>
              <w:t>2014</w:t>
            </w:r>
          </w:p>
        </w:tc>
        <w:tc>
          <w:tcPr>
            <w:tcW w:w="2218" w:type="dxa"/>
            <w:tcBorders>
              <w:top w:val="single" w:sz="4" w:space="0" w:color="auto"/>
              <w:left w:val="nil"/>
              <w:bottom w:val="single" w:sz="4" w:space="0" w:color="auto"/>
              <w:right w:val="single" w:sz="4" w:space="0" w:color="auto"/>
            </w:tcBorders>
            <w:shd w:val="clear" w:color="auto" w:fill="auto"/>
            <w:vAlign w:val="bottom"/>
          </w:tcPr>
          <w:p w14:paraId="6D78722E" w14:textId="5CCDFF7B" w:rsidR="001C5D9E" w:rsidRPr="00D44C92" w:rsidRDefault="001C5D9E" w:rsidP="001C5D9E">
            <w:pPr>
              <w:spacing w:after="0" w:line="240" w:lineRule="auto"/>
              <w:jc w:val="right"/>
              <w:rPr>
                <w:rFonts w:ascii="Calibri" w:eastAsia="Times New Roman" w:hAnsi="Calibri" w:cs="Times New Roman"/>
                <w:b/>
                <w:bCs/>
                <w:color w:val="000000"/>
                <w:sz w:val="16"/>
                <w:szCs w:val="16"/>
                <w:lang w:eastAsia="es-PE"/>
              </w:rPr>
            </w:pPr>
            <w:r w:rsidRPr="00D44C92">
              <w:rPr>
                <w:rFonts w:ascii="Calibri" w:eastAsia="Times New Roman" w:hAnsi="Calibri" w:cs="Times New Roman"/>
                <w:b/>
                <w:bCs/>
                <w:color w:val="000000"/>
                <w:sz w:val="16"/>
                <w:szCs w:val="16"/>
                <w:lang w:eastAsia="es-PE"/>
              </w:rPr>
              <w:t>2015</w:t>
            </w:r>
          </w:p>
        </w:tc>
        <w:tc>
          <w:tcPr>
            <w:tcW w:w="1641" w:type="dxa"/>
            <w:tcBorders>
              <w:top w:val="single" w:sz="4" w:space="0" w:color="auto"/>
              <w:left w:val="nil"/>
              <w:bottom w:val="single" w:sz="4" w:space="0" w:color="auto"/>
              <w:right w:val="single" w:sz="4" w:space="0" w:color="auto"/>
            </w:tcBorders>
            <w:shd w:val="clear" w:color="auto" w:fill="auto"/>
            <w:vAlign w:val="bottom"/>
          </w:tcPr>
          <w:p w14:paraId="40C14E64" w14:textId="65CF09CB" w:rsidR="001C5D9E" w:rsidRPr="00D44C92" w:rsidRDefault="001C5D9E" w:rsidP="001C5D9E">
            <w:pPr>
              <w:spacing w:after="0" w:line="240" w:lineRule="auto"/>
              <w:jc w:val="right"/>
              <w:rPr>
                <w:rFonts w:ascii="Calibri" w:eastAsia="Times New Roman" w:hAnsi="Calibri" w:cs="Times New Roman"/>
                <w:b/>
                <w:bCs/>
                <w:color w:val="000000"/>
                <w:sz w:val="16"/>
                <w:szCs w:val="16"/>
                <w:lang w:eastAsia="es-PE"/>
              </w:rPr>
            </w:pPr>
            <w:r w:rsidRPr="00D44C92">
              <w:rPr>
                <w:rFonts w:ascii="Calibri" w:eastAsia="Times New Roman" w:hAnsi="Calibri" w:cs="Times New Roman"/>
                <w:b/>
                <w:bCs/>
                <w:color w:val="000000"/>
                <w:sz w:val="16"/>
                <w:szCs w:val="16"/>
                <w:lang w:eastAsia="es-PE"/>
              </w:rPr>
              <w:t>2016</w:t>
            </w:r>
          </w:p>
        </w:tc>
        <w:tc>
          <w:tcPr>
            <w:tcW w:w="1730" w:type="dxa"/>
            <w:gridSpan w:val="2"/>
            <w:tcBorders>
              <w:top w:val="single" w:sz="4" w:space="0" w:color="auto"/>
              <w:left w:val="nil"/>
              <w:bottom w:val="single" w:sz="4" w:space="0" w:color="auto"/>
              <w:right w:val="single" w:sz="4" w:space="0" w:color="auto"/>
            </w:tcBorders>
            <w:shd w:val="clear" w:color="auto" w:fill="auto"/>
            <w:vAlign w:val="bottom"/>
          </w:tcPr>
          <w:p w14:paraId="52E91996" w14:textId="52B7911A" w:rsidR="001C5D9E" w:rsidRPr="00D44C92" w:rsidRDefault="001C5D9E" w:rsidP="001C5D9E">
            <w:pPr>
              <w:spacing w:after="0" w:line="240" w:lineRule="auto"/>
              <w:jc w:val="right"/>
              <w:rPr>
                <w:rFonts w:ascii="Calibri" w:eastAsia="Times New Roman" w:hAnsi="Calibri" w:cs="Times New Roman"/>
                <w:b/>
                <w:bCs/>
                <w:color w:val="000000"/>
                <w:sz w:val="16"/>
                <w:szCs w:val="16"/>
                <w:lang w:eastAsia="es-PE"/>
              </w:rPr>
            </w:pPr>
            <w:r w:rsidRPr="00D44C92">
              <w:rPr>
                <w:rFonts w:ascii="Calibri" w:eastAsia="Times New Roman" w:hAnsi="Calibri" w:cs="Times New Roman"/>
                <w:b/>
                <w:bCs/>
                <w:color w:val="000000"/>
                <w:sz w:val="16"/>
                <w:szCs w:val="16"/>
                <w:lang w:eastAsia="es-PE"/>
              </w:rPr>
              <w:t>2017</w:t>
            </w:r>
          </w:p>
        </w:tc>
      </w:tr>
      <w:tr w:rsidR="001C5D9E" w:rsidRPr="00D44C92" w14:paraId="1AA3A51C" w14:textId="77777777" w:rsidTr="00857BCB">
        <w:trPr>
          <w:trHeight w:val="70"/>
        </w:trPr>
        <w:tc>
          <w:tcPr>
            <w:tcW w:w="426" w:type="dxa"/>
            <w:tcBorders>
              <w:top w:val="nil"/>
              <w:left w:val="single" w:sz="4" w:space="0" w:color="auto"/>
              <w:bottom w:val="single" w:sz="4" w:space="0" w:color="auto"/>
              <w:right w:val="single" w:sz="4" w:space="0" w:color="auto"/>
            </w:tcBorders>
            <w:shd w:val="clear" w:color="auto" w:fill="auto"/>
            <w:hideMark/>
          </w:tcPr>
          <w:p w14:paraId="2654B3E0" w14:textId="77777777" w:rsidR="001C5D9E" w:rsidRPr="00857BCB" w:rsidRDefault="001C5D9E" w:rsidP="001C5D9E">
            <w:pPr>
              <w:spacing w:after="0" w:line="240" w:lineRule="auto"/>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1.2</w:t>
            </w:r>
          </w:p>
        </w:tc>
        <w:tc>
          <w:tcPr>
            <w:tcW w:w="1134" w:type="dxa"/>
            <w:tcBorders>
              <w:top w:val="nil"/>
              <w:left w:val="nil"/>
              <w:bottom w:val="single" w:sz="4" w:space="0" w:color="auto"/>
              <w:right w:val="single" w:sz="4" w:space="0" w:color="auto"/>
            </w:tcBorders>
            <w:shd w:val="clear" w:color="auto" w:fill="auto"/>
            <w:hideMark/>
          </w:tcPr>
          <w:p w14:paraId="1A85646E" w14:textId="77777777" w:rsidR="001C5D9E" w:rsidRPr="00857BCB" w:rsidRDefault="001C5D9E" w:rsidP="001C5D9E">
            <w:pPr>
              <w:spacing w:after="0" w:line="240" w:lineRule="auto"/>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Fortalecer las capacidades de integración económica</w:t>
            </w:r>
          </w:p>
        </w:tc>
        <w:tc>
          <w:tcPr>
            <w:tcW w:w="709" w:type="dxa"/>
            <w:tcBorders>
              <w:top w:val="nil"/>
              <w:left w:val="nil"/>
              <w:bottom w:val="single" w:sz="4" w:space="0" w:color="auto"/>
              <w:right w:val="single" w:sz="4" w:space="0" w:color="auto"/>
            </w:tcBorders>
            <w:shd w:val="clear" w:color="auto" w:fill="auto"/>
            <w:hideMark/>
          </w:tcPr>
          <w:p w14:paraId="355AB92D" w14:textId="73FD7FE0" w:rsidR="001C5D9E" w:rsidRPr="00857BCB" w:rsidRDefault="001C5D9E" w:rsidP="001C5D9E">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(Sin avance)</w:t>
            </w:r>
          </w:p>
        </w:tc>
        <w:tc>
          <w:tcPr>
            <w:tcW w:w="1559" w:type="dxa"/>
            <w:tcBorders>
              <w:top w:val="nil"/>
              <w:left w:val="nil"/>
              <w:bottom w:val="single" w:sz="4" w:space="0" w:color="auto"/>
              <w:right w:val="single" w:sz="4" w:space="0" w:color="auto"/>
            </w:tcBorders>
            <w:shd w:val="clear" w:color="auto" w:fill="auto"/>
            <w:hideMark/>
          </w:tcPr>
          <w:p w14:paraId="747EC95D" w14:textId="77777777" w:rsidR="001C5D9E" w:rsidRPr="00857BCB" w:rsidRDefault="001C5D9E" w:rsidP="001C5D9E">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 (Proceso) Se cuenta con material informativo sobre fondos y programas sectoriales como alternativas de financiamiento de los proyectos de inversión pública y sobre mancomunidades. El material será otorgado a las nuevas autoridades que asumen cargo en 2015.</w:t>
            </w:r>
          </w:p>
        </w:tc>
        <w:tc>
          <w:tcPr>
            <w:tcW w:w="2218" w:type="dxa"/>
            <w:tcBorders>
              <w:top w:val="nil"/>
              <w:left w:val="nil"/>
              <w:bottom w:val="single" w:sz="4" w:space="0" w:color="auto"/>
              <w:right w:val="single" w:sz="4" w:space="0" w:color="auto"/>
            </w:tcBorders>
            <w:shd w:val="clear" w:color="auto" w:fill="auto"/>
            <w:hideMark/>
          </w:tcPr>
          <w:p w14:paraId="3EFFE2B5" w14:textId="7997802E" w:rsidR="001C5D9E" w:rsidRPr="00857BCB" w:rsidRDefault="001C5D9E" w:rsidP="001C5D9E">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 Realización del evento "Encuentro Presidencial con los Presidentes Regionales Electos"</w:t>
            </w:r>
            <w:r w:rsidRPr="00857BCB">
              <w:rPr>
                <w:rFonts w:ascii="Calibri" w:eastAsia="Times New Roman" w:hAnsi="Calibri" w:cs="Times New Roman"/>
                <w:color w:val="000000"/>
                <w:sz w:val="20"/>
                <w:szCs w:val="20"/>
                <w:lang w:eastAsia="es-PE"/>
              </w:rPr>
              <w:br/>
              <w:t>* Realización del evento "Encuentro presidencial y capacitación a los alcaldes provinciales del Perú".</w:t>
            </w:r>
            <w:r w:rsidRPr="00857BCB">
              <w:rPr>
                <w:rFonts w:ascii="Calibri" w:eastAsia="Times New Roman" w:hAnsi="Calibri" w:cs="Times New Roman"/>
                <w:color w:val="000000"/>
                <w:sz w:val="20"/>
                <w:szCs w:val="20"/>
                <w:lang w:eastAsia="es-PE"/>
              </w:rPr>
              <w:br/>
              <w:t>* Se capacitó a autoridades y funcionarios públicos de gobiernos locales y mancomunidades municipales de Piura, Tumbes, Cajamarca y Amazonas mediante el taller "Mancomunidades Municipales y Desarrollo de Fronteras"</w:t>
            </w:r>
            <w:r w:rsidRPr="00857BCB">
              <w:rPr>
                <w:rFonts w:ascii="Calibri" w:eastAsia="Times New Roman" w:hAnsi="Calibri" w:cs="Times New Roman"/>
                <w:color w:val="000000"/>
                <w:sz w:val="20"/>
                <w:szCs w:val="20"/>
                <w:lang w:eastAsia="es-PE"/>
              </w:rPr>
              <w:br/>
              <w:t>* Realización de consultorías con evaluación integral de la totalidad de mancomunidades municipales conformadas y agrupadas a nivel de zona norte, centro, sur y oriente.</w:t>
            </w:r>
            <w:r w:rsidRPr="00857BCB">
              <w:rPr>
                <w:rFonts w:ascii="Calibri" w:eastAsia="Times New Roman" w:hAnsi="Calibri" w:cs="Times New Roman"/>
                <w:color w:val="000000"/>
                <w:sz w:val="20"/>
                <w:szCs w:val="20"/>
                <w:lang w:eastAsia="es-PE"/>
              </w:rPr>
              <w:br/>
              <w:t>* (Proceso) Realización de la encuesta general de mancomunidades municipales.</w:t>
            </w:r>
            <w:r w:rsidRPr="00857BCB">
              <w:rPr>
                <w:rFonts w:ascii="Calibri" w:eastAsia="Times New Roman" w:hAnsi="Calibri" w:cs="Times New Roman"/>
                <w:color w:val="000000"/>
                <w:sz w:val="20"/>
                <w:szCs w:val="20"/>
                <w:lang w:eastAsia="es-PE"/>
              </w:rPr>
              <w:br/>
              <w:t>* Contratación de consultor que implemente el "Aplicativo del Registro de Mancomunidades Municipales".</w:t>
            </w:r>
          </w:p>
        </w:tc>
        <w:tc>
          <w:tcPr>
            <w:tcW w:w="1893" w:type="dxa"/>
            <w:gridSpan w:val="2"/>
            <w:tcBorders>
              <w:top w:val="nil"/>
              <w:left w:val="nil"/>
              <w:bottom w:val="single" w:sz="4" w:space="0" w:color="auto"/>
              <w:right w:val="single" w:sz="4" w:space="0" w:color="auto"/>
            </w:tcBorders>
            <w:shd w:val="clear" w:color="auto" w:fill="auto"/>
            <w:hideMark/>
          </w:tcPr>
          <w:p w14:paraId="79A8FF36" w14:textId="23A6E6BF" w:rsidR="001C5D9E" w:rsidRPr="00857BCB" w:rsidRDefault="001C5D9E" w:rsidP="001C5D9E">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 Realización del Primer Encuentro de Mancomunidades Municipales del sur del Perú en Cusco: 220 participantes.</w:t>
            </w:r>
            <w:r w:rsidRPr="00857BCB">
              <w:rPr>
                <w:rFonts w:ascii="Calibri" w:eastAsia="Times New Roman" w:hAnsi="Calibri" w:cs="Times New Roman"/>
                <w:color w:val="000000"/>
                <w:sz w:val="20"/>
                <w:szCs w:val="20"/>
                <w:lang w:eastAsia="es-PE"/>
              </w:rPr>
              <w:br/>
              <w:t>* Consultor contratado en 2015: identificó 183 mancomunidades municipales, si estaban integradas al SNIP, aquellas que formularon PIPS. También otorgó asistencia técnica a 39 mancomunidades.</w:t>
            </w:r>
            <w:r w:rsidRPr="00857BCB">
              <w:rPr>
                <w:rFonts w:ascii="Calibri" w:eastAsia="Times New Roman" w:hAnsi="Calibri" w:cs="Times New Roman"/>
                <w:color w:val="000000"/>
                <w:sz w:val="20"/>
                <w:szCs w:val="20"/>
                <w:lang w:eastAsia="es-PE"/>
              </w:rPr>
              <w:br/>
              <w:t>* Se cuenta con información digitalizada de 197 mancomunidades municipales.</w:t>
            </w:r>
            <w:r w:rsidRPr="00857BCB">
              <w:rPr>
                <w:rFonts w:ascii="Calibri" w:eastAsia="Times New Roman" w:hAnsi="Calibri" w:cs="Times New Roman"/>
                <w:color w:val="000000"/>
                <w:sz w:val="20"/>
                <w:szCs w:val="20"/>
                <w:lang w:eastAsia="es-PE"/>
              </w:rPr>
              <w:br/>
              <w:t>* Se cuenta con una caja de herramientas de gestión y prácticas exitosas de mancomunidades en proceso de validación</w:t>
            </w:r>
            <w:r w:rsidRPr="00857BCB">
              <w:rPr>
                <w:rFonts w:ascii="Calibri" w:eastAsia="Times New Roman" w:hAnsi="Calibri" w:cs="Times New Roman"/>
                <w:color w:val="000000"/>
                <w:sz w:val="20"/>
                <w:szCs w:val="20"/>
                <w:lang w:eastAsia="es-PE"/>
              </w:rPr>
              <w:br/>
              <w:t>* (Proceso) Se cuenta con propuesta normativa de modificación del reglamento.</w:t>
            </w:r>
          </w:p>
        </w:tc>
        <w:tc>
          <w:tcPr>
            <w:tcW w:w="1478" w:type="dxa"/>
            <w:tcBorders>
              <w:top w:val="nil"/>
              <w:left w:val="nil"/>
              <w:bottom w:val="single" w:sz="4" w:space="0" w:color="auto"/>
              <w:right w:val="single" w:sz="4" w:space="0" w:color="auto"/>
            </w:tcBorders>
            <w:shd w:val="clear" w:color="auto" w:fill="auto"/>
            <w:hideMark/>
          </w:tcPr>
          <w:p w14:paraId="6353A311" w14:textId="77777777" w:rsidR="001C5D9E" w:rsidRPr="00857BCB" w:rsidRDefault="001C5D9E" w:rsidP="001C5D9E">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 Mediante ventanilla abierta, se brinda asistencia técnica y orientación a las autoridades de los gobiernos subnacionales para que puedan mejorar la implementación de las inversiones públicas.</w:t>
            </w:r>
          </w:p>
        </w:tc>
      </w:tr>
    </w:tbl>
    <w:p w14:paraId="37C92A57" w14:textId="55D2002F" w:rsidR="00AD0FAF" w:rsidRDefault="00AD0FAF" w:rsidP="00AD0FAF">
      <w:pPr>
        <w:jc w:val="both"/>
      </w:pPr>
      <w:r w:rsidRPr="002F7E6E">
        <w:rPr>
          <w:sz w:val="20"/>
          <w:szCs w:val="20"/>
        </w:rPr>
        <w:t>Fuente</w:t>
      </w:r>
      <w:r w:rsidR="00515314" w:rsidRPr="002F7E6E">
        <w:rPr>
          <w:sz w:val="20"/>
          <w:szCs w:val="20"/>
        </w:rPr>
        <w:t>: Reportes</w:t>
      </w:r>
      <w:r w:rsidRPr="002F7E6E">
        <w:rPr>
          <w:sz w:val="20"/>
          <w:szCs w:val="20"/>
        </w:rPr>
        <w:t xml:space="preserve"> de la PCM a PNUD</w:t>
      </w:r>
    </w:p>
    <w:p w14:paraId="13137CDC" w14:textId="10145519" w:rsidR="00622977" w:rsidRPr="00857BCB" w:rsidRDefault="008536F8" w:rsidP="00265FAA">
      <w:pPr>
        <w:jc w:val="both"/>
        <w:rPr>
          <w:sz w:val="24"/>
          <w:szCs w:val="24"/>
        </w:rPr>
      </w:pPr>
      <w:r w:rsidRPr="00857BCB">
        <w:rPr>
          <w:sz w:val="24"/>
          <w:szCs w:val="24"/>
        </w:rPr>
        <w:t xml:space="preserve">Por ello, desde el plan de trabajo de 2014, se </w:t>
      </w:r>
      <w:r w:rsidR="004D494B" w:rsidRPr="00857BCB">
        <w:rPr>
          <w:sz w:val="24"/>
          <w:szCs w:val="24"/>
        </w:rPr>
        <w:t xml:space="preserve">incluyó </w:t>
      </w:r>
      <w:r w:rsidRPr="00857BCB">
        <w:rPr>
          <w:sz w:val="24"/>
          <w:szCs w:val="24"/>
        </w:rPr>
        <w:t>en el proyecto el componente de apoyo de asistencia</w:t>
      </w:r>
      <w:r w:rsidR="00FF60D5" w:rsidRPr="00857BCB">
        <w:rPr>
          <w:sz w:val="24"/>
          <w:szCs w:val="24"/>
        </w:rPr>
        <w:t xml:space="preserve"> técnica a mancomunidades regionales, provinciales y distritales</w:t>
      </w:r>
      <w:r w:rsidR="004D494B" w:rsidRPr="00857BCB">
        <w:rPr>
          <w:sz w:val="24"/>
          <w:szCs w:val="24"/>
        </w:rPr>
        <w:t xml:space="preserve"> para</w:t>
      </w:r>
      <w:r w:rsidR="00FF60D5" w:rsidRPr="00857BCB">
        <w:rPr>
          <w:sz w:val="24"/>
          <w:szCs w:val="24"/>
        </w:rPr>
        <w:t xml:space="preserve"> la elaboración de términos de referencia</w:t>
      </w:r>
      <w:r w:rsidR="00BA3EF9" w:rsidRPr="00857BCB">
        <w:rPr>
          <w:sz w:val="24"/>
          <w:szCs w:val="24"/>
        </w:rPr>
        <w:t xml:space="preserve"> y estudios de pre</w:t>
      </w:r>
      <w:r w:rsidR="005C341D" w:rsidRPr="00857BCB">
        <w:rPr>
          <w:sz w:val="24"/>
          <w:szCs w:val="24"/>
        </w:rPr>
        <w:t>-</w:t>
      </w:r>
      <w:r w:rsidR="00BA3EF9" w:rsidRPr="00857BCB">
        <w:rPr>
          <w:sz w:val="24"/>
          <w:szCs w:val="24"/>
        </w:rPr>
        <w:t>inversión para FONIPREL y otros, capacitación de equipos técnicos</w:t>
      </w:r>
      <w:r w:rsidR="00FC542C" w:rsidRPr="00857BCB">
        <w:rPr>
          <w:sz w:val="24"/>
          <w:szCs w:val="24"/>
        </w:rPr>
        <w:t xml:space="preserve"> y elaboración de diagnósticos </w:t>
      </w:r>
      <w:r w:rsidR="00FC542C" w:rsidRPr="00857BCB">
        <w:rPr>
          <w:sz w:val="24"/>
          <w:szCs w:val="24"/>
        </w:rPr>
        <w:lastRenderedPageBreak/>
        <w:t>sobre estos procesos.</w:t>
      </w:r>
      <w:r w:rsidR="001277E9" w:rsidRPr="00857BCB">
        <w:rPr>
          <w:sz w:val="24"/>
          <w:szCs w:val="24"/>
        </w:rPr>
        <w:t xml:space="preserve"> Desde 2015, se ha trabajado en la </w:t>
      </w:r>
      <w:r w:rsidR="00EF6856" w:rsidRPr="00857BCB">
        <w:rPr>
          <w:sz w:val="24"/>
          <w:szCs w:val="24"/>
        </w:rPr>
        <w:t>mejora</w:t>
      </w:r>
      <w:r w:rsidR="001277E9" w:rsidRPr="00857BCB">
        <w:rPr>
          <w:sz w:val="24"/>
          <w:szCs w:val="24"/>
        </w:rPr>
        <w:t xml:space="preserve"> del registro de mancomunidades</w:t>
      </w:r>
      <w:r w:rsidR="006D1480" w:rsidRPr="00857BCB">
        <w:rPr>
          <w:sz w:val="24"/>
          <w:szCs w:val="24"/>
        </w:rPr>
        <w:t>, que</w:t>
      </w:r>
      <w:r w:rsidR="00CC1779" w:rsidRPr="00857BCB">
        <w:rPr>
          <w:sz w:val="24"/>
          <w:szCs w:val="24"/>
        </w:rPr>
        <w:t xml:space="preserve"> ha presentado dos avances: primero,</w:t>
      </w:r>
      <w:r w:rsidR="006D1480" w:rsidRPr="00857BCB">
        <w:rPr>
          <w:sz w:val="24"/>
          <w:szCs w:val="24"/>
        </w:rPr>
        <w:t xml:space="preserve"> </w:t>
      </w:r>
      <w:r w:rsidR="00320C96" w:rsidRPr="00857BCB">
        <w:rPr>
          <w:sz w:val="24"/>
          <w:szCs w:val="24"/>
        </w:rPr>
        <w:t>ahora es constitutivo de las mancomunidades</w:t>
      </w:r>
      <w:r w:rsidR="004A1BD9" w:rsidRPr="00857BCB">
        <w:rPr>
          <w:sz w:val="24"/>
          <w:szCs w:val="24"/>
        </w:rPr>
        <w:t xml:space="preserve"> (ya no</w:t>
      </w:r>
      <w:r w:rsidR="00377EA3" w:rsidRPr="00857BCB">
        <w:rPr>
          <w:sz w:val="24"/>
          <w:szCs w:val="24"/>
        </w:rPr>
        <w:t xml:space="preserve"> se</w:t>
      </w:r>
      <w:r w:rsidR="004A1BD9" w:rsidRPr="00857BCB">
        <w:rPr>
          <w:sz w:val="24"/>
          <w:szCs w:val="24"/>
        </w:rPr>
        <w:t xml:space="preserve"> requiere publicación en el Diario el Peruano)</w:t>
      </w:r>
      <w:r w:rsidR="00CC1779" w:rsidRPr="00857BCB">
        <w:rPr>
          <w:sz w:val="24"/>
          <w:szCs w:val="24"/>
        </w:rPr>
        <w:t>;</w:t>
      </w:r>
      <w:r w:rsidR="00A757EA" w:rsidRPr="00857BCB">
        <w:rPr>
          <w:sz w:val="24"/>
          <w:szCs w:val="24"/>
        </w:rPr>
        <w:t xml:space="preserve"> y</w:t>
      </w:r>
      <w:r w:rsidR="00CC1779" w:rsidRPr="00857BCB">
        <w:rPr>
          <w:sz w:val="24"/>
          <w:szCs w:val="24"/>
        </w:rPr>
        <w:t>, segundo,</w:t>
      </w:r>
      <w:r w:rsidR="00EF6856" w:rsidRPr="00857BCB">
        <w:rPr>
          <w:sz w:val="24"/>
          <w:szCs w:val="24"/>
        </w:rPr>
        <w:t xml:space="preserve"> permite</w:t>
      </w:r>
      <w:r w:rsidR="00A757EA" w:rsidRPr="00857BCB">
        <w:rPr>
          <w:sz w:val="24"/>
          <w:szCs w:val="24"/>
        </w:rPr>
        <w:t xml:space="preserve"> su inscripción en los sistemas </w:t>
      </w:r>
      <w:r w:rsidR="00FD05BE" w:rsidRPr="00857BCB">
        <w:rPr>
          <w:sz w:val="24"/>
          <w:szCs w:val="24"/>
        </w:rPr>
        <w:t>administrativos</w:t>
      </w:r>
      <w:r w:rsidR="00A757EA" w:rsidRPr="00857BCB">
        <w:rPr>
          <w:sz w:val="24"/>
          <w:szCs w:val="24"/>
        </w:rPr>
        <w:t xml:space="preserve"> del Estado</w:t>
      </w:r>
      <w:r w:rsidR="00FD05BE" w:rsidRPr="00857BCB">
        <w:rPr>
          <w:sz w:val="24"/>
          <w:szCs w:val="24"/>
        </w:rPr>
        <w:t xml:space="preserve">, </w:t>
      </w:r>
      <w:r w:rsidR="00F54A09" w:rsidRPr="00857BCB">
        <w:rPr>
          <w:sz w:val="24"/>
          <w:szCs w:val="24"/>
        </w:rPr>
        <w:t xml:space="preserve">facilitando la </w:t>
      </w:r>
      <w:r w:rsidR="00FD05BE" w:rsidRPr="00857BCB">
        <w:rPr>
          <w:sz w:val="24"/>
          <w:szCs w:val="24"/>
        </w:rPr>
        <w:t>firma de convenios con sectores y la cooperación internacional</w:t>
      </w:r>
      <w:r w:rsidR="001277E9" w:rsidRPr="00857BCB">
        <w:rPr>
          <w:sz w:val="24"/>
          <w:szCs w:val="24"/>
        </w:rPr>
        <w:t>.</w:t>
      </w:r>
    </w:p>
    <w:p w14:paraId="48642750" w14:textId="35747B29" w:rsidR="00A44FD6" w:rsidRPr="00857BCB" w:rsidRDefault="00294856" w:rsidP="00265FAA">
      <w:pPr>
        <w:jc w:val="both"/>
        <w:rPr>
          <w:sz w:val="24"/>
          <w:szCs w:val="24"/>
        </w:rPr>
      </w:pPr>
      <w:r w:rsidRPr="00857BCB">
        <w:rPr>
          <w:sz w:val="24"/>
          <w:szCs w:val="24"/>
        </w:rPr>
        <w:t>Como parte del proyecto, en 2015 se contrató un consultor para la implementación del “Aplicativo del Registro de Mancomunidades Municipales”</w:t>
      </w:r>
      <w:r w:rsidR="002824D8" w:rsidRPr="00857BCB">
        <w:rPr>
          <w:sz w:val="24"/>
          <w:szCs w:val="24"/>
        </w:rPr>
        <w:t xml:space="preserve"> que brindaría información vinculada a </w:t>
      </w:r>
      <w:r w:rsidR="00D1256C" w:rsidRPr="00857BCB">
        <w:rPr>
          <w:sz w:val="24"/>
          <w:szCs w:val="24"/>
        </w:rPr>
        <w:t>éstas</w:t>
      </w:r>
      <w:r w:rsidR="005001E5" w:rsidRPr="00857BCB">
        <w:rPr>
          <w:sz w:val="24"/>
          <w:szCs w:val="24"/>
        </w:rPr>
        <w:t xml:space="preserve"> en el marco</w:t>
      </w:r>
      <w:r w:rsidR="00E76267" w:rsidRPr="00857BCB">
        <w:rPr>
          <w:sz w:val="24"/>
          <w:szCs w:val="24"/>
        </w:rPr>
        <w:t xml:space="preserve"> del gobierno electrónico</w:t>
      </w:r>
      <w:r w:rsidR="00E42E23" w:rsidRPr="00857BCB">
        <w:rPr>
          <w:sz w:val="24"/>
          <w:szCs w:val="24"/>
        </w:rPr>
        <w:t xml:space="preserve">. Si bien en el reporte de 2015 se señala que este componente </w:t>
      </w:r>
      <w:r w:rsidR="00D1256C" w:rsidRPr="00857BCB">
        <w:rPr>
          <w:sz w:val="24"/>
          <w:szCs w:val="24"/>
        </w:rPr>
        <w:t>se encontraba en la parte final de su implementación</w:t>
      </w:r>
      <w:r w:rsidR="00C055CC" w:rsidRPr="00857BCB">
        <w:rPr>
          <w:sz w:val="24"/>
          <w:szCs w:val="24"/>
        </w:rPr>
        <w:t>, el aplicativo</w:t>
      </w:r>
      <w:r w:rsidR="00EE1B36" w:rsidRPr="00857BCB">
        <w:rPr>
          <w:sz w:val="24"/>
          <w:szCs w:val="24"/>
        </w:rPr>
        <w:t xml:space="preserve"> quedó como sistema interno y</w:t>
      </w:r>
      <w:r w:rsidR="00C055CC" w:rsidRPr="00857BCB">
        <w:rPr>
          <w:sz w:val="24"/>
          <w:szCs w:val="24"/>
        </w:rPr>
        <w:t xml:space="preserve"> no está disponible hasta la fecha</w:t>
      </w:r>
      <w:r w:rsidR="00B84BE9" w:rsidRPr="00857BCB">
        <w:rPr>
          <w:sz w:val="24"/>
          <w:szCs w:val="24"/>
        </w:rPr>
        <w:t xml:space="preserve"> para el público</w:t>
      </w:r>
      <w:r w:rsidR="00C055CC" w:rsidRPr="00857BCB">
        <w:rPr>
          <w:sz w:val="24"/>
          <w:szCs w:val="24"/>
        </w:rPr>
        <w:t>.</w:t>
      </w:r>
      <w:r w:rsidR="00B84BE9" w:rsidRPr="00857BCB">
        <w:rPr>
          <w:sz w:val="24"/>
          <w:szCs w:val="24"/>
        </w:rPr>
        <w:t xml:space="preserve"> Asimismo</w:t>
      </w:r>
      <w:r w:rsidR="007E1D46" w:rsidRPr="00857BCB">
        <w:rPr>
          <w:sz w:val="24"/>
          <w:szCs w:val="24"/>
        </w:rPr>
        <w:t>,</w:t>
      </w:r>
      <w:r w:rsidR="00B84BE9" w:rsidRPr="00857BCB">
        <w:rPr>
          <w:sz w:val="24"/>
          <w:szCs w:val="24"/>
        </w:rPr>
        <w:t xml:space="preserve"> </w:t>
      </w:r>
      <w:r w:rsidR="001C5D9E" w:rsidRPr="00857BCB">
        <w:rPr>
          <w:sz w:val="24"/>
          <w:szCs w:val="24"/>
        </w:rPr>
        <w:t xml:space="preserve">falta </w:t>
      </w:r>
      <w:r w:rsidR="007E1D46" w:rsidRPr="00857BCB">
        <w:rPr>
          <w:sz w:val="24"/>
          <w:szCs w:val="24"/>
        </w:rPr>
        <w:t xml:space="preserve">que sea </w:t>
      </w:r>
      <w:r w:rsidR="00B84BE9" w:rsidRPr="00857BCB">
        <w:rPr>
          <w:sz w:val="24"/>
          <w:szCs w:val="24"/>
        </w:rPr>
        <w:t>interconectado con el MEF.</w:t>
      </w:r>
    </w:p>
    <w:p w14:paraId="71FB1A6B" w14:textId="52EEF2E4" w:rsidR="0075034D" w:rsidRPr="00857BCB" w:rsidRDefault="00972367" w:rsidP="00265FAA">
      <w:pPr>
        <w:jc w:val="both"/>
        <w:rPr>
          <w:sz w:val="24"/>
          <w:szCs w:val="24"/>
          <w:highlight w:val="yellow"/>
        </w:rPr>
      </w:pPr>
      <w:r w:rsidRPr="00857BCB">
        <w:rPr>
          <w:sz w:val="24"/>
          <w:szCs w:val="24"/>
        </w:rPr>
        <w:t xml:space="preserve">Los retos para el registro aún son amplios. Muchas mancomunidades sólo existen formalmente: </w:t>
      </w:r>
      <w:r w:rsidR="00E31FAE" w:rsidRPr="00857BCB">
        <w:rPr>
          <w:sz w:val="24"/>
          <w:szCs w:val="24"/>
        </w:rPr>
        <w:t>es muy importante que empiecen a reportar</w:t>
      </w:r>
      <w:r w:rsidR="00F4004F" w:rsidRPr="00857BCB">
        <w:rPr>
          <w:sz w:val="24"/>
          <w:szCs w:val="24"/>
        </w:rPr>
        <w:t xml:space="preserve"> sus planes o trabajos</w:t>
      </w:r>
      <w:r w:rsidRPr="00857BCB">
        <w:rPr>
          <w:sz w:val="24"/>
          <w:szCs w:val="24"/>
        </w:rPr>
        <w:t xml:space="preserve"> realizados</w:t>
      </w:r>
      <w:r w:rsidR="00F4004F" w:rsidRPr="00857BCB">
        <w:rPr>
          <w:sz w:val="24"/>
          <w:szCs w:val="24"/>
        </w:rPr>
        <w:t xml:space="preserve"> durante el año</w:t>
      </w:r>
      <w:r w:rsidR="007E1D46" w:rsidRPr="00857BCB">
        <w:rPr>
          <w:sz w:val="24"/>
          <w:szCs w:val="24"/>
        </w:rPr>
        <w:t>;</w:t>
      </w:r>
      <w:r w:rsidRPr="00857BCB">
        <w:rPr>
          <w:sz w:val="24"/>
          <w:szCs w:val="24"/>
        </w:rPr>
        <w:t xml:space="preserve"> caso contrario, su inscripción debería ser anulada</w:t>
      </w:r>
      <w:r w:rsidR="00F4004F" w:rsidRPr="00857BCB">
        <w:rPr>
          <w:sz w:val="24"/>
          <w:szCs w:val="24"/>
        </w:rPr>
        <w:t>.</w:t>
      </w:r>
      <w:r w:rsidRPr="00857BCB">
        <w:rPr>
          <w:sz w:val="24"/>
          <w:szCs w:val="24"/>
        </w:rPr>
        <w:t xml:space="preserve"> De momento la mayoría de mancomunidades no cuenta con</w:t>
      </w:r>
      <w:r w:rsidR="00AF48D2" w:rsidRPr="00857BCB">
        <w:rPr>
          <w:sz w:val="24"/>
          <w:szCs w:val="24"/>
        </w:rPr>
        <w:t xml:space="preserve"> presupuesto</w:t>
      </w:r>
      <w:r w:rsidRPr="00857BCB">
        <w:rPr>
          <w:sz w:val="24"/>
          <w:szCs w:val="24"/>
        </w:rPr>
        <w:t xml:space="preserve"> ni funcionarios</w:t>
      </w:r>
      <w:r w:rsidR="00B91EC1" w:rsidRPr="00857BCB">
        <w:rPr>
          <w:sz w:val="24"/>
          <w:szCs w:val="24"/>
        </w:rPr>
        <w:t>:</w:t>
      </w:r>
      <w:r w:rsidR="00AF48D2" w:rsidRPr="00857BCB">
        <w:rPr>
          <w:sz w:val="24"/>
          <w:szCs w:val="24"/>
        </w:rPr>
        <w:t xml:space="preserve"> no </w:t>
      </w:r>
      <w:r w:rsidR="007E1D46" w:rsidRPr="00857BCB">
        <w:rPr>
          <w:sz w:val="24"/>
          <w:szCs w:val="24"/>
        </w:rPr>
        <w:t>tienen</w:t>
      </w:r>
      <w:r w:rsidR="00AF48D2" w:rsidRPr="00857BCB">
        <w:rPr>
          <w:sz w:val="24"/>
          <w:szCs w:val="24"/>
        </w:rPr>
        <w:t xml:space="preserve"> gerente </w:t>
      </w:r>
      <w:r w:rsidR="00B91EC1" w:rsidRPr="00857BCB">
        <w:rPr>
          <w:sz w:val="24"/>
          <w:szCs w:val="24"/>
        </w:rPr>
        <w:t>ni equipo de</w:t>
      </w:r>
      <w:r w:rsidR="00AF48D2" w:rsidRPr="00857BCB">
        <w:rPr>
          <w:sz w:val="24"/>
          <w:szCs w:val="24"/>
        </w:rPr>
        <w:t xml:space="preserve"> gestión de la mancomunidad. </w:t>
      </w:r>
      <w:r w:rsidR="00722AFC" w:rsidRPr="00857BCB">
        <w:rPr>
          <w:sz w:val="24"/>
          <w:szCs w:val="24"/>
        </w:rPr>
        <w:t>De entre las 20</w:t>
      </w:r>
      <w:r w:rsidR="0075034D" w:rsidRPr="00857BCB">
        <w:rPr>
          <w:sz w:val="24"/>
          <w:szCs w:val="24"/>
        </w:rPr>
        <w:t>4</w:t>
      </w:r>
      <w:r w:rsidR="00722AFC" w:rsidRPr="00857BCB">
        <w:rPr>
          <w:sz w:val="24"/>
          <w:szCs w:val="24"/>
        </w:rPr>
        <w:t xml:space="preserve"> mancomunidades</w:t>
      </w:r>
      <w:r w:rsidR="0075034D" w:rsidRPr="00857BCB">
        <w:rPr>
          <w:sz w:val="24"/>
          <w:szCs w:val="24"/>
        </w:rPr>
        <w:t xml:space="preserve"> municipales actualmente existentes</w:t>
      </w:r>
      <w:r w:rsidR="001C5D9E" w:rsidRPr="00857BCB">
        <w:rPr>
          <w:sz w:val="24"/>
          <w:szCs w:val="24"/>
        </w:rPr>
        <w:t xml:space="preserve"> en el registro</w:t>
      </w:r>
      <w:r w:rsidR="00722AFC" w:rsidRPr="00857BCB">
        <w:rPr>
          <w:sz w:val="24"/>
          <w:szCs w:val="24"/>
        </w:rPr>
        <w:t>,</w:t>
      </w:r>
      <w:r w:rsidR="00450BED" w:rsidRPr="00857BCB">
        <w:rPr>
          <w:sz w:val="24"/>
          <w:szCs w:val="24"/>
        </w:rPr>
        <w:t xml:space="preserve"> </w:t>
      </w:r>
      <w:r w:rsidR="00722AFC" w:rsidRPr="00857BCB">
        <w:rPr>
          <w:sz w:val="24"/>
          <w:szCs w:val="24"/>
        </w:rPr>
        <w:t xml:space="preserve">sólo cinco </w:t>
      </w:r>
      <w:r w:rsidR="00450BED" w:rsidRPr="00857BCB">
        <w:rPr>
          <w:sz w:val="24"/>
          <w:szCs w:val="24"/>
        </w:rPr>
        <w:t>han ganado</w:t>
      </w:r>
      <w:r w:rsidR="00722AFC" w:rsidRPr="00857BCB">
        <w:rPr>
          <w:sz w:val="24"/>
          <w:szCs w:val="24"/>
        </w:rPr>
        <w:t xml:space="preserve"> fondos</w:t>
      </w:r>
      <w:r w:rsidR="00450BED" w:rsidRPr="00857BCB">
        <w:rPr>
          <w:sz w:val="24"/>
          <w:szCs w:val="24"/>
        </w:rPr>
        <w:t xml:space="preserve"> para</w:t>
      </w:r>
      <w:r w:rsidR="00722AFC" w:rsidRPr="00857BCB">
        <w:rPr>
          <w:sz w:val="24"/>
          <w:szCs w:val="24"/>
        </w:rPr>
        <w:t xml:space="preserve"> realizar</w:t>
      </w:r>
      <w:r w:rsidR="00450BED" w:rsidRPr="00857BCB">
        <w:rPr>
          <w:sz w:val="24"/>
          <w:szCs w:val="24"/>
        </w:rPr>
        <w:t xml:space="preserve"> estudios</w:t>
      </w:r>
      <w:r w:rsidR="00E31FAE" w:rsidRPr="00857BCB">
        <w:rPr>
          <w:sz w:val="24"/>
          <w:szCs w:val="24"/>
        </w:rPr>
        <w:t>, lo que demuestra su debilidad</w:t>
      </w:r>
      <w:r w:rsidR="00ED4028" w:rsidRPr="00857BCB">
        <w:rPr>
          <w:sz w:val="24"/>
          <w:szCs w:val="24"/>
        </w:rPr>
        <w:t>.</w:t>
      </w:r>
      <w:r w:rsidR="00F4709D" w:rsidRPr="00857BCB">
        <w:rPr>
          <w:sz w:val="24"/>
          <w:szCs w:val="24"/>
        </w:rPr>
        <w:t xml:space="preserve"> </w:t>
      </w:r>
      <w:r w:rsidR="008C477D" w:rsidRPr="00857BCB">
        <w:rPr>
          <w:sz w:val="24"/>
          <w:szCs w:val="24"/>
        </w:rPr>
        <w:t>Para los gobiernos subnacionales</w:t>
      </w:r>
      <w:r w:rsidR="004817CE" w:rsidRPr="00857BCB">
        <w:rPr>
          <w:sz w:val="24"/>
          <w:szCs w:val="24"/>
        </w:rPr>
        <w:t xml:space="preserve"> más pequeños y pobres, aportar recursos a una mancomunidad</w:t>
      </w:r>
      <w:r w:rsidR="00A953AD" w:rsidRPr="00857BCB">
        <w:rPr>
          <w:sz w:val="24"/>
          <w:szCs w:val="24"/>
        </w:rPr>
        <w:t xml:space="preserve"> con otros gobiernos</w:t>
      </w:r>
      <w:r w:rsidR="004817CE" w:rsidRPr="00857BCB">
        <w:rPr>
          <w:sz w:val="24"/>
          <w:szCs w:val="24"/>
        </w:rPr>
        <w:t xml:space="preserve"> resultaba una inversión “de suma cero”</w:t>
      </w:r>
      <w:r w:rsidR="00A953AD" w:rsidRPr="00857BCB">
        <w:rPr>
          <w:sz w:val="24"/>
          <w:szCs w:val="24"/>
        </w:rPr>
        <w:t>, al diluirse el rédito inmediato de hacer obras en su propia jurisdicción.</w:t>
      </w:r>
    </w:p>
    <w:p w14:paraId="3828479A" w14:textId="0D3D53C5" w:rsidR="00D450EF" w:rsidRPr="00857BCB" w:rsidRDefault="0075034D" w:rsidP="00265FAA">
      <w:pPr>
        <w:jc w:val="both"/>
        <w:rPr>
          <w:sz w:val="24"/>
          <w:szCs w:val="24"/>
        </w:rPr>
      </w:pPr>
      <w:r w:rsidRPr="00857BCB">
        <w:rPr>
          <w:sz w:val="24"/>
          <w:szCs w:val="24"/>
        </w:rPr>
        <w:t>Algunas medidas correctivas</w:t>
      </w:r>
      <w:r w:rsidR="00E31FAE" w:rsidRPr="00857BCB">
        <w:rPr>
          <w:sz w:val="24"/>
          <w:szCs w:val="24"/>
        </w:rPr>
        <w:t xml:space="preserve"> </w:t>
      </w:r>
      <w:r w:rsidR="00C45CE5" w:rsidRPr="00857BCB">
        <w:rPr>
          <w:sz w:val="24"/>
          <w:szCs w:val="24"/>
        </w:rPr>
        <w:t>para su mejor funcionamiento</w:t>
      </w:r>
      <w:r w:rsidRPr="00857BCB">
        <w:rPr>
          <w:sz w:val="24"/>
          <w:szCs w:val="24"/>
        </w:rPr>
        <w:t xml:space="preserve"> pasarían por m</w:t>
      </w:r>
      <w:r w:rsidR="00F4709D" w:rsidRPr="00857BCB">
        <w:rPr>
          <w:sz w:val="24"/>
          <w:szCs w:val="24"/>
        </w:rPr>
        <w:t xml:space="preserve">ejorar los incentivos </w:t>
      </w:r>
      <w:r w:rsidR="00B04E03" w:rsidRPr="00857BCB">
        <w:rPr>
          <w:sz w:val="24"/>
          <w:szCs w:val="24"/>
        </w:rPr>
        <w:t>para</w:t>
      </w:r>
      <w:r w:rsidR="00F4709D" w:rsidRPr="00857BCB">
        <w:rPr>
          <w:sz w:val="24"/>
          <w:szCs w:val="24"/>
        </w:rPr>
        <w:t xml:space="preserve"> las manco</w:t>
      </w:r>
      <w:r w:rsidRPr="00857BCB">
        <w:rPr>
          <w:sz w:val="24"/>
          <w:szCs w:val="24"/>
        </w:rPr>
        <w:t>munidades</w:t>
      </w:r>
      <w:r w:rsidR="00F4709D" w:rsidRPr="00857BCB">
        <w:rPr>
          <w:sz w:val="24"/>
          <w:szCs w:val="24"/>
        </w:rPr>
        <w:t xml:space="preserve">: </w:t>
      </w:r>
      <w:r w:rsidRPr="00857BCB">
        <w:rPr>
          <w:sz w:val="24"/>
          <w:szCs w:val="24"/>
        </w:rPr>
        <w:t>por ejemplo</w:t>
      </w:r>
      <w:r w:rsidR="00B04E03" w:rsidRPr="00857BCB">
        <w:rPr>
          <w:sz w:val="24"/>
          <w:szCs w:val="24"/>
        </w:rPr>
        <w:t>,</w:t>
      </w:r>
      <w:r w:rsidRPr="00857BCB">
        <w:rPr>
          <w:sz w:val="24"/>
          <w:szCs w:val="24"/>
        </w:rPr>
        <w:t xml:space="preserve"> a través de la realización de un </w:t>
      </w:r>
      <w:r w:rsidR="00F4709D" w:rsidRPr="00857BCB">
        <w:rPr>
          <w:sz w:val="24"/>
          <w:szCs w:val="24"/>
        </w:rPr>
        <w:t>concurso específico</w:t>
      </w:r>
      <w:r w:rsidRPr="00857BCB">
        <w:rPr>
          <w:sz w:val="24"/>
          <w:szCs w:val="24"/>
        </w:rPr>
        <w:t xml:space="preserve"> de FONIPREL</w:t>
      </w:r>
      <w:r w:rsidR="00F4709D" w:rsidRPr="00857BCB">
        <w:rPr>
          <w:sz w:val="24"/>
          <w:szCs w:val="24"/>
        </w:rPr>
        <w:t xml:space="preserve"> para </w:t>
      </w:r>
      <w:r w:rsidR="00B04E03" w:rsidRPr="00857BCB">
        <w:rPr>
          <w:sz w:val="24"/>
          <w:szCs w:val="24"/>
        </w:rPr>
        <w:t>ellas</w:t>
      </w:r>
      <w:r w:rsidR="00F4709D" w:rsidRPr="00857BCB">
        <w:rPr>
          <w:sz w:val="24"/>
          <w:szCs w:val="24"/>
        </w:rPr>
        <w:t xml:space="preserve">. </w:t>
      </w:r>
      <w:r w:rsidRPr="00857BCB">
        <w:rPr>
          <w:sz w:val="24"/>
          <w:szCs w:val="24"/>
        </w:rPr>
        <w:t>Asimismo, se debe</w:t>
      </w:r>
      <w:r w:rsidR="00A26AAC" w:rsidRPr="00857BCB">
        <w:rPr>
          <w:sz w:val="24"/>
          <w:szCs w:val="24"/>
        </w:rPr>
        <w:t>n</w:t>
      </w:r>
      <w:r w:rsidRPr="00857BCB">
        <w:rPr>
          <w:sz w:val="24"/>
          <w:szCs w:val="24"/>
        </w:rPr>
        <w:t xml:space="preserve"> complementar los esfuerzos con la inclusión de una</w:t>
      </w:r>
      <w:r w:rsidR="005C17EA" w:rsidRPr="00857BCB">
        <w:rPr>
          <w:sz w:val="24"/>
          <w:szCs w:val="24"/>
        </w:rPr>
        <w:t xml:space="preserve"> estrategia de comunicación para promocionar las manco</w:t>
      </w:r>
      <w:r w:rsidRPr="00857BCB">
        <w:rPr>
          <w:sz w:val="24"/>
          <w:szCs w:val="24"/>
        </w:rPr>
        <w:t>munidade</w:t>
      </w:r>
      <w:r w:rsidR="005C17EA" w:rsidRPr="00857BCB">
        <w:rPr>
          <w:sz w:val="24"/>
          <w:szCs w:val="24"/>
        </w:rPr>
        <w:t>s</w:t>
      </w:r>
      <w:r w:rsidRPr="00857BCB">
        <w:rPr>
          <w:sz w:val="24"/>
          <w:szCs w:val="24"/>
        </w:rPr>
        <w:t xml:space="preserve"> entre los gobiernos subnacionales</w:t>
      </w:r>
      <w:r w:rsidR="005C17EA" w:rsidRPr="00857BCB">
        <w:rPr>
          <w:sz w:val="24"/>
          <w:szCs w:val="24"/>
        </w:rPr>
        <w:t>.</w:t>
      </w:r>
      <w:r w:rsidR="00644D02" w:rsidRPr="00857BCB">
        <w:rPr>
          <w:sz w:val="24"/>
          <w:szCs w:val="24"/>
        </w:rPr>
        <w:t xml:space="preserve"> </w:t>
      </w:r>
      <w:r w:rsidR="001C74E4" w:rsidRPr="00857BCB">
        <w:rPr>
          <w:sz w:val="24"/>
          <w:szCs w:val="24"/>
        </w:rPr>
        <w:t>Finalmente</w:t>
      </w:r>
      <w:r w:rsidRPr="00857BCB">
        <w:rPr>
          <w:sz w:val="24"/>
          <w:szCs w:val="24"/>
        </w:rPr>
        <w:t>,</w:t>
      </w:r>
      <w:r w:rsidR="001C74E4" w:rsidRPr="00857BCB">
        <w:rPr>
          <w:sz w:val="24"/>
          <w:szCs w:val="24"/>
        </w:rPr>
        <w:t xml:space="preserve"> habría que</w:t>
      </w:r>
      <w:r w:rsidRPr="00857BCB">
        <w:rPr>
          <w:sz w:val="24"/>
          <w:szCs w:val="24"/>
        </w:rPr>
        <w:t xml:space="preserve"> </w:t>
      </w:r>
      <w:r w:rsidR="00982743" w:rsidRPr="00857BCB">
        <w:rPr>
          <w:sz w:val="24"/>
          <w:szCs w:val="24"/>
        </w:rPr>
        <w:t>promover</w:t>
      </w:r>
      <w:r w:rsidRPr="00857BCB">
        <w:rPr>
          <w:sz w:val="24"/>
          <w:szCs w:val="24"/>
        </w:rPr>
        <w:t xml:space="preserve"> que </w:t>
      </w:r>
      <w:r w:rsidR="00644D02" w:rsidRPr="00857BCB">
        <w:rPr>
          <w:sz w:val="24"/>
          <w:szCs w:val="24"/>
        </w:rPr>
        <w:t>los sectore</w:t>
      </w:r>
      <w:r w:rsidR="005C341D" w:rsidRPr="00857BCB">
        <w:rPr>
          <w:sz w:val="24"/>
          <w:szCs w:val="24"/>
        </w:rPr>
        <w:t xml:space="preserve">s sean quienes </w:t>
      </w:r>
      <w:r w:rsidR="00982743" w:rsidRPr="00857BCB">
        <w:rPr>
          <w:sz w:val="24"/>
          <w:szCs w:val="24"/>
        </w:rPr>
        <w:t>alienten</w:t>
      </w:r>
      <w:r w:rsidR="005C341D" w:rsidRPr="00857BCB">
        <w:rPr>
          <w:sz w:val="24"/>
          <w:szCs w:val="24"/>
        </w:rPr>
        <w:t xml:space="preserve"> la constitución de mancomunidades en territorios con potencialidades </w:t>
      </w:r>
      <w:r w:rsidR="001C5D9E" w:rsidRPr="00857BCB">
        <w:rPr>
          <w:sz w:val="24"/>
          <w:szCs w:val="24"/>
        </w:rPr>
        <w:t>económicas</w:t>
      </w:r>
      <w:r w:rsidR="005C341D" w:rsidRPr="00857BCB">
        <w:rPr>
          <w:sz w:val="24"/>
          <w:szCs w:val="24"/>
        </w:rPr>
        <w:t>, sociales y culturales</w:t>
      </w:r>
      <w:r w:rsidR="001C74E4" w:rsidRPr="00857BCB">
        <w:rPr>
          <w:sz w:val="24"/>
          <w:szCs w:val="24"/>
        </w:rPr>
        <w:t xml:space="preserve"> comunes</w:t>
      </w:r>
      <w:r w:rsidR="00644D02" w:rsidRPr="00857BCB">
        <w:rPr>
          <w:sz w:val="24"/>
          <w:szCs w:val="24"/>
        </w:rPr>
        <w:t xml:space="preserve">. </w:t>
      </w:r>
    </w:p>
    <w:p w14:paraId="706A8AC0" w14:textId="6E8D0BC0" w:rsidR="00A808BE" w:rsidRPr="00857BCB" w:rsidRDefault="00A808BE" w:rsidP="00E70362">
      <w:pPr>
        <w:ind w:left="360"/>
        <w:jc w:val="both"/>
        <w:rPr>
          <w:b/>
          <w:sz w:val="24"/>
          <w:szCs w:val="24"/>
        </w:rPr>
      </w:pPr>
    </w:p>
    <w:p w14:paraId="452A40B2" w14:textId="33DD39B1" w:rsidR="0061490B" w:rsidRPr="00857BCB" w:rsidRDefault="0061490B" w:rsidP="009A3727">
      <w:pPr>
        <w:pStyle w:val="ListParagraph"/>
        <w:numPr>
          <w:ilvl w:val="2"/>
          <w:numId w:val="10"/>
        </w:numPr>
        <w:jc w:val="both"/>
        <w:outlineLvl w:val="2"/>
        <w:rPr>
          <w:i/>
          <w:sz w:val="24"/>
          <w:szCs w:val="24"/>
          <w:u w:val="single"/>
        </w:rPr>
      </w:pPr>
      <w:bookmarkStart w:id="7" w:name="_Toc523393986"/>
      <w:r w:rsidRPr="00857BCB">
        <w:rPr>
          <w:i/>
          <w:sz w:val="24"/>
          <w:szCs w:val="24"/>
          <w:u w:val="single"/>
        </w:rPr>
        <w:t xml:space="preserve">Sobre los </w:t>
      </w:r>
      <w:r w:rsidR="00201C30" w:rsidRPr="00857BCB">
        <w:rPr>
          <w:i/>
          <w:sz w:val="24"/>
          <w:szCs w:val="24"/>
          <w:u w:val="single"/>
        </w:rPr>
        <w:t>centros de Mejor Atención al Ciudadano (MAC)</w:t>
      </w:r>
      <w:bookmarkEnd w:id="7"/>
    </w:p>
    <w:p w14:paraId="72C2BB5E" w14:textId="41D80C8E" w:rsidR="00E008B8" w:rsidRPr="00857BCB" w:rsidRDefault="009552A3" w:rsidP="0061490B">
      <w:pPr>
        <w:jc w:val="both"/>
        <w:rPr>
          <w:sz w:val="24"/>
          <w:szCs w:val="24"/>
        </w:rPr>
      </w:pPr>
      <w:r w:rsidRPr="00857BCB">
        <w:rPr>
          <w:sz w:val="24"/>
          <w:szCs w:val="24"/>
        </w:rPr>
        <w:t>Los</w:t>
      </w:r>
      <w:r w:rsidR="00E008B8" w:rsidRPr="00857BCB">
        <w:rPr>
          <w:sz w:val="24"/>
          <w:szCs w:val="24"/>
        </w:rPr>
        <w:t xml:space="preserve"> centros de Mejor Atención al Ciudadano (MAC) se han convertido en un referente para la modernización del Estado. </w:t>
      </w:r>
      <w:r w:rsidR="003473BA" w:rsidRPr="00857BCB">
        <w:rPr>
          <w:sz w:val="24"/>
          <w:szCs w:val="24"/>
        </w:rPr>
        <w:t>La importancia de los MAC se asienta en</w:t>
      </w:r>
      <w:r w:rsidR="00E008B8" w:rsidRPr="00857BCB">
        <w:rPr>
          <w:sz w:val="24"/>
          <w:szCs w:val="24"/>
        </w:rPr>
        <w:t xml:space="preserve"> e</w:t>
      </w:r>
      <w:r w:rsidR="00201C30" w:rsidRPr="00857BCB">
        <w:rPr>
          <w:sz w:val="24"/>
          <w:szCs w:val="24"/>
        </w:rPr>
        <w:t>l exitoso modelo del</w:t>
      </w:r>
      <w:r w:rsidR="00F93320" w:rsidRPr="00857BCB">
        <w:rPr>
          <w:sz w:val="24"/>
          <w:szCs w:val="24"/>
        </w:rPr>
        <w:t xml:space="preserve"> primero de ellos: el de</w:t>
      </w:r>
      <w:r w:rsidR="00201C30" w:rsidRPr="00857BCB">
        <w:rPr>
          <w:sz w:val="24"/>
          <w:szCs w:val="24"/>
        </w:rPr>
        <w:t xml:space="preserve"> MAC Lima Norte</w:t>
      </w:r>
      <w:r w:rsidR="003473BA" w:rsidRPr="00857BCB">
        <w:rPr>
          <w:sz w:val="24"/>
          <w:szCs w:val="24"/>
        </w:rPr>
        <w:t>,</w:t>
      </w:r>
      <w:r w:rsidR="00B624B2" w:rsidRPr="00857BCB">
        <w:rPr>
          <w:sz w:val="24"/>
          <w:szCs w:val="24"/>
        </w:rPr>
        <w:t xml:space="preserve"> ubicado en Independencia</w:t>
      </w:r>
      <w:r w:rsidR="00F93320" w:rsidRPr="00857BCB">
        <w:rPr>
          <w:sz w:val="24"/>
          <w:szCs w:val="24"/>
        </w:rPr>
        <w:t xml:space="preserve">. Tanto </w:t>
      </w:r>
      <w:r w:rsidR="003473BA" w:rsidRPr="00857BCB">
        <w:rPr>
          <w:sz w:val="24"/>
          <w:szCs w:val="24"/>
        </w:rPr>
        <w:t xml:space="preserve">en su implementación (realizada enteramente por el centro comercial Lima Norte) como en las cifras de usuarios, la experiencia </w:t>
      </w:r>
      <w:r w:rsidR="006D3402" w:rsidRPr="00857BCB">
        <w:rPr>
          <w:sz w:val="24"/>
          <w:szCs w:val="24"/>
        </w:rPr>
        <w:t>d</w:t>
      </w:r>
      <w:r w:rsidR="003473BA" w:rsidRPr="00857BCB">
        <w:rPr>
          <w:sz w:val="24"/>
          <w:szCs w:val="24"/>
        </w:rPr>
        <w:t>e</w:t>
      </w:r>
      <w:r w:rsidR="009C5D45" w:rsidRPr="00857BCB">
        <w:rPr>
          <w:sz w:val="24"/>
          <w:szCs w:val="24"/>
        </w:rPr>
        <w:t xml:space="preserve"> MAC</w:t>
      </w:r>
      <w:r w:rsidR="003473BA" w:rsidRPr="00857BCB">
        <w:rPr>
          <w:sz w:val="24"/>
          <w:szCs w:val="24"/>
        </w:rPr>
        <w:t xml:space="preserve"> Lima Norte</w:t>
      </w:r>
      <w:r w:rsidR="0024579C" w:rsidRPr="00857BCB">
        <w:rPr>
          <w:sz w:val="24"/>
          <w:szCs w:val="24"/>
        </w:rPr>
        <w:t xml:space="preserve"> se puede calificar como efectiva, eficiente, pertinente y sostenible.</w:t>
      </w:r>
      <w:r w:rsidR="00A90E34" w:rsidRPr="00857BCB">
        <w:rPr>
          <w:sz w:val="24"/>
          <w:szCs w:val="24"/>
        </w:rPr>
        <w:t xml:space="preserve"> Durante el período 2011-2014, la Secretaría de Gestión Pública promovió la apertura de MAC</w:t>
      </w:r>
      <w:r w:rsidR="00BE769B" w:rsidRPr="00857BCB">
        <w:rPr>
          <w:sz w:val="24"/>
          <w:szCs w:val="24"/>
        </w:rPr>
        <w:t xml:space="preserve"> como franquicia</w:t>
      </w:r>
      <w:r w:rsidR="00A90E34" w:rsidRPr="00857BCB">
        <w:rPr>
          <w:sz w:val="24"/>
          <w:szCs w:val="24"/>
        </w:rPr>
        <w:t xml:space="preserve"> en otras zonas del país (Callao, Ventanilla y Piura)</w:t>
      </w:r>
      <w:r w:rsidR="00BE769B" w:rsidRPr="00857BCB">
        <w:rPr>
          <w:sz w:val="24"/>
          <w:szCs w:val="24"/>
        </w:rPr>
        <w:t xml:space="preserve"> cuya gestión recae en </w:t>
      </w:r>
      <w:r w:rsidR="005E0D33" w:rsidRPr="00857BCB">
        <w:rPr>
          <w:sz w:val="24"/>
          <w:szCs w:val="24"/>
        </w:rPr>
        <w:t>los gobiernos regionales (la municipalidad distrital en el caso de Ventanilla)</w:t>
      </w:r>
      <w:r w:rsidR="00BE769B" w:rsidRPr="00857BCB">
        <w:rPr>
          <w:sz w:val="24"/>
          <w:szCs w:val="24"/>
        </w:rPr>
        <w:t>.</w:t>
      </w:r>
    </w:p>
    <w:p w14:paraId="3F6EDE8B" w14:textId="2841F237" w:rsidR="0061490B" w:rsidRPr="00857BCB" w:rsidRDefault="004710AB" w:rsidP="0061490B">
      <w:pPr>
        <w:jc w:val="both"/>
        <w:rPr>
          <w:sz w:val="24"/>
          <w:szCs w:val="24"/>
        </w:rPr>
      </w:pPr>
      <w:r w:rsidRPr="00857BCB">
        <w:rPr>
          <w:sz w:val="24"/>
          <w:szCs w:val="24"/>
        </w:rPr>
        <w:lastRenderedPageBreak/>
        <w:t>Por estos antecedentes</w:t>
      </w:r>
      <w:r w:rsidR="00E008B8" w:rsidRPr="00857BCB">
        <w:rPr>
          <w:sz w:val="24"/>
          <w:szCs w:val="24"/>
        </w:rPr>
        <w:t>,</w:t>
      </w:r>
      <w:r w:rsidR="000F5D45" w:rsidRPr="00857BCB">
        <w:rPr>
          <w:sz w:val="24"/>
          <w:szCs w:val="24"/>
        </w:rPr>
        <w:t xml:space="preserve"> en 2015</w:t>
      </w:r>
      <w:r w:rsidR="00E008B8" w:rsidRPr="00857BCB">
        <w:rPr>
          <w:sz w:val="24"/>
          <w:szCs w:val="24"/>
        </w:rPr>
        <w:t xml:space="preserve"> </w:t>
      </w:r>
      <w:r w:rsidR="000F5D45" w:rsidRPr="00857BCB">
        <w:rPr>
          <w:sz w:val="24"/>
          <w:szCs w:val="24"/>
        </w:rPr>
        <w:t xml:space="preserve">la Secretaría de Gestión Pública </w:t>
      </w:r>
      <w:r w:rsidR="00E008B8" w:rsidRPr="00857BCB">
        <w:rPr>
          <w:sz w:val="24"/>
          <w:szCs w:val="24"/>
        </w:rPr>
        <w:t xml:space="preserve">decidió </w:t>
      </w:r>
      <w:r w:rsidR="00201C30" w:rsidRPr="00857BCB">
        <w:rPr>
          <w:sz w:val="24"/>
          <w:szCs w:val="24"/>
        </w:rPr>
        <w:t xml:space="preserve">articular </w:t>
      </w:r>
      <w:r w:rsidR="00171FDA" w:rsidRPr="00857BCB">
        <w:rPr>
          <w:sz w:val="24"/>
          <w:szCs w:val="24"/>
        </w:rPr>
        <w:t xml:space="preserve">la ampliación de la experiencia MAC </w:t>
      </w:r>
      <w:r w:rsidR="001277E9" w:rsidRPr="00857BCB">
        <w:rPr>
          <w:sz w:val="24"/>
          <w:szCs w:val="24"/>
        </w:rPr>
        <w:t xml:space="preserve">a otras zonas del país </w:t>
      </w:r>
      <w:r w:rsidR="00171FDA" w:rsidRPr="00857BCB">
        <w:rPr>
          <w:sz w:val="24"/>
          <w:szCs w:val="24"/>
        </w:rPr>
        <w:t>con</w:t>
      </w:r>
      <w:r w:rsidR="005C49F8" w:rsidRPr="00857BCB">
        <w:rPr>
          <w:sz w:val="24"/>
          <w:szCs w:val="24"/>
        </w:rPr>
        <w:t xml:space="preserve"> el proyecto</w:t>
      </w:r>
      <w:r w:rsidR="00A603E4" w:rsidRPr="00857BCB">
        <w:rPr>
          <w:sz w:val="24"/>
          <w:szCs w:val="24"/>
        </w:rPr>
        <w:t xml:space="preserve"> de PNUD</w:t>
      </w:r>
      <w:r w:rsidR="005C49F8" w:rsidRPr="00857BCB">
        <w:rPr>
          <w:sz w:val="24"/>
          <w:szCs w:val="24"/>
        </w:rPr>
        <w:t xml:space="preserve">. Es así que este componente apareció en la revisión sustantiva de 2015 e incluía la elaboración de estudios de demanda para </w:t>
      </w:r>
      <w:r w:rsidR="00831DD8" w:rsidRPr="00857BCB">
        <w:rPr>
          <w:sz w:val="24"/>
          <w:szCs w:val="24"/>
        </w:rPr>
        <w:t>cuatro</w:t>
      </w:r>
      <w:r w:rsidR="005C49F8" w:rsidRPr="00857BCB">
        <w:rPr>
          <w:sz w:val="24"/>
          <w:szCs w:val="24"/>
        </w:rPr>
        <w:t xml:space="preserve"> </w:t>
      </w:r>
      <w:r w:rsidR="002E67A4" w:rsidRPr="00857BCB">
        <w:rPr>
          <w:sz w:val="24"/>
          <w:szCs w:val="24"/>
        </w:rPr>
        <w:t>localidades</w:t>
      </w:r>
      <w:r w:rsidR="005C49F8" w:rsidRPr="00857BCB">
        <w:rPr>
          <w:sz w:val="24"/>
          <w:szCs w:val="24"/>
        </w:rPr>
        <w:t xml:space="preserve"> del país</w:t>
      </w:r>
      <w:r w:rsidR="002E67A4" w:rsidRPr="00857BCB">
        <w:rPr>
          <w:sz w:val="24"/>
          <w:szCs w:val="24"/>
        </w:rPr>
        <w:t xml:space="preserve"> (Arequipa, Huánuco, </w:t>
      </w:r>
      <w:r w:rsidR="00BC3009" w:rsidRPr="00857BCB">
        <w:rPr>
          <w:sz w:val="24"/>
          <w:szCs w:val="24"/>
        </w:rPr>
        <w:t xml:space="preserve">Lima Este y Lima Sur). </w:t>
      </w:r>
      <w:r w:rsidR="001E7B7C" w:rsidRPr="00857BCB">
        <w:rPr>
          <w:sz w:val="24"/>
          <w:szCs w:val="24"/>
        </w:rPr>
        <w:t>Finalmente, se eligió implementar el MAC Lima Este con apoyo</w:t>
      </w:r>
      <w:r w:rsidR="000F21A4" w:rsidRPr="00857BCB">
        <w:rPr>
          <w:sz w:val="24"/>
          <w:szCs w:val="24"/>
        </w:rPr>
        <w:t xml:space="preserve"> de PNUD.</w:t>
      </w:r>
      <w:r w:rsidR="00ED38C7" w:rsidRPr="00857BCB">
        <w:rPr>
          <w:sz w:val="24"/>
          <w:szCs w:val="24"/>
        </w:rPr>
        <w:t xml:space="preserve"> </w:t>
      </w:r>
      <w:r w:rsidR="00E26F8E" w:rsidRPr="00857BCB">
        <w:rPr>
          <w:sz w:val="24"/>
          <w:szCs w:val="24"/>
        </w:rPr>
        <w:t>Para el MAC Lima Este,</w:t>
      </w:r>
      <w:r w:rsidR="001E7B7C" w:rsidRPr="00857BCB">
        <w:rPr>
          <w:sz w:val="24"/>
          <w:szCs w:val="24"/>
        </w:rPr>
        <w:t xml:space="preserve"> ubicado en el centro comercial El Agustino Plaza,</w:t>
      </w:r>
      <w:r w:rsidR="00E26F8E" w:rsidRPr="00857BCB">
        <w:rPr>
          <w:sz w:val="24"/>
          <w:szCs w:val="24"/>
        </w:rPr>
        <w:t xml:space="preserve"> PNUD se comprometía a habilitar </w:t>
      </w:r>
      <w:r w:rsidR="00583E71" w:rsidRPr="00857BCB">
        <w:rPr>
          <w:sz w:val="24"/>
          <w:szCs w:val="24"/>
        </w:rPr>
        <w:t>un</w:t>
      </w:r>
      <w:r w:rsidR="00E26F8E" w:rsidRPr="00857BCB">
        <w:rPr>
          <w:sz w:val="24"/>
          <w:szCs w:val="24"/>
        </w:rPr>
        <w:t xml:space="preserve"> espacio</w:t>
      </w:r>
      <w:r w:rsidR="007C2E08" w:rsidRPr="00857BCB">
        <w:rPr>
          <w:sz w:val="24"/>
          <w:szCs w:val="24"/>
        </w:rPr>
        <w:t xml:space="preserve"> disponible</w:t>
      </w:r>
      <w:r w:rsidR="00925ED2" w:rsidRPr="00857BCB">
        <w:rPr>
          <w:sz w:val="24"/>
          <w:szCs w:val="24"/>
        </w:rPr>
        <w:t xml:space="preserve"> a través de la contratación de un proveedor encargado de dotar al local de la infraestructura necesaria.</w:t>
      </w:r>
    </w:p>
    <w:p w14:paraId="6983255F" w14:textId="4F2A6AAA" w:rsidR="009E60A5" w:rsidRPr="00857BCB" w:rsidRDefault="009E60A5" w:rsidP="00C60172">
      <w:pPr>
        <w:jc w:val="center"/>
        <w:rPr>
          <w:b/>
          <w:sz w:val="24"/>
          <w:szCs w:val="24"/>
          <w:u w:val="single"/>
        </w:rPr>
      </w:pPr>
      <w:r w:rsidRPr="00857BCB">
        <w:rPr>
          <w:b/>
          <w:sz w:val="24"/>
          <w:szCs w:val="24"/>
          <w:u w:val="single"/>
        </w:rPr>
        <w:t>Resultado 3 (2013-2017)</w:t>
      </w:r>
      <w:r w:rsidR="00C60172" w:rsidRPr="00857BCB">
        <w:rPr>
          <w:b/>
          <w:sz w:val="24"/>
          <w:szCs w:val="24"/>
          <w:u w:val="single"/>
        </w:rPr>
        <w:t>: Modernización de la PCM en la mejora de las capacidades institucionales y en el uso de tecnologías de la información.</w:t>
      </w:r>
    </w:p>
    <w:p w14:paraId="2B6AA68D" w14:textId="1B59F5E2" w:rsidR="00C60172" w:rsidRPr="00857BCB" w:rsidRDefault="00C60172" w:rsidP="00C60172">
      <w:pPr>
        <w:jc w:val="center"/>
        <w:rPr>
          <w:sz w:val="24"/>
          <w:szCs w:val="24"/>
        </w:rPr>
      </w:pPr>
      <w:r w:rsidRPr="00857BCB">
        <w:rPr>
          <w:b/>
          <w:sz w:val="24"/>
          <w:szCs w:val="24"/>
          <w:u w:val="single"/>
        </w:rPr>
        <w:t>Actividades realizadas por año (componente MAC)</w:t>
      </w:r>
    </w:p>
    <w:tbl>
      <w:tblPr>
        <w:tblW w:w="0" w:type="auto"/>
        <w:tblCellMar>
          <w:left w:w="70" w:type="dxa"/>
          <w:right w:w="70" w:type="dxa"/>
        </w:tblCellMar>
        <w:tblLook w:val="04A0" w:firstRow="1" w:lastRow="0" w:firstColumn="1" w:lastColumn="0" w:noHBand="0" w:noVBand="1"/>
      </w:tblPr>
      <w:tblGrid>
        <w:gridCol w:w="822"/>
        <w:gridCol w:w="1539"/>
        <w:gridCol w:w="1702"/>
        <w:gridCol w:w="2848"/>
        <w:gridCol w:w="1733"/>
      </w:tblGrid>
      <w:tr w:rsidR="001C5D9E" w:rsidRPr="005D2E38" w14:paraId="1BB6BF27" w14:textId="77777777" w:rsidTr="00857BCB">
        <w:trPr>
          <w:trHeight w:val="72"/>
        </w:trPr>
        <w:tc>
          <w:tcPr>
            <w:tcW w:w="0" w:type="auto"/>
            <w:tcBorders>
              <w:top w:val="single" w:sz="4" w:space="0" w:color="auto"/>
              <w:left w:val="single" w:sz="4" w:space="0" w:color="auto"/>
              <w:right w:val="single" w:sz="4" w:space="0" w:color="auto"/>
            </w:tcBorders>
            <w:shd w:val="clear" w:color="auto" w:fill="auto"/>
            <w:noWrap/>
            <w:vAlign w:val="bottom"/>
            <w:hideMark/>
          </w:tcPr>
          <w:p w14:paraId="497FD319" w14:textId="77777777" w:rsidR="001C5D9E" w:rsidRPr="00857BCB" w:rsidRDefault="001C5D9E" w:rsidP="005D2E38">
            <w:pPr>
              <w:spacing w:after="0" w:line="240" w:lineRule="auto"/>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Número</w:t>
            </w:r>
          </w:p>
        </w:tc>
        <w:tc>
          <w:tcPr>
            <w:tcW w:w="1799" w:type="dxa"/>
            <w:tcBorders>
              <w:top w:val="single" w:sz="4" w:space="0" w:color="auto"/>
              <w:left w:val="nil"/>
              <w:right w:val="single" w:sz="4" w:space="0" w:color="auto"/>
            </w:tcBorders>
            <w:shd w:val="clear" w:color="auto" w:fill="auto"/>
            <w:vAlign w:val="bottom"/>
            <w:hideMark/>
          </w:tcPr>
          <w:p w14:paraId="47D237C1" w14:textId="3B5A4672" w:rsidR="001C5D9E" w:rsidRPr="00857BCB" w:rsidRDefault="001C5D9E" w:rsidP="001C5D9E">
            <w:pPr>
              <w:spacing w:after="0" w:line="240" w:lineRule="auto"/>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 xml:space="preserve">Actividad / </w:t>
            </w:r>
          </w:p>
        </w:tc>
        <w:tc>
          <w:tcPr>
            <w:tcW w:w="6023" w:type="dxa"/>
            <w:gridSpan w:val="3"/>
            <w:tcBorders>
              <w:top w:val="single" w:sz="4" w:space="0" w:color="auto"/>
              <w:left w:val="nil"/>
              <w:bottom w:val="single" w:sz="4" w:space="0" w:color="auto"/>
              <w:right w:val="single" w:sz="4" w:space="0" w:color="auto"/>
            </w:tcBorders>
            <w:shd w:val="clear" w:color="auto" w:fill="auto"/>
            <w:noWrap/>
            <w:vAlign w:val="bottom"/>
          </w:tcPr>
          <w:p w14:paraId="573EB51B" w14:textId="5459ABAF" w:rsidR="001C5D9E" w:rsidRPr="00857BCB" w:rsidRDefault="001C5D9E" w:rsidP="001C5D9E">
            <w:pPr>
              <w:spacing w:after="0" w:line="240" w:lineRule="auto"/>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Cumplimiento por año</w:t>
            </w:r>
          </w:p>
        </w:tc>
      </w:tr>
      <w:tr w:rsidR="001C5D9E" w:rsidRPr="005D2E38" w14:paraId="0CAA53DB" w14:textId="77777777" w:rsidTr="00857BCB">
        <w:trPr>
          <w:trHeight w:val="70"/>
        </w:trPr>
        <w:tc>
          <w:tcPr>
            <w:tcW w:w="0" w:type="auto"/>
            <w:tcBorders>
              <w:left w:val="single" w:sz="4" w:space="0" w:color="auto"/>
              <w:bottom w:val="single" w:sz="4" w:space="0" w:color="auto"/>
              <w:right w:val="single" w:sz="4" w:space="0" w:color="auto"/>
            </w:tcBorders>
            <w:shd w:val="clear" w:color="auto" w:fill="auto"/>
            <w:noWrap/>
            <w:vAlign w:val="bottom"/>
          </w:tcPr>
          <w:p w14:paraId="3ACAFBC9" w14:textId="77777777" w:rsidR="001C5D9E" w:rsidRPr="00857BCB" w:rsidRDefault="001C5D9E" w:rsidP="001C5D9E">
            <w:pPr>
              <w:spacing w:after="0" w:line="240" w:lineRule="auto"/>
              <w:rPr>
                <w:rFonts w:ascii="Calibri" w:eastAsia="Times New Roman" w:hAnsi="Calibri" w:cs="Times New Roman"/>
                <w:b/>
                <w:bCs/>
                <w:color w:val="000000"/>
                <w:sz w:val="20"/>
                <w:szCs w:val="20"/>
                <w:lang w:eastAsia="es-PE"/>
              </w:rPr>
            </w:pPr>
          </w:p>
        </w:tc>
        <w:tc>
          <w:tcPr>
            <w:tcW w:w="1799" w:type="dxa"/>
            <w:tcBorders>
              <w:left w:val="nil"/>
              <w:bottom w:val="single" w:sz="4" w:space="0" w:color="auto"/>
              <w:right w:val="single" w:sz="4" w:space="0" w:color="auto"/>
            </w:tcBorders>
            <w:shd w:val="clear" w:color="auto" w:fill="auto"/>
            <w:vAlign w:val="bottom"/>
          </w:tcPr>
          <w:p w14:paraId="182A0E63" w14:textId="77777777" w:rsidR="001C5D9E" w:rsidRPr="00857BCB" w:rsidRDefault="001C5D9E" w:rsidP="001C5D9E">
            <w:pPr>
              <w:spacing w:after="0" w:line="240" w:lineRule="auto"/>
              <w:rPr>
                <w:rFonts w:ascii="Calibri" w:eastAsia="Times New Roman" w:hAnsi="Calibri" w:cs="Times New Roman"/>
                <w:b/>
                <w:bCs/>
                <w:color w:val="000000"/>
                <w:sz w:val="20"/>
                <w:szCs w:val="20"/>
                <w:lang w:eastAsia="es-PE"/>
              </w:rPr>
            </w:pPr>
          </w:p>
        </w:tc>
        <w:tc>
          <w:tcPr>
            <w:tcW w:w="1702" w:type="dxa"/>
            <w:tcBorders>
              <w:top w:val="single" w:sz="4" w:space="0" w:color="auto"/>
              <w:left w:val="nil"/>
              <w:bottom w:val="single" w:sz="4" w:space="0" w:color="auto"/>
              <w:right w:val="single" w:sz="4" w:space="0" w:color="auto"/>
            </w:tcBorders>
            <w:shd w:val="clear" w:color="auto" w:fill="auto"/>
            <w:noWrap/>
            <w:vAlign w:val="bottom"/>
          </w:tcPr>
          <w:p w14:paraId="2076A091" w14:textId="36D2A806" w:rsidR="001C5D9E" w:rsidRPr="00857BCB" w:rsidRDefault="001C5D9E" w:rsidP="001C5D9E">
            <w:pPr>
              <w:spacing w:after="0" w:line="240" w:lineRule="auto"/>
              <w:jc w:val="right"/>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2015</w:t>
            </w:r>
          </w:p>
        </w:tc>
        <w:tc>
          <w:tcPr>
            <w:tcW w:w="2848" w:type="dxa"/>
            <w:tcBorders>
              <w:top w:val="single" w:sz="4" w:space="0" w:color="auto"/>
              <w:left w:val="nil"/>
              <w:bottom w:val="single" w:sz="4" w:space="0" w:color="auto"/>
              <w:right w:val="single" w:sz="4" w:space="0" w:color="auto"/>
            </w:tcBorders>
            <w:shd w:val="clear" w:color="auto" w:fill="auto"/>
            <w:noWrap/>
            <w:vAlign w:val="bottom"/>
          </w:tcPr>
          <w:p w14:paraId="01FAA1C9" w14:textId="4A84B3A3" w:rsidR="001C5D9E" w:rsidRPr="00857BCB" w:rsidRDefault="001C5D9E" w:rsidP="001C5D9E">
            <w:pPr>
              <w:spacing w:after="0" w:line="240" w:lineRule="auto"/>
              <w:jc w:val="right"/>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2016</w:t>
            </w:r>
          </w:p>
        </w:tc>
        <w:tc>
          <w:tcPr>
            <w:tcW w:w="0" w:type="auto"/>
            <w:tcBorders>
              <w:top w:val="single" w:sz="4" w:space="0" w:color="auto"/>
              <w:left w:val="nil"/>
              <w:bottom w:val="single" w:sz="4" w:space="0" w:color="auto"/>
              <w:right w:val="single" w:sz="4" w:space="0" w:color="auto"/>
            </w:tcBorders>
            <w:shd w:val="clear" w:color="auto" w:fill="auto"/>
            <w:vAlign w:val="bottom"/>
          </w:tcPr>
          <w:p w14:paraId="071D5DF6" w14:textId="5FEC5CAA" w:rsidR="001C5D9E" w:rsidRPr="00857BCB" w:rsidRDefault="001C5D9E" w:rsidP="001C5D9E">
            <w:pPr>
              <w:spacing w:after="0" w:line="240" w:lineRule="auto"/>
              <w:jc w:val="right"/>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2017</w:t>
            </w:r>
          </w:p>
        </w:tc>
      </w:tr>
      <w:tr w:rsidR="001C5D9E" w:rsidRPr="005D2E38" w14:paraId="5BD560C7" w14:textId="77777777" w:rsidTr="00857BCB">
        <w:trPr>
          <w:trHeight w:val="2478"/>
        </w:trPr>
        <w:tc>
          <w:tcPr>
            <w:tcW w:w="0" w:type="auto"/>
            <w:tcBorders>
              <w:top w:val="nil"/>
              <w:left w:val="single" w:sz="4" w:space="0" w:color="auto"/>
              <w:bottom w:val="single" w:sz="4" w:space="0" w:color="auto"/>
              <w:right w:val="single" w:sz="4" w:space="0" w:color="auto"/>
            </w:tcBorders>
            <w:shd w:val="clear" w:color="auto" w:fill="auto"/>
            <w:noWrap/>
            <w:hideMark/>
          </w:tcPr>
          <w:p w14:paraId="4CCFF5B0" w14:textId="77777777" w:rsidR="001C5D9E" w:rsidRPr="00857BCB" w:rsidRDefault="001C5D9E" w:rsidP="001C5D9E">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3.5</w:t>
            </w:r>
          </w:p>
        </w:tc>
        <w:tc>
          <w:tcPr>
            <w:tcW w:w="1799" w:type="dxa"/>
            <w:tcBorders>
              <w:top w:val="nil"/>
              <w:left w:val="nil"/>
              <w:bottom w:val="single" w:sz="4" w:space="0" w:color="auto"/>
              <w:right w:val="single" w:sz="4" w:space="0" w:color="auto"/>
            </w:tcBorders>
            <w:shd w:val="clear" w:color="auto" w:fill="auto"/>
            <w:hideMark/>
          </w:tcPr>
          <w:p w14:paraId="61113574" w14:textId="77777777" w:rsidR="001C5D9E" w:rsidRPr="00857BCB" w:rsidRDefault="001C5D9E" w:rsidP="001C5D9E">
            <w:pPr>
              <w:spacing w:after="0" w:line="240" w:lineRule="auto"/>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Implementación de un centro MAC en el marco de la política de modernización del Estado</w:t>
            </w:r>
          </w:p>
        </w:tc>
        <w:tc>
          <w:tcPr>
            <w:tcW w:w="1702" w:type="dxa"/>
            <w:tcBorders>
              <w:top w:val="nil"/>
              <w:left w:val="nil"/>
              <w:bottom w:val="single" w:sz="4" w:space="0" w:color="auto"/>
              <w:right w:val="single" w:sz="4" w:space="0" w:color="auto"/>
            </w:tcBorders>
            <w:shd w:val="clear" w:color="auto" w:fill="auto"/>
            <w:hideMark/>
          </w:tcPr>
          <w:p w14:paraId="6C3C9F25" w14:textId="77777777" w:rsidR="001C5D9E" w:rsidRPr="00857BCB" w:rsidRDefault="001C5D9E" w:rsidP="001C5D9E">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 Contratación de consultor para la formulación de estudios de pre inversión para mejorar el acceso a servicios de atención ciudadano a través del MAC Lima Este.</w:t>
            </w:r>
          </w:p>
        </w:tc>
        <w:tc>
          <w:tcPr>
            <w:tcW w:w="2848" w:type="dxa"/>
            <w:tcBorders>
              <w:top w:val="nil"/>
              <w:left w:val="nil"/>
              <w:bottom w:val="single" w:sz="4" w:space="0" w:color="auto"/>
              <w:right w:val="single" w:sz="4" w:space="0" w:color="auto"/>
            </w:tcBorders>
            <w:shd w:val="clear" w:color="auto" w:fill="auto"/>
            <w:hideMark/>
          </w:tcPr>
          <w:p w14:paraId="6CB23FE1" w14:textId="77777777" w:rsidR="001C5D9E" w:rsidRPr="00857BCB" w:rsidRDefault="001C5D9E" w:rsidP="001C5D9E">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 Se realizó el concurso a cargo de PNUD, para la contratación de la empresa que ejecutará la Implementación del Centro MAC Lima Este.</w:t>
            </w:r>
            <w:r w:rsidRPr="00857BCB">
              <w:rPr>
                <w:rFonts w:ascii="Calibri" w:eastAsia="Times New Roman" w:hAnsi="Calibri" w:cs="Times New Roman"/>
                <w:color w:val="000000"/>
                <w:sz w:val="20"/>
                <w:szCs w:val="20"/>
                <w:lang w:eastAsia="es-PE"/>
              </w:rPr>
              <w:br/>
              <w:t>* Se realizó la contratación del equipo técnico para la supervisión de la Implementación del Centro MAC Lima Este, entre los cuales se encuentran el administrador del proyecto, el especialista de obra y el supervisor de obra.</w:t>
            </w:r>
          </w:p>
        </w:tc>
        <w:tc>
          <w:tcPr>
            <w:tcW w:w="0" w:type="auto"/>
            <w:tcBorders>
              <w:top w:val="nil"/>
              <w:left w:val="nil"/>
              <w:bottom w:val="single" w:sz="4" w:space="0" w:color="auto"/>
              <w:right w:val="single" w:sz="4" w:space="0" w:color="auto"/>
            </w:tcBorders>
            <w:shd w:val="clear" w:color="auto" w:fill="auto"/>
            <w:hideMark/>
          </w:tcPr>
          <w:p w14:paraId="0D499B3E" w14:textId="77777777" w:rsidR="001C5D9E" w:rsidRPr="00857BCB" w:rsidRDefault="001C5D9E" w:rsidP="001C5D9E">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 1 centro MAC Lima Este implementado</w:t>
            </w:r>
          </w:p>
        </w:tc>
      </w:tr>
    </w:tbl>
    <w:p w14:paraId="482F12CA" w14:textId="54DB2BDF" w:rsidR="005D2E38" w:rsidRDefault="005D2E38" w:rsidP="005D2E38">
      <w:pPr>
        <w:jc w:val="both"/>
      </w:pPr>
      <w:r w:rsidRPr="002F7E6E">
        <w:rPr>
          <w:sz w:val="20"/>
          <w:szCs w:val="20"/>
        </w:rPr>
        <w:t>Fuente</w:t>
      </w:r>
      <w:r w:rsidR="00515314" w:rsidRPr="002F7E6E">
        <w:rPr>
          <w:sz w:val="20"/>
          <w:szCs w:val="20"/>
        </w:rPr>
        <w:t>: Reportes</w:t>
      </w:r>
      <w:r w:rsidRPr="002F7E6E">
        <w:rPr>
          <w:sz w:val="20"/>
          <w:szCs w:val="20"/>
        </w:rPr>
        <w:t xml:space="preserve"> de la PCM a PNUD</w:t>
      </w:r>
    </w:p>
    <w:p w14:paraId="66992BB1" w14:textId="20DC5496" w:rsidR="00E376F3" w:rsidRPr="00857BCB" w:rsidRDefault="00E376F3" w:rsidP="0061490B">
      <w:pPr>
        <w:jc w:val="both"/>
        <w:rPr>
          <w:sz w:val="24"/>
          <w:szCs w:val="24"/>
        </w:rPr>
      </w:pPr>
      <w:r w:rsidRPr="00857BCB">
        <w:rPr>
          <w:sz w:val="24"/>
          <w:szCs w:val="24"/>
        </w:rPr>
        <w:t xml:space="preserve">Después de algunas demoras (véase el acápite sobre eficiencia, líneas abajo), </w:t>
      </w:r>
      <w:r w:rsidR="00D1175F" w:rsidRPr="00857BCB">
        <w:rPr>
          <w:sz w:val="24"/>
          <w:szCs w:val="24"/>
        </w:rPr>
        <w:t>el MAC Lima Este inició su atención al público</w:t>
      </w:r>
      <w:r w:rsidR="00F0605D" w:rsidRPr="00857BCB">
        <w:rPr>
          <w:sz w:val="24"/>
          <w:szCs w:val="24"/>
        </w:rPr>
        <w:t xml:space="preserve"> en</w:t>
      </w:r>
      <w:r w:rsidR="001A5244" w:rsidRPr="00857BCB">
        <w:rPr>
          <w:sz w:val="24"/>
          <w:szCs w:val="24"/>
        </w:rPr>
        <w:t xml:space="preserve"> junio de</w:t>
      </w:r>
      <w:r w:rsidR="00F0605D" w:rsidRPr="00857BCB">
        <w:rPr>
          <w:sz w:val="24"/>
          <w:szCs w:val="24"/>
        </w:rPr>
        <w:t xml:space="preserve"> 2017.</w:t>
      </w:r>
      <w:r w:rsidR="00BE66BD" w:rsidRPr="00857BCB">
        <w:rPr>
          <w:sz w:val="24"/>
          <w:szCs w:val="24"/>
        </w:rPr>
        <w:t xml:space="preserve"> El MAC recibe una cantidad de visitas todavía moderada</w:t>
      </w:r>
      <w:r w:rsidR="00A16A99" w:rsidRPr="00857BCB">
        <w:rPr>
          <w:sz w:val="24"/>
          <w:szCs w:val="24"/>
        </w:rPr>
        <w:t>, en comparación a Lima Norte: alrededor de 30,000 personas al mes</w:t>
      </w:r>
      <w:r w:rsidR="00BF3FE7" w:rsidRPr="00857BCB">
        <w:rPr>
          <w:sz w:val="24"/>
          <w:szCs w:val="24"/>
        </w:rPr>
        <w:t>, con picos de visita durante los tres primeros días de la semana</w:t>
      </w:r>
      <w:r w:rsidR="00A16A99" w:rsidRPr="00857BCB">
        <w:rPr>
          <w:sz w:val="24"/>
          <w:szCs w:val="24"/>
        </w:rPr>
        <w:t>.</w:t>
      </w:r>
      <w:r w:rsidR="00F21E13" w:rsidRPr="00857BCB">
        <w:rPr>
          <w:sz w:val="24"/>
          <w:szCs w:val="24"/>
        </w:rPr>
        <w:t xml:space="preserve"> En MAC Lima Este</w:t>
      </w:r>
      <w:r w:rsidR="008F6635" w:rsidRPr="00857BCB">
        <w:rPr>
          <w:sz w:val="24"/>
          <w:szCs w:val="24"/>
        </w:rPr>
        <w:t xml:space="preserve"> hay 45 módulos</w:t>
      </w:r>
      <w:r w:rsidR="00383EA3" w:rsidRPr="00857BCB">
        <w:rPr>
          <w:sz w:val="24"/>
          <w:szCs w:val="24"/>
        </w:rPr>
        <w:t>,</w:t>
      </w:r>
      <w:r w:rsidR="00F21E13" w:rsidRPr="00857BCB">
        <w:rPr>
          <w:sz w:val="24"/>
          <w:szCs w:val="24"/>
        </w:rPr>
        <w:t xml:space="preserve"> participan 17 entidades</w:t>
      </w:r>
      <w:r w:rsidR="00FE6C12" w:rsidRPr="00857BCB">
        <w:rPr>
          <w:sz w:val="24"/>
          <w:szCs w:val="24"/>
        </w:rPr>
        <w:t xml:space="preserve"> (entre ellas Banco de la Nación, RENIEC, SIS, SUNAT, Migraciones)</w:t>
      </w:r>
      <w:r w:rsidR="00383EA3" w:rsidRPr="00857BCB">
        <w:rPr>
          <w:sz w:val="24"/>
          <w:szCs w:val="24"/>
        </w:rPr>
        <w:t xml:space="preserve"> y hay entre 75 a 80 servidores públicos. </w:t>
      </w:r>
    </w:p>
    <w:p w14:paraId="2AFD9CEC" w14:textId="6A9338C3" w:rsidR="0061490B" w:rsidRDefault="00D3611F" w:rsidP="0061490B">
      <w:pPr>
        <w:jc w:val="both"/>
        <w:rPr>
          <w:sz w:val="24"/>
          <w:szCs w:val="24"/>
        </w:rPr>
      </w:pPr>
      <w:r w:rsidRPr="00857BCB">
        <w:rPr>
          <w:sz w:val="24"/>
          <w:szCs w:val="24"/>
        </w:rPr>
        <w:t xml:space="preserve">La </w:t>
      </w:r>
      <w:r w:rsidR="00E077C8" w:rsidRPr="00857BCB">
        <w:rPr>
          <w:sz w:val="24"/>
          <w:szCs w:val="24"/>
        </w:rPr>
        <w:t>multiplicación</w:t>
      </w:r>
      <w:r w:rsidRPr="00857BCB">
        <w:rPr>
          <w:sz w:val="24"/>
          <w:szCs w:val="24"/>
        </w:rPr>
        <w:t xml:space="preserve"> de los</w:t>
      </w:r>
      <w:r w:rsidR="001942DC" w:rsidRPr="00857BCB">
        <w:rPr>
          <w:sz w:val="24"/>
          <w:szCs w:val="24"/>
        </w:rPr>
        <w:t xml:space="preserve"> MAC</w:t>
      </w:r>
      <w:r w:rsidR="00E077C8" w:rsidRPr="00857BCB">
        <w:rPr>
          <w:sz w:val="24"/>
          <w:szCs w:val="24"/>
        </w:rPr>
        <w:t xml:space="preserve"> en todo el país</w:t>
      </w:r>
      <w:r w:rsidR="001942DC" w:rsidRPr="00857BCB">
        <w:rPr>
          <w:sz w:val="24"/>
          <w:szCs w:val="24"/>
        </w:rPr>
        <w:t xml:space="preserve"> se ha convertido en una de las estrategias-clave para</w:t>
      </w:r>
      <w:r w:rsidR="001C5D9E" w:rsidRPr="00857BCB">
        <w:rPr>
          <w:sz w:val="24"/>
          <w:szCs w:val="24"/>
        </w:rPr>
        <w:t xml:space="preserve"> que</w:t>
      </w:r>
      <w:r w:rsidR="001942DC" w:rsidRPr="00857BCB">
        <w:rPr>
          <w:sz w:val="24"/>
          <w:szCs w:val="24"/>
        </w:rPr>
        <w:t xml:space="preserve"> la modernización del Estado Peruano</w:t>
      </w:r>
      <w:r w:rsidR="001C5D9E" w:rsidRPr="00857BCB">
        <w:rPr>
          <w:sz w:val="24"/>
          <w:szCs w:val="24"/>
        </w:rPr>
        <w:t xml:space="preserve"> llegue directamente al ciudadano: es la cara visible de este proceso que involucra también simplificación administrativa y avances de </w:t>
      </w:r>
      <w:r w:rsidR="00775F70" w:rsidRPr="00857BCB">
        <w:rPr>
          <w:sz w:val="24"/>
          <w:szCs w:val="24"/>
        </w:rPr>
        <w:t xml:space="preserve">trabajo intersectorial </w:t>
      </w:r>
      <w:r w:rsidR="00E83BFE" w:rsidRPr="00857BCB">
        <w:rPr>
          <w:sz w:val="24"/>
          <w:szCs w:val="24"/>
        </w:rPr>
        <w:t xml:space="preserve">(requiere la coordinación entre diferentes sectores para homogeneizar mecanismos y ritmos de atención que habitualmente son muy diferentes) </w:t>
      </w:r>
      <w:r w:rsidR="00775F70" w:rsidRPr="00857BCB">
        <w:rPr>
          <w:sz w:val="24"/>
          <w:szCs w:val="24"/>
        </w:rPr>
        <w:t>e incluso intergubernamental (ya que los MAC en regiones integran oficinas de los gobiernos subnacionales)</w:t>
      </w:r>
      <w:r w:rsidR="0005251A" w:rsidRPr="00857BCB">
        <w:rPr>
          <w:sz w:val="24"/>
          <w:szCs w:val="24"/>
        </w:rPr>
        <w:t>.</w:t>
      </w:r>
      <w:r w:rsidR="001942DC" w:rsidRPr="00857BCB">
        <w:rPr>
          <w:sz w:val="24"/>
          <w:szCs w:val="24"/>
        </w:rPr>
        <w:t xml:space="preserve"> </w:t>
      </w:r>
      <w:r w:rsidR="0005251A" w:rsidRPr="00857BCB">
        <w:rPr>
          <w:sz w:val="24"/>
          <w:szCs w:val="24"/>
        </w:rPr>
        <w:t>L</w:t>
      </w:r>
      <w:r w:rsidR="001942DC" w:rsidRPr="00857BCB">
        <w:rPr>
          <w:sz w:val="24"/>
          <w:szCs w:val="24"/>
        </w:rPr>
        <w:t>a Secretaría de Gestión Pública quiere convertirlo</w:t>
      </w:r>
      <w:r w:rsidR="0005251A" w:rsidRPr="00857BCB">
        <w:rPr>
          <w:sz w:val="24"/>
          <w:szCs w:val="24"/>
        </w:rPr>
        <w:t>s</w:t>
      </w:r>
      <w:r w:rsidR="00383DF9" w:rsidRPr="00857BCB">
        <w:rPr>
          <w:sz w:val="24"/>
          <w:szCs w:val="24"/>
        </w:rPr>
        <w:t xml:space="preserve"> en centros que ofrezcan “</w:t>
      </w:r>
      <w:r w:rsidR="00EF08EA" w:rsidRPr="00857BCB">
        <w:rPr>
          <w:sz w:val="24"/>
          <w:szCs w:val="24"/>
        </w:rPr>
        <w:t>cadenas de servicios</w:t>
      </w:r>
      <w:r w:rsidR="008D1719" w:rsidRPr="00857BCB">
        <w:rPr>
          <w:sz w:val="24"/>
          <w:szCs w:val="24"/>
        </w:rPr>
        <w:t xml:space="preserve"> alrededor de eventos de vida</w:t>
      </w:r>
      <w:r w:rsidR="00383DF9" w:rsidRPr="00857BCB">
        <w:rPr>
          <w:sz w:val="24"/>
          <w:szCs w:val="24"/>
        </w:rPr>
        <w:t>”</w:t>
      </w:r>
      <w:r w:rsidR="00EF08EA" w:rsidRPr="00857BCB">
        <w:rPr>
          <w:sz w:val="24"/>
          <w:szCs w:val="24"/>
        </w:rPr>
        <w:t xml:space="preserve"> con enfoque </w:t>
      </w:r>
      <w:r w:rsidR="00477DB0" w:rsidRPr="00857BCB">
        <w:rPr>
          <w:sz w:val="24"/>
          <w:szCs w:val="24"/>
        </w:rPr>
        <w:t>al ciudadano</w:t>
      </w:r>
      <w:r w:rsidR="00383DF9" w:rsidRPr="00857BCB">
        <w:rPr>
          <w:sz w:val="24"/>
          <w:szCs w:val="24"/>
        </w:rPr>
        <w:t xml:space="preserve">, donde </w:t>
      </w:r>
      <w:r w:rsidR="00477DB0" w:rsidRPr="00857BCB">
        <w:rPr>
          <w:sz w:val="24"/>
          <w:szCs w:val="24"/>
        </w:rPr>
        <w:t>las personas</w:t>
      </w:r>
      <w:r w:rsidR="00383DF9" w:rsidRPr="00857BCB">
        <w:rPr>
          <w:sz w:val="24"/>
          <w:szCs w:val="24"/>
        </w:rPr>
        <w:t xml:space="preserve"> </w:t>
      </w:r>
      <w:r w:rsidR="00EC5A07" w:rsidRPr="00857BCB">
        <w:rPr>
          <w:sz w:val="24"/>
          <w:szCs w:val="24"/>
        </w:rPr>
        <w:t>acceda</w:t>
      </w:r>
      <w:r w:rsidR="00477DB0" w:rsidRPr="00857BCB">
        <w:rPr>
          <w:sz w:val="24"/>
          <w:szCs w:val="24"/>
        </w:rPr>
        <w:t>n</w:t>
      </w:r>
      <w:r w:rsidR="007C2D50" w:rsidRPr="00857BCB">
        <w:rPr>
          <w:sz w:val="24"/>
          <w:szCs w:val="24"/>
        </w:rPr>
        <w:t xml:space="preserve"> fácilmente</w:t>
      </w:r>
      <w:r w:rsidR="009164D2" w:rsidRPr="00857BCB">
        <w:rPr>
          <w:sz w:val="24"/>
          <w:szCs w:val="24"/>
        </w:rPr>
        <w:t xml:space="preserve"> y por un solo canal</w:t>
      </w:r>
      <w:r w:rsidR="00EC5A07" w:rsidRPr="00857BCB">
        <w:rPr>
          <w:sz w:val="24"/>
          <w:szCs w:val="24"/>
        </w:rPr>
        <w:t xml:space="preserve"> a </w:t>
      </w:r>
      <w:r w:rsidR="007C2D50" w:rsidRPr="00857BCB">
        <w:rPr>
          <w:sz w:val="24"/>
          <w:szCs w:val="24"/>
        </w:rPr>
        <w:t xml:space="preserve">procedimientos vinculados </w:t>
      </w:r>
      <w:r w:rsidR="00515314" w:rsidRPr="00857BCB">
        <w:rPr>
          <w:sz w:val="24"/>
          <w:szCs w:val="24"/>
        </w:rPr>
        <w:t>a hitos</w:t>
      </w:r>
      <w:r w:rsidR="007C2D50" w:rsidRPr="00857BCB">
        <w:rPr>
          <w:sz w:val="24"/>
          <w:szCs w:val="24"/>
        </w:rPr>
        <w:t xml:space="preserve"> (nacimiento, matrimonio, migración, defunción</w:t>
      </w:r>
      <w:r w:rsidR="009164D2" w:rsidRPr="00857BCB">
        <w:rPr>
          <w:sz w:val="24"/>
          <w:szCs w:val="24"/>
        </w:rPr>
        <w:t>, etc.</w:t>
      </w:r>
      <w:r w:rsidR="007C2D50" w:rsidRPr="00857BCB">
        <w:rPr>
          <w:sz w:val="24"/>
          <w:szCs w:val="24"/>
        </w:rPr>
        <w:t>)</w:t>
      </w:r>
      <w:r w:rsidR="00B30155" w:rsidRPr="00857BCB">
        <w:rPr>
          <w:sz w:val="24"/>
          <w:szCs w:val="24"/>
        </w:rPr>
        <w:t>, sin tener que establecer múltiples relaciones bilaterales con varias instituciones.</w:t>
      </w:r>
      <w:r w:rsidR="00A91A9C" w:rsidRPr="00857BCB">
        <w:rPr>
          <w:sz w:val="24"/>
          <w:szCs w:val="24"/>
        </w:rPr>
        <w:t xml:space="preserve"> </w:t>
      </w:r>
      <w:r w:rsidR="00A91A9C" w:rsidRPr="00857BCB">
        <w:rPr>
          <w:sz w:val="24"/>
          <w:szCs w:val="24"/>
        </w:rPr>
        <w:lastRenderedPageBreak/>
        <w:t xml:space="preserve">Más aún, </w:t>
      </w:r>
      <w:r w:rsidR="00AE5D59" w:rsidRPr="00857BCB">
        <w:rPr>
          <w:sz w:val="24"/>
          <w:szCs w:val="24"/>
        </w:rPr>
        <w:t>la secretaría</w:t>
      </w:r>
      <w:r w:rsidR="00A91A9C" w:rsidRPr="00857BCB">
        <w:rPr>
          <w:sz w:val="24"/>
          <w:szCs w:val="24"/>
        </w:rPr>
        <w:t xml:space="preserve"> </w:t>
      </w:r>
      <w:r w:rsidR="0070689C" w:rsidRPr="00857BCB">
        <w:rPr>
          <w:sz w:val="24"/>
          <w:szCs w:val="24"/>
        </w:rPr>
        <w:t xml:space="preserve">va a </w:t>
      </w:r>
      <w:r w:rsidR="00C43567" w:rsidRPr="00857BCB">
        <w:rPr>
          <w:sz w:val="24"/>
          <w:szCs w:val="24"/>
        </w:rPr>
        <w:t>estudiar</w:t>
      </w:r>
      <w:r w:rsidR="00A91A9C" w:rsidRPr="00857BCB">
        <w:rPr>
          <w:sz w:val="24"/>
          <w:szCs w:val="24"/>
        </w:rPr>
        <w:t xml:space="preserve"> </w:t>
      </w:r>
      <w:r w:rsidR="00AE5D59" w:rsidRPr="00857BCB">
        <w:rPr>
          <w:sz w:val="24"/>
          <w:szCs w:val="24"/>
        </w:rPr>
        <w:t>la implementación de MAC en zonas no tradicionales</w:t>
      </w:r>
      <w:r w:rsidR="008B462B" w:rsidRPr="00857BCB">
        <w:rPr>
          <w:sz w:val="24"/>
          <w:szCs w:val="24"/>
        </w:rPr>
        <w:t xml:space="preserve"> (los llamados “MAC Express”)</w:t>
      </w:r>
      <w:r w:rsidR="00127DE9" w:rsidRPr="00857BCB">
        <w:rPr>
          <w:sz w:val="24"/>
          <w:szCs w:val="24"/>
        </w:rPr>
        <w:t xml:space="preserve">: </w:t>
      </w:r>
      <w:r w:rsidR="00AE5D59" w:rsidRPr="00857BCB">
        <w:rPr>
          <w:sz w:val="24"/>
          <w:szCs w:val="24"/>
        </w:rPr>
        <w:t>ciudades</w:t>
      </w:r>
      <w:r w:rsidR="001C5D9E" w:rsidRPr="00857BCB">
        <w:rPr>
          <w:sz w:val="24"/>
          <w:szCs w:val="24"/>
        </w:rPr>
        <w:t xml:space="preserve"> intermedias</w:t>
      </w:r>
      <w:r w:rsidR="00AE5D59" w:rsidRPr="00857BCB">
        <w:rPr>
          <w:sz w:val="24"/>
          <w:szCs w:val="24"/>
        </w:rPr>
        <w:t xml:space="preserve"> sin centros comerciales</w:t>
      </w:r>
      <w:r w:rsidR="00555288" w:rsidRPr="00857BCB">
        <w:rPr>
          <w:sz w:val="24"/>
          <w:szCs w:val="24"/>
        </w:rPr>
        <w:t xml:space="preserve"> y</w:t>
      </w:r>
      <w:r w:rsidR="00AE5D59" w:rsidRPr="00857BCB">
        <w:rPr>
          <w:sz w:val="24"/>
          <w:szCs w:val="24"/>
        </w:rPr>
        <w:t xml:space="preserve"> </w:t>
      </w:r>
      <w:r w:rsidR="00555288" w:rsidRPr="00857BCB">
        <w:rPr>
          <w:sz w:val="24"/>
          <w:szCs w:val="24"/>
        </w:rPr>
        <w:t>con menor población</w:t>
      </w:r>
      <w:r w:rsidR="00775F70" w:rsidRPr="00857BCB">
        <w:rPr>
          <w:sz w:val="24"/>
          <w:szCs w:val="24"/>
        </w:rPr>
        <w:t xml:space="preserve">, donde se pueda capacitar al personal de las municipalidades para </w:t>
      </w:r>
      <w:r w:rsidR="005B2600" w:rsidRPr="00857BCB">
        <w:rPr>
          <w:sz w:val="24"/>
          <w:szCs w:val="24"/>
        </w:rPr>
        <w:t xml:space="preserve">realizar </w:t>
      </w:r>
      <w:r w:rsidR="00775F70" w:rsidRPr="00857BCB">
        <w:rPr>
          <w:sz w:val="24"/>
          <w:szCs w:val="24"/>
        </w:rPr>
        <w:t>trámites virtuales</w:t>
      </w:r>
      <w:r w:rsidR="00127DE9" w:rsidRPr="00857BCB">
        <w:rPr>
          <w:sz w:val="24"/>
          <w:szCs w:val="24"/>
        </w:rPr>
        <w:t xml:space="preserve"> de otras oficinas.</w:t>
      </w:r>
      <w:r w:rsidR="005B2600" w:rsidRPr="00857BCB">
        <w:rPr>
          <w:sz w:val="24"/>
          <w:szCs w:val="24"/>
        </w:rPr>
        <w:t xml:space="preserve"> Asimismo,</w:t>
      </w:r>
      <w:r w:rsidR="00FF5CEE" w:rsidRPr="00857BCB">
        <w:rPr>
          <w:sz w:val="24"/>
          <w:szCs w:val="24"/>
        </w:rPr>
        <w:t xml:space="preserve"> la secretaría busca</w:t>
      </w:r>
      <w:r w:rsidR="005B2600" w:rsidRPr="00857BCB">
        <w:rPr>
          <w:sz w:val="24"/>
          <w:szCs w:val="24"/>
        </w:rPr>
        <w:t xml:space="preserve"> que estos servicios puedan ser itinerantes, en la línea de la experiencia </w:t>
      </w:r>
      <w:r w:rsidR="00762523" w:rsidRPr="00857BCB">
        <w:rPr>
          <w:sz w:val="24"/>
          <w:szCs w:val="24"/>
        </w:rPr>
        <w:t>de las Plataformas Itinerantes de Acción Social (ex PIAS)</w:t>
      </w:r>
      <w:r w:rsidR="00E204B7" w:rsidRPr="00857BCB">
        <w:rPr>
          <w:sz w:val="24"/>
          <w:szCs w:val="24"/>
        </w:rPr>
        <w:t xml:space="preserve"> </w:t>
      </w:r>
      <w:r w:rsidR="00E83BFE" w:rsidRPr="00857BCB">
        <w:rPr>
          <w:sz w:val="24"/>
          <w:szCs w:val="24"/>
        </w:rPr>
        <w:t xml:space="preserve">en zonas de alta ruralidad, </w:t>
      </w:r>
      <w:r w:rsidR="00E204B7" w:rsidRPr="00857BCB">
        <w:rPr>
          <w:sz w:val="24"/>
          <w:szCs w:val="24"/>
        </w:rPr>
        <w:t>y que puedan articularse con las nuevas “Agencias Regionales de Desarrollo”</w:t>
      </w:r>
      <w:r w:rsidR="005B2600" w:rsidRPr="00857BCB">
        <w:rPr>
          <w:sz w:val="24"/>
          <w:szCs w:val="24"/>
        </w:rPr>
        <w:t>.</w:t>
      </w:r>
      <w:r w:rsidR="00127DE9" w:rsidRPr="00857BCB">
        <w:rPr>
          <w:sz w:val="24"/>
          <w:szCs w:val="24"/>
        </w:rPr>
        <w:t xml:space="preserve"> </w:t>
      </w:r>
      <w:r w:rsidR="00762523" w:rsidRPr="00857BCB">
        <w:rPr>
          <w:sz w:val="24"/>
          <w:szCs w:val="24"/>
        </w:rPr>
        <w:t>Por ello, la secretaría tiene</w:t>
      </w:r>
      <w:r w:rsidR="00EF31C2" w:rsidRPr="00857BCB">
        <w:rPr>
          <w:sz w:val="24"/>
          <w:szCs w:val="24"/>
        </w:rPr>
        <w:t xml:space="preserve"> en carpeta la implementación de once MAC en los próximos tres años</w:t>
      </w:r>
      <w:r w:rsidR="00C27B28" w:rsidRPr="00857BCB">
        <w:rPr>
          <w:sz w:val="24"/>
          <w:szCs w:val="24"/>
        </w:rPr>
        <w:t>, lo que pasará por la</w:t>
      </w:r>
      <w:r w:rsidR="00FF5CEE" w:rsidRPr="00857BCB">
        <w:rPr>
          <w:sz w:val="24"/>
          <w:szCs w:val="24"/>
        </w:rPr>
        <w:t xml:space="preserve"> próxima</w:t>
      </w:r>
      <w:r w:rsidR="00C27B28" w:rsidRPr="00857BCB">
        <w:rPr>
          <w:sz w:val="24"/>
          <w:szCs w:val="24"/>
        </w:rPr>
        <w:t xml:space="preserve"> elaboración de estudios sobre la ubicación más pertinente </w:t>
      </w:r>
      <w:r w:rsidR="00E83BFE" w:rsidRPr="00857BCB">
        <w:rPr>
          <w:sz w:val="24"/>
          <w:szCs w:val="24"/>
        </w:rPr>
        <w:t>y las estrategias de localización y atención adecuadas a diferentes escalas.</w:t>
      </w:r>
    </w:p>
    <w:p w14:paraId="2E743BDD" w14:textId="77777777" w:rsidR="00857BCB" w:rsidRPr="00857BCB" w:rsidRDefault="00857BCB" w:rsidP="0061490B">
      <w:pPr>
        <w:jc w:val="both"/>
        <w:rPr>
          <w:sz w:val="24"/>
          <w:szCs w:val="24"/>
        </w:rPr>
      </w:pPr>
    </w:p>
    <w:p w14:paraId="3408B43F" w14:textId="503D96BA" w:rsidR="00A9602B" w:rsidRPr="00857BCB" w:rsidRDefault="00A9602B" w:rsidP="009A3727">
      <w:pPr>
        <w:pStyle w:val="ListParagraph"/>
        <w:numPr>
          <w:ilvl w:val="2"/>
          <w:numId w:val="10"/>
        </w:numPr>
        <w:jc w:val="both"/>
        <w:outlineLvl w:val="2"/>
        <w:rPr>
          <w:i/>
          <w:sz w:val="24"/>
          <w:szCs w:val="24"/>
          <w:u w:val="single"/>
        </w:rPr>
      </w:pPr>
      <w:bookmarkStart w:id="8" w:name="_Toc523393987"/>
      <w:r w:rsidRPr="00857BCB">
        <w:rPr>
          <w:i/>
          <w:sz w:val="24"/>
          <w:szCs w:val="24"/>
          <w:u w:val="single"/>
        </w:rPr>
        <w:t xml:space="preserve">Sobre el sistema </w:t>
      </w:r>
      <w:proofErr w:type="spellStart"/>
      <w:r w:rsidRPr="00857BCB">
        <w:rPr>
          <w:i/>
          <w:sz w:val="24"/>
          <w:szCs w:val="24"/>
          <w:u w:val="single"/>
        </w:rPr>
        <w:t>Say</w:t>
      </w:r>
      <w:r w:rsidR="00EF5499" w:rsidRPr="00857BCB">
        <w:rPr>
          <w:i/>
          <w:sz w:val="24"/>
          <w:szCs w:val="24"/>
          <w:u w:val="single"/>
        </w:rPr>
        <w:t>hu</w:t>
      </w:r>
      <w:r w:rsidRPr="00857BCB">
        <w:rPr>
          <w:i/>
          <w:sz w:val="24"/>
          <w:szCs w:val="24"/>
          <w:u w:val="single"/>
        </w:rPr>
        <w:t>ite</w:t>
      </w:r>
      <w:bookmarkEnd w:id="8"/>
      <w:proofErr w:type="spellEnd"/>
    </w:p>
    <w:p w14:paraId="5EF54008" w14:textId="23F3030F" w:rsidR="009C670F" w:rsidRPr="00857BCB" w:rsidRDefault="00A9602B" w:rsidP="00265FAA">
      <w:pPr>
        <w:jc w:val="both"/>
        <w:rPr>
          <w:sz w:val="24"/>
          <w:szCs w:val="24"/>
        </w:rPr>
      </w:pPr>
      <w:r w:rsidRPr="00857BCB">
        <w:rPr>
          <w:sz w:val="24"/>
          <w:szCs w:val="24"/>
        </w:rPr>
        <w:t>Las actividades del sistema</w:t>
      </w:r>
      <w:r w:rsidR="004D778D" w:rsidRPr="00857BCB">
        <w:rPr>
          <w:sz w:val="24"/>
          <w:szCs w:val="24"/>
        </w:rPr>
        <w:t xml:space="preserve"> </w:t>
      </w:r>
      <w:proofErr w:type="spellStart"/>
      <w:r w:rsidR="004D778D" w:rsidRPr="00857BCB">
        <w:rPr>
          <w:sz w:val="24"/>
          <w:szCs w:val="24"/>
        </w:rPr>
        <w:t>georeferenciado</w:t>
      </w:r>
      <w:proofErr w:type="spellEnd"/>
      <w:r w:rsidRPr="00857BCB">
        <w:rPr>
          <w:sz w:val="24"/>
          <w:szCs w:val="24"/>
        </w:rPr>
        <w:t xml:space="preserve"> </w:t>
      </w:r>
      <w:proofErr w:type="spellStart"/>
      <w:r w:rsidRPr="00857BCB">
        <w:rPr>
          <w:sz w:val="24"/>
          <w:szCs w:val="24"/>
        </w:rPr>
        <w:t>Say</w:t>
      </w:r>
      <w:r w:rsidR="00EF5499" w:rsidRPr="00857BCB">
        <w:rPr>
          <w:sz w:val="24"/>
          <w:szCs w:val="24"/>
        </w:rPr>
        <w:t>hu</w:t>
      </w:r>
      <w:r w:rsidRPr="00857BCB">
        <w:rPr>
          <w:sz w:val="24"/>
          <w:szCs w:val="24"/>
        </w:rPr>
        <w:t>ite</w:t>
      </w:r>
      <w:proofErr w:type="spellEnd"/>
      <w:r w:rsidRPr="00857BCB">
        <w:rPr>
          <w:sz w:val="24"/>
          <w:szCs w:val="24"/>
        </w:rPr>
        <w:t xml:space="preserve"> </w:t>
      </w:r>
      <w:r w:rsidR="00D071CA" w:rsidRPr="00857BCB">
        <w:rPr>
          <w:sz w:val="24"/>
          <w:szCs w:val="24"/>
        </w:rPr>
        <w:t>empezaron</w:t>
      </w:r>
      <w:r w:rsidRPr="00857BCB">
        <w:rPr>
          <w:sz w:val="24"/>
          <w:szCs w:val="24"/>
        </w:rPr>
        <w:t xml:space="preserve"> </w:t>
      </w:r>
      <w:r w:rsidR="006C3B43" w:rsidRPr="00857BCB">
        <w:rPr>
          <w:sz w:val="24"/>
          <w:szCs w:val="24"/>
        </w:rPr>
        <w:t>e</w:t>
      </w:r>
      <w:r w:rsidRPr="00857BCB">
        <w:rPr>
          <w:sz w:val="24"/>
          <w:szCs w:val="24"/>
        </w:rPr>
        <w:t xml:space="preserve">n 2013 </w:t>
      </w:r>
      <w:r w:rsidR="00355C10" w:rsidRPr="00857BCB">
        <w:rPr>
          <w:sz w:val="24"/>
          <w:szCs w:val="24"/>
        </w:rPr>
        <w:t xml:space="preserve">y se </w:t>
      </w:r>
      <w:r w:rsidR="00D071CA" w:rsidRPr="00857BCB">
        <w:rPr>
          <w:sz w:val="24"/>
          <w:szCs w:val="24"/>
        </w:rPr>
        <w:t>extendieron</w:t>
      </w:r>
      <w:r w:rsidRPr="00857BCB">
        <w:rPr>
          <w:sz w:val="24"/>
          <w:szCs w:val="24"/>
        </w:rPr>
        <w:t xml:space="preserve"> hasta</w:t>
      </w:r>
      <w:r w:rsidR="00D071CA" w:rsidRPr="00857BCB">
        <w:rPr>
          <w:sz w:val="24"/>
          <w:szCs w:val="24"/>
        </w:rPr>
        <w:t xml:space="preserve"> fines de</w:t>
      </w:r>
      <w:r w:rsidRPr="00857BCB">
        <w:rPr>
          <w:sz w:val="24"/>
          <w:szCs w:val="24"/>
        </w:rPr>
        <w:t xml:space="preserve"> 2017.</w:t>
      </w:r>
      <w:r w:rsidR="00EF5499" w:rsidRPr="00857BCB">
        <w:rPr>
          <w:sz w:val="24"/>
          <w:szCs w:val="24"/>
        </w:rPr>
        <w:t xml:space="preserve"> </w:t>
      </w:r>
      <w:proofErr w:type="spellStart"/>
      <w:r w:rsidR="00EF5499" w:rsidRPr="00857BCB">
        <w:rPr>
          <w:sz w:val="24"/>
          <w:szCs w:val="24"/>
        </w:rPr>
        <w:t>Sayhuite</w:t>
      </w:r>
      <w:proofErr w:type="spellEnd"/>
      <w:r w:rsidR="00EF5499" w:rsidRPr="00857BCB">
        <w:rPr>
          <w:sz w:val="24"/>
          <w:szCs w:val="24"/>
        </w:rPr>
        <w:t xml:space="preserve"> nace para </w:t>
      </w:r>
      <w:r w:rsidR="009F0704" w:rsidRPr="00857BCB">
        <w:rPr>
          <w:sz w:val="24"/>
          <w:szCs w:val="24"/>
        </w:rPr>
        <w:t xml:space="preserve">constituirse en </w:t>
      </w:r>
      <w:r w:rsidR="00EF5499" w:rsidRPr="00857BCB">
        <w:rPr>
          <w:sz w:val="24"/>
          <w:szCs w:val="24"/>
        </w:rPr>
        <w:t>una</w:t>
      </w:r>
      <w:r w:rsidR="00D071CA" w:rsidRPr="00857BCB">
        <w:rPr>
          <w:sz w:val="24"/>
          <w:szCs w:val="24"/>
        </w:rPr>
        <w:t xml:space="preserve"> única</w:t>
      </w:r>
      <w:r w:rsidR="00EF5499" w:rsidRPr="00857BCB">
        <w:rPr>
          <w:sz w:val="24"/>
          <w:szCs w:val="24"/>
        </w:rPr>
        <w:t xml:space="preserve"> plataforma </w:t>
      </w:r>
      <w:r w:rsidR="00E466A7" w:rsidRPr="00857BCB">
        <w:rPr>
          <w:sz w:val="24"/>
          <w:szCs w:val="24"/>
        </w:rPr>
        <w:t>de integración de</w:t>
      </w:r>
      <w:r w:rsidR="00EF5499" w:rsidRPr="00857BCB">
        <w:rPr>
          <w:sz w:val="24"/>
          <w:szCs w:val="24"/>
        </w:rPr>
        <w:t xml:space="preserve"> la información</w:t>
      </w:r>
      <w:r w:rsidR="000F6E54" w:rsidRPr="00857BCB">
        <w:rPr>
          <w:sz w:val="24"/>
          <w:szCs w:val="24"/>
        </w:rPr>
        <w:t xml:space="preserve"> </w:t>
      </w:r>
      <w:r w:rsidR="00515314" w:rsidRPr="00857BCB">
        <w:rPr>
          <w:sz w:val="24"/>
          <w:szCs w:val="24"/>
        </w:rPr>
        <w:t>georreferenciada</w:t>
      </w:r>
      <w:r w:rsidR="00EF5499" w:rsidRPr="00857BCB">
        <w:rPr>
          <w:sz w:val="24"/>
          <w:szCs w:val="24"/>
        </w:rPr>
        <w:t xml:space="preserve"> producida por varias insti</w:t>
      </w:r>
      <w:r w:rsidR="000F6E54" w:rsidRPr="00857BCB">
        <w:rPr>
          <w:sz w:val="24"/>
          <w:szCs w:val="24"/>
        </w:rPr>
        <w:t>tuciones estatales.</w:t>
      </w:r>
    </w:p>
    <w:p w14:paraId="3AC0EC76" w14:textId="34773918" w:rsidR="00C60172" w:rsidRPr="00857BCB" w:rsidRDefault="00C60172" w:rsidP="00C60172">
      <w:pPr>
        <w:jc w:val="center"/>
        <w:rPr>
          <w:sz w:val="24"/>
          <w:szCs w:val="24"/>
        </w:rPr>
      </w:pPr>
      <w:r w:rsidRPr="00857BCB">
        <w:rPr>
          <w:b/>
          <w:sz w:val="24"/>
          <w:szCs w:val="24"/>
          <w:u w:val="single"/>
        </w:rPr>
        <w:t>Resultado 3 (2013-2017): Modernización de la PCM en la mejora de las capacidades institucionales y en el uso de tecnologías de la información.</w:t>
      </w:r>
      <w:r w:rsidR="00182357" w:rsidRPr="00857BCB">
        <w:rPr>
          <w:b/>
          <w:sz w:val="24"/>
          <w:szCs w:val="24"/>
          <w:u w:val="single"/>
        </w:rPr>
        <w:t xml:space="preserve"> </w:t>
      </w:r>
      <w:r w:rsidRPr="00857BCB">
        <w:rPr>
          <w:b/>
          <w:sz w:val="24"/>
          <w:szCs w:val="24"/>
          <w:u w:val="single"/>
        </w:rPr>
        <w:t xml:space="preserve">Actividades realizadas por año (componente Sistema </w:t>
      </w:r>
      <w:proofErr w:type="spellStart"/>
      <w:r w:rsidRPr="00857BCB">
        <w:rPr>
          <w:b/>
          <w:sz w:val="24"/>
          <w:szCs w:val="24"/>
          <w:u w:val="single"/>
        </w:rPr>
        <w:t>Sayhuite</w:t>
      </w:r>
      <w:proofErr w:type="spellEnd"/>
      <w:r w:rsidRPr="00857BCB">
        <w:rPr>
          <w:b/>
          <w:sz w:val="24"/>
          <w:szCs w:val="24"/>
          <w:u w:val="single"/>
        </w:rPr>
        <w:t>)</w:t>
      </w:r>
    </w:p>
    <w:tbl>
      <w:tblPr>
        <w:tblpPr w:leftFromText="141" w:rightFromText="141" w:vertAnchor="text" w:horzAnchor="margin" w:tblpXSpec="center" w:tblpY="359"/>
        <w:tblW w:w="9797" w:type="dxa"/>
        <w:tblLayout w:type="fixed"/>
        <w:tblCellMar>
          <w:left w:w="70" w:type="dxa"/>
          <w:right w:w="70" w:type="dxa"/>
        </w:tblCellMar>
        <w:tblLook w:val="04A0" w:firstRow="1" w:lastRow="0" w:firstColumn="1" w:lastColumn="0" w:noHBand="0" w:noVBand="1"/>
      </w:tblPr>
      <w:tblGrid>
        <w:gridCol w:w="496"/>
        <w:gridCol w:w="1134"/>
        <w:gridCol w:w="1275"/>
        <w:gridCol w:w="1701"/>
        <w:gridCol w:w="1418"/>
        <w:gridCol w:w="2051"/>
        <w:gridCol w:w="1722"/>
      </w:tblGrid>
      <w:tr w:rsidR="00107C98" w:rsidRPr="00857BCB" w14:paraId="49522E19" w14:textId="77777777" w:rsidTr="00857BCB">
        <w:trPr>
          <w:trHeight w:val="70"/>
        </w:trPr>
        <w:tc>
          <w:tcPr>
            <w:tcW w:w="496" w:type="dxa"/>
            <w:tcBorders>
              <w:top w:val="single" w:sz="4" w:space="0" w:color="auto"/>
              <w:left w:val="single" w:sz="4" w:space="0" w:color="auto"/>
              <w:right w:val="single" w:sz="4" w:space="0" w:color="auto"/>
            </w:tcBorders>
            <w:shd w:val="clear" w:color="auto" w:fill="auto"/>
            <w:hideMark/>
          </w:tcPr>
          <w:p w14:paraId="206D74B6" w14:textId="3011B1B3" w:rsidR="00107C98" w:rsidRPr="00857BCB" w:rsidRDefault="00857BCB" w:rsidP="00107C98">
            <w:pPr>
              <w:spacing w:after="0" w:line="240" w:lineRule="auto"/>
              <w:rPr>
                <w:rFonts w:ascii="Calibri" w:eastAsia="Times New Roman" w:hAnsi="Calibri" w:cs="Times New Roman"/>
                <w:b/>
                <w:bCs/>
                <w:color w:val="000000"/>
                <w:sz w:val="20"/>
                <w:szCs w:val="20"/>
                <w:lang w:eastAsia="es-PE"/>
              </w:rPr>
            </w:pPr>
            <w:proofErr w:type="spellStart"/>
            <w:r>
              <w:rPr>
                <w:rFonts w:ascii="Calibri" w:eastAsia="Times New Roman" w:hAnsi="Calibri" w:cs="Times New Roman"/>
                <w:b/>
                <w:bCs/>
                <w:color w:val="000000"/>
                <w:sz w:val="20"/>
                <w:szCs w:val="20"/>
                <w:lang w:eastAsia="es-PE"/>
              </w:rPr>
              <w:t>N°</w:t>
            </w:r>
            <w:proofErr w:type="spellEnd"/>
          </w:p>
        </w:tc>
        <w:tc>
          <w:tcPr>
            <w:tcW w:w="1134" w:type="dxa"/>
            <w:tcBorders>
              <w:top w:val="single" w:sz="4" w:space="0" w:color="auto"/>
              <w:left w:val="nil"/>
              <w:right w:val="single" w:sz="4" w:space="0" w:color="auto"/>
            </w:tcBorders>
            <w:shd w:val="clear" w:color="auto" w:fill="auto"/>
            <w:hideMark/>
          </w:tcPr>
          <w:p w14:paraId="22231E92" w14:textId="67AFB127" w:rsidR="00107C98" w:rsidRPr="00857BCB" w:rsidRDefault="00107C98" w:rsidP="00107C98">
            <w:pPr>
              <w:spacing w:after="0" w:line="240" w:lineRule="auto"/>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 xml:space="preserve">Actividad / </w:t>
            </w:r>
          </w:p>
        </w:tc>
        <w:tc>
          <w:tcPr>
            <w:tcW w:w="8167" w:type="dxa"/>
            <w:gridSpan w:val="5"/>
            <w:tcBorders>
              <w:top w:val="single" w:sz="4" w:space="0" w:color="auto"/>
              <w:left w:val="nil"/>
              <w:bottom w:val="single" w:sz="4" w:space="0" w:color="auto"/>
              <w:right w:val="single" w:sz="4" w:space="0" w:color="auto"/>
            </w:tcBorders>
            <w:shd w:val="clear" w:color="auto" w:fill="auto"/>
          </w:tcPr>
          <w:p w14:paraId="241B6082" w14:textId="231198F4" w:rsidR="00107C98" w:rsidRPr="00857BCB" w:rsidRDefault="00107C98" w:rsidP="00107C98">
            <w:pPr>
              <w:spacing w:after="0" w:line="240" w:lineRule="auto"/>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Cumplimiento por año</w:t>
            </w:r>
          </w:p>
        </w:tc>
      </w:tr>
      <w:tr w:rsidR="00107C98" w:rsidRPr="00857BCB" w14:paraId="13F7458C" w14:textId="77777777" w:rsidTr="00857BCB">
        <w:trPr>
          <w:trHeight w:val="70"/>
        </w:trPr>
        <w:tc>
          <w:tcPr>
            <w:tcW w:w="496" w:type="dxa"/>
            <w:tcBorders>
              <w:left w:val="single" w:sz="4" w:space="0" w:color="auto"/>
              <w:bottom w:val="single" w:sz="4" w:space="0" w:color="auto"/>
              <w:right w:val="single" w:sz="4" w:space="0" w:color="auto"/>
            </w:tcBorders>
            <w:shd w:val="clear" w:color="auto" w:fill="auto"/>
          </w:tcPr>
          <w:p w14:paraId="22CB244E" w14:textId="77777777" w:rsidR="00107C98" w:rsidRPr="00857BCB" w:rsidRDefault="00107C98" w:rsidP="00107C98">
            <w:pPr>
              <w:spacing w:after="0" w:line="240" w:lineRule="auto"/>
              <w:rPr>
                <w:rFonts w:ascii="Calibri" w:eastAsia="Times New Roman" w:hAnsi="Calibri" w:cs="Times New Roman"/>
                <w:b/>
                <w:bCs/>
                <w:color w:val="000000"/>
                <w:sz w:val="20"/>
                <w:szCs w:val="20"/>
                <w:lang w:eastAsia="es-PE"/>
              </w:rPr>
            </w:pPr>
          </w:p>
        </w:tc>
        <w:tc>
          <w:tcPr>
            <w:tcW w:w="1134" w:type="dxa"/>
            <w:tcBorders>
              <w:left w:val="nil"/>
              <w:bottom w:val="single" w:sz="4" w:space="0" w:color="auto"/>
              <w:right w:val="single" w:sz="4" w:space="0" w:color="auto"/>
            </w:tcBorders>
            <w:shd w:val="clear" w:color="auto" w:fill="auto"/>
          </w:tcPr>
          <w:p w14:paraId="663C9BB3" w14:textId="77777777" w:rsidR="00107C98" w:rsidRPr="00857BCB" w:rsidRDefault="00107C98" w:rsidP="00107C98">
            <w:pPr>
              <w:spacing w:after="0" w:line="240" w:lineRule="auto"/>
              <w:rPr>
                <w:rFonts w:ascii="Calibri" w:eastAsia="Times New Roman" w:hAnsi="Calibri" w:cs="Times New Roman"/>
                <w:b/>
                <w:bCs/>
                <w:color w:val="000000"/>
                <w:sz w:val="20"/>
                <w:szCs w:val="20"/>
                <w:lang w:eastAsia="es-PE"/>
              </w:rPr>
            </w:pPr>
          </w:p>
        </w:tc>
        <w:tc>
          <w:tcPr>
            <w:tcW w:w="1275" w:type="dxa"/>
            <w:tcBorders>
              <w:top w:val="single" w:sz="4" w:space="0" w:color="auto"/>
              <w:left w:val="nil"/>
              <w:bottom w:val="single" w:sz="4" w:space="0" w:color="auto"/>
              <w:right w:val="single" w:sz="4" w:space="0" w:color="auto"/>
            </w:tcBorders>
            <w:shd w:val="clear" w:color="auto" w:fill="auto"/>
          </w:tcPr>
          <w:p w14:paraId="3E2E1A4A" w14:textId="11011825" w:rsidR="00107C98" w:rsidRPr="00857BCB" w:rsidRDefault="00107C98" w:rsidP="00107C98">
            <w:pPr>
              <w:spacing w:after="0" w:line="240" w:lineRule="auto"/>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2013</w:t>
            </w:r>
          </w:p>
        </w:tc>
        <w:tc>
          <w:tcPr>
            <w:tcW w:w="1701" w:type="dxa"/>
            <w:tcBorders>
              <w:top w:val="single" w:sz="4" w:space="0" w:color="auto"/>
              <w:left w:val="nil"/>
              <w:bottom w:val="single" w:sz="4" w:space="0" w:color="auto"/>
              <w:right w:val="single" w:sz="4" w:space="0" w:color="auto"/>
            </w:tcBorders>
            <w:shd w:val="clear" w:color="auto" w:fill="auto"/>
          </w:tcPr>
          <w:p w14:paraId="09B350D1" w14:textId="7207FDF5" w:rsidR="00107C98" w:rsidRPr="00857BCB" w:rsidRDefault="00107C98" w:rsidP="00107C98">
            <w:pPr>
              <w:spacing w:after="0" w:line="240" w:lineRule="auto"/>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2014</w:t>
            </w:r>
          </w:p>
        </w:tc>
        <w:tc>
          <w:tcPr>
            <w:tcW w:w="1418" w:type="dxa"/>
            <w:tcBorders>
              <w:top w:val="single" w:sz="4" w:space="0" w:color="auto"/>
              <w:left w:val="nil"/>
              <w:bottom w:val="single" w:sz="4" w:space="0" w:color="auto"/>
              <w:right w:val="single" w:sz="4" w:space="0" w:color="auto"/>
            </w:tcBorders>
            <w:shd w:val="clear" w:color="auto" w:fill="auto"/>
          </w:tcPr>
          <w:p w14:paraId="3F3023CA" w14:textId="37A69AE3" w:rsidR="00107C98" w:rsidRPr="00857BCB" w:rsidRDefault="00107C98" w:rsidP="00107C98">
            <w:pPr>
              <w:spacing w:after="0" w:line="240" w:lineRule="auto"/>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2015</w:t>
            </w:r>
          </w:p>
        </w:tc>
        <w:tc>
          <w:tcPr>
            <w:tcW w:w="2051" w:type="dxa"/>
            <w:tcBorders>
              <w:top w:val="single" w:sz="4" w:space="0" w:color="auto"/>
              <w:left w:val="nil"/>
              <w:bottom w:val="single" w:sz="4" w:space="0" w:color="auto"/>
              <w:right w:val="single" w:sz="4" w:space="0" w:color="auto"/>
            </w:tcBorders>
            <w:shd w:val="clear" w:color="auto" w:fill="auto"/>
          </w:tcPr>
          <w:p w14:paraId="34D9C943" w14:textId="0D90CC1C" w:rsidR="00107C98" w:rsidRPr="00857BCB" w:rsidRDefault="00107C98" w:rsidP="00107C98">
            <w:pPr>
              <w:spacing w:after="0" w:line="240" w:lineRule="auto"/>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2016</w:t>
            </w:r>
          </w:p>
        </w:tc>
        <w:tc>
          <w:tcPr>
            <w:tcW w:w="1722" w:type="dxa"/>
            <w:tcBorders>
              <w:top w:val="single" w:sz="4" w:space="0" w:color="auto"/>
              <w:left w:val="nil"/>
              <w:bottom w:val="single" w:sz="4" w:space="0" w:color="auto"/>
              <w:right w:val="single" w:sz="4" w:space="0" w:color="auto"/>
            </w:tcBorders>
            <w:shd w:val="clear" w:color="auto" w:fill="auto"/>
          </w:tcPr>
          <w:p w14:paraId="220AD0C1" w14:textId="06F31941" w:rsidR="00107C98" w:rsidRPr="00857BCB" w:rsidRDefault="00107C98" w:rsidP="00107C98">
            <w:pPr>
              <w:spacing w:after="0" w:line="240" w:lineRule="auto"/>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2017</w:t>
            </w:r>
          </w:p>
        </w:tc>
      </w:tr>
      <w:tr w:rsidR="00107C98" w:rsidRPr="00857BCB" w14:paraId="164ED84A" w14:textId="77777777" w:rsidTr="00857BCB">
        <w:trPr>
          <w:trHeight w:val="8190"/>
        </w:trPr>
        <w:tc>
          <w:tcPr>
            <w:tcW w:w="496" w:type="dxa"/>
            <w:tcBorders>
              <w:top w:val="single" w:sz="4" w:space="0" w:color="auto"/>
              <w:left w:val="single" w:sz="4" w:space="0" w:color="auto"/>
              <w:bottom w:val="single" w:sz="4" w:space="0" w:color="auto"/>
              <w:right w:val="single" w:sz="4" w:space="0" w:color="auto"/>
            </w:tcBorders>
            <w:shd w:val="clear" w:color="auto" w:fill="auto"/>
            <w:hideMark/>
          </w:tcPr>
          <w:p w14:paraId="70BF4ADF" w14:textId="77777777" w:rsidR="00107C98" w:rsidRPr="00857BCB" w:rsidRDefault="00107C98" w:rsidP="00107C98">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lastRenderedPageBreak/>
              <w:t>3.3</w:t>
            </w:r>
          </w:p>
        </w:tc>
        <w:tc>
          <w:tcPr>
            <w:tcW w:w="1134" w:type="dxa"/>
            <w:tcBorders>
              <w:top w:val="single" w:sz="4" w:space="0" w:color="auto"/>
              <w:left w:val="nil"/>
              <w:bottom w:val="single" w:sz="4" w:space="0" w:color="auto"/>
              <w:right w:val="single" w:sz="4" w:space="0" w:color="auto"/>
            </w:tcBorders>
            <w:shd w:val="clear" w:color="auto" w:fill="auto"/>
            <w:hideMark/>
          </w:tcPr>
          <w:p w14:paraId="75A84C63" w14:textId="77777777" w:rsidR="00107C98" w:rsidRPr="00857BCB" w:rsidRDefault="00107C98" w:rsidP="00107C98">
            <w:pPr>
              <w:spacing w:after="0" w:line="240" w:lineRule="auto"/>
              <w:rPr>
                <w:rFonts w:ascii="Calibri" w:eastAsia="Times New Roman" w:hAnsi="Calibri" w:cs="Times New Roman"/>
                <w:b/>
                <w:bCs/>
                <w:color w:val="000000"/>
                <w:sz w:val="20"/>
                <w:szCs w:val="20"/>
                <w:lang w:eastAsia="es-PE"/>
              </w:rPr>
            </w:pPr>
            <w:r w:rsidRPr="00857BCB">
              <w:rPr>
                <w:rFonts w:ascii="Calibri" w:eastAsia="Times New Roman" w:hAnsi="Calibri" w:cs="Times New Roman"/>
                <w:b/>
                <w:bCs/>
                <w:color w:val="000000"/>
                <w:sz w:val="20"/>
                <w:szCs w:val="20"/>
                <w:lang w:eastAsia="es-PE"/>
              </w:rPr>
              <w:t xml:space="preserve">Diseñar, implementar y posicionar el Sistema </w:t>
            </w:r>
            <w:proofErr w:type="spellStart"/>
            <w:r w:rsidRPr="00857BCB">
              <w:rPr>
                <w:rFonts w:ascii="Calibri" w:eastAsia="Times New Roman" w:hAnsi="Calibri" w:cs="Times New Roman"/>
                <w:b/>
                <w:bCs/>
                <w:color w:val="000000"/>
                <w:sz w:val="20"/>
                <w:szCs w:val="20"/>
                <w:lang w:eastAsia="es-PE"/>
              </w:rPr>
              <w:t>Georeferenciado</w:t>
            </w:r>
            <w:proofErr w:type="spellEnd"/>
            <w:r w:rsidRPr="00857BCB">
              <w:rPr>
                <w:rFonts w:ascii="Calibri" w:eastAsia="Times New Roman" w:hAnsi="Calibri" w:cs="Times New Roman"/>
                <w:b/>
                <w:bCs/>
                <w:color w:val="000000"/>
                <w:sz w:val="20"/>
                <w:szCs w:val="20"/>
                <w:lang w:eastAsia="es-PE"/>
              </w:rPr>
              <w:t xml:space="preserve"> de la PCM, para la toma de decisiones en el marco de la IDEP</w:t>
            </w:r>
          </w:p>
        </w:tc>
        <w:tc>
          <w:tcPr>
            <w:tcW w:w="1275" w:type="dxa"/>
            <w:tcBorders>
              <w:top w:val="single" w:sz="4" w:space="0" w:color="auto"/>
              <w:left w:val="nil"/>
              <w:bottom w:val="single" w:sz="4" w:space="0" w:color="auto"/>
              <w:right w:val="single" w:sz="4" w:space="0" w:color="auto"/>
            </w:tcBorders>
            <w:shd w:val="clear" w:color="auto" w:fill="auto"/>
            <w:hideMark/>
          </w:tcPr>
          <w:p w14:paraId="54876A13" w14:textId="77777777" w:rsidR="00107C98" w:rsidRPr="00857BCB" w:rsidRDefault="00107C98" w:rsidP="00107C98">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 (Proceso) Etapa de posicionamiento del sistema: hacerlo conocido entre instituciones públicas y subnacionales.</w:t>
            </w:r>
          </w:p>
        </w:tc>
        <w:tc>
          <w:tcPr>
            <w:tcW w:w="1701" w:type="dxa"/>
            <w:tcBorders>
              <w:top w:val="single" w:sz="4" w:space="0" w:color="auto"/>
              <w:left w:val="nil"/>
              <w:bottom w:val="single" w:sz="4" w:space="0" w:color="auto"/>
              <w:right w:val="single" w:sz="4" w:space="0" w:color="auto"/>
            </w:tcBorders>
            <w:shd w:val="clear" w:color="auto" w:fill="auto"/>
            <w:hideMark/>
          </w:tcPr>
          <w:p w14:paraId="69FD3B55" w14:textId="5F1DDC9D" w:rsidR="00107C98" w:rsidRPr="00857BCB" w:rsidRDefault="00107C98" w:rsidP="00107C98">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 Posicionamiento del sistema en los gobiernos regionales de Amazonas, Arequipa, Madre de Dios y Ucayali.</w:t>
            </w:r>
            <w:r w:rsidRPr="00857BCB">
              <w:rPr>
                <w:rFonts w:ascii="Calibri" w:eastAsia="Times New Roman" w:hAnsi="Calibri" w:cs="Times New Roman"/>
                <w:color w:val="000000"/>
                <w:sz w:val="20"/>
                <w:szCs w:val="20"/>
                <w:lang w:eastAsia="es-PE"/>
              </w:rPr>
              <w:br/>
              <w:t>* Adquisición e implementación de la infraestructura tecnológica para la sostenibilidad del sistema.</w:t>
            </w:r>
            <w:r w:rsidRPr="00857BCB">
              <w:rPr>
                <w:rFonts w:ascii="Calibri" w:eastAsia="Times New Roman" w:hAnsi="Calibri" w:cs="Times New Roman"/>
                <w:color w:val="000000"/>
                <w:sz w:val="20"/>
                <w:szCs w:val="20"/>
                <w:lang w:eastAsia="es-PE"/>
              </w:rPr>
              <w:br/>
              <w:t xml:space="preserve">* Implementación de la comunidad virtual </w:t>
            </w:r>
            <w:r w:rsidR="00515314" w:rsidRPr="00857BCB">
              <w:rPr>
                <w:rFonts w:ascii="Calibri" w:eastAsia="Times New Roman" w:hAnsi="Calibri" w:cs="Times New Roman"/>
                <w:color w:val="000000"/>
                <w:sz w:val="20"/>
                <w:szCs w:val="20"/>
                <w:lang w:eastAsia="es-PE"/>
              </w:rPr>
              <w:t>georreferenciada</w:t>
            </w:r>
            <w:r w:rsidRPr="00857BCB">
              <w:rPr>
                <w:rFonts w:ascii="Calibri" w:eastAsia="Times New Roman" w:hAnsi="Calibri" w:cs="Times New Roman"/>
                <w:color w:val="000000"/>
                <w:sz w:val="20"/>
                <w:szCs w:val="20"/>
                <w:lang w:eastAsia="es-PE"/>
              </w:rPr>
              <w:t xml:space="preserve">, por la cual instituciones y gobiernos subnacionales usan el sistema, además se han </w:t>
            </w:r>
            <w:r w:rsidR="00515314" w:rsidRPr="00857BCB">
              <w:rPr>
                <w:rFonts w:ascii="Calibri" w:eastAsia="Times New Roman" w:hAnsi="Calibri" w:cs="Times New Roman"/>
                <w:color w:val="000000"/>
                <w:sz w:val="20"/>
                <w:szCs w:val="20"/>
                <w:lang w:eastAsia="es-PE"/>
              </w:rPr>
              <w:t>incorporado</w:t>
            </w:r>
            <w:r w:rsidRPr="00857BCB">
              <w:rPr>
                <w:rFonts w:ascii="Calibri" w:eastAsia="Times New Roman" w:hAnsi="Calibri" w:cs="Times New Roman"/>
                <w:color w:val="000000"/>
                <w:sz w:val="20"/>
                <w:szCs w:val="20"/>
                <w:lang w:eastAsia="es-PE"/>
              </w:rPr>
              <w:t xml:space="preserve"> mapas temáticos y servicios web.</w:t>
            </w:r>
            <w:r w:rsidRPr="00857BCB">
              <w:rPr>
                <w:rFonts w:ascii="Calibri" w:eastAsia="Times New Roman" w:hAnsi="Calibri" w:cs="Times New Roman"/>
                <w:color w:val="000000"/>
                <w:sz w:val="20"/>
                <w:szCs w:val="20"/>
                <w:lang w:eastAsia="es-PE"/>
              </w:rPr>
              <w:br/>
              <w:t xml:space="preserve">* Elaboración del manual del usuario para la planificación territorial mediante </w:t>
            </w:r>
            <w:proofErr w:type="spellStart"/>
            <w:r w:rsidRPr="00857BCB">
              <w:rPr>
                <w:rFonts w:ascii="Calibri" w:eastAsia="Times New Roman" w:hAnsi="Calibri" w:cs="Times New Roman"/>
                <w:color w:val="000000"/>
                <w:sz w:val="20"/>
                <w:szCs w:val="20"/>
                <w:lang w:eastAsia="es-PE"/>
              </w:rPr>
              <w:t>Sayhuite</w:t>
            </w:r>
            <w:proofErr w:type="spellEnd"/>
            <w:r w:rsidRPr="00857BCB">
              <w:rPr>
                <w:rFonts w:ascii="Calibri" w:eastAsia="Times New Roman" w:hAnsi="Calibri" w:cs="Times New Roman"/>
                <w:color w:val="000000"/>
                <w:sz w:val="20"/>
                <w:szCs w:val="20"/>
                <w:lang w:eastAsia="es-PE"/>
              </w:rPr>
              <w:t>.</w:t>
            </w:r>
          </w:p>
        </w:tc>
        <w:tc>
          <w:tcPr>
            <w:tcW w:w="1418" w:type="dxa"/>
            <w:tcBorders>
              <w:top w:val="single" w:sz="4" w:space="0" w:color="auto"/>
              <w:left w:val="nil"/>
              <w:bottom w:val="single" w:sz="4" w:space="0" w:color="auto"/>
              <w:right w:val="single" w:sz="4" w:space="0" w:color="auto"/>
            </w:tcBorders>
            <w:shd w:val="clear" w:color="auto" w:fill="auto"/>
            <w:hideMark/>
          </w:tcPr>
          <w:p w14:paraId="32DA2351" w14:textId="50BA3BEC" w:rsidR="00107C98" w:rsidRPr="00857BCB" w:rsidRDefault="00107C98" w:rsidP="00107C98">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 xml:space="preserve">* 35 instituciones públicas integran información al </w:t>
            </w:r>
            <w:proofErr w:type="spellStart"/>
            <w:r w:rsidRPr="00857BCB">
              <w:rPr>
                <w:rFonts w:ascii="Calibri" w:eastAsia="Times New Roman" w:hAnsi="Calibri" w:cs="Times New Roman"/>
                <w:color w:val="000000"/>
                <w:sz w:val="20"/>
                <w:szCs w:val="20"/>
                <w:lang w:eastAsia="es-PE"/>
              </w:rPr>
              <w:t>Sayhuite</w:t>
            </w:r>
            <w:proofErr w:type="spellEnd"/>
            <w:r w:rsidRPr="00857BCB">
              <w:rPr>
                <w:rFonts w:ascii="Calibri" w:eastAsia="Times New Roman" w:hAnsi="Calibri" w:cs="Times New Roman"/>
                <w:color w:val="000000"/>
                <w:sz w:val="20"/>
                <w:szCs w:val="20"/>
                <w:lang w:eastAsia="es-PE"/>
              </w:rPr>
              <w:br/>
              <w:t xml:space="preserve">* (Proceso) Cuatro gobiernos regionales </w:t>
            </w:r>
            <w:r w:rsidR="00515314" w:rsidRPr="00857BCB">
              <w:rPr>
                <w:rFonts w:ascii="Calibri" w:eastAsia="Times New Roman" w:hAnsi="Calibri" w:cs="Times New Roman"/>
                <w:color w:val="000000"/>
                <w:sz w:val="20"/>
                <w:szCs w:val="20"/>
                <w:lang w:eastAsia="es-PE"/>
              </w:rPr>
              <w:t>desarrollaron</w:t>
            </w:r>
            <w:r w:rsidRPr="00857BCB">
              <w:rPr>
                <w:rFonts w:ascii="Calibri" w:eastAsia="Times New Roman" w:hAnsi="Calibri" w:cs="Times New Roman"/>
                <w:color w:val="000000"/>
                <w:sz w:val="20"/>
                <w:szCs w:val="20"/>
                <w:lang w:eastAsia="es-PE"/>
              </w:rPr>
              <w:t xml:space="preserve"> capacidades en la implementación de </w:t>
            </w:r>
            <w:proofErr w:type="spellStart"/>
            <w:r w:rsidRPr="00857BCB">
              <w:rPr>
                <w:rFonts w:ascii="Calibri" w:eastAsia="Times New Roman" w:hAnsi="Calibri" w:cs="Times New Roman"/>
                <w:color w:val="000000"/>
                <w:sz w:val="20"/>
                <w:szCs w:val="20"/>
                <w:lang w:eastAsia="es-PE"/>
              </w:rPr>
              <w:t>Sayhuite</w:t>
            </w:r>
            <w:proofErr w:type="spellEnd"/>
            <w:r w:rsidRPr="00857BCB">
              <w:rPr>
                <w:rFonts w:ascii="Calibri" w:eastAsia="Times New Roman" w:hAnsi="Calibri" w:cs="Times New Roman"/>
                <w:color w:val="000000"/>
                <w:sz w:val="20"/>
                <w:szCs w:val="20"/>
                <w:lang w:eastAsia="es-PE"/>
              </w:rPr>
              <w:t xml:space="preserve"> a nivel regional.</w:t>
            </w:r>
            <w:r w:rsidRPr="00857BCB">
              <w:rPr>
                <w:rFonts w:ascii="Calibri" w:eastAsia="Times New Roman" w:hAnsi="Calibri" w:cs="Times New Roman"/>
                <w:color w:val="000000"/>
                <w:sz w:val="20"/>
                <w:szCs w:val="20"/>
                <w:lang w:eastAsia="es-PE"/>
              </w:rPr>
              <w:br/>
              <w:t xml:space="preserve">* 229 actualizaciones de la información contenida en </w:t>
            </w:r>
            <w:proofErr w:type="spellStart"/>
            <w:r w:rsidRPr="00857BCB">
              <w:rPr>
                <w:rFonts w:ascii="Calibri" w:eastAsia="Times New Roman" w:hAnsi="Calibri" w:cs="Times New Roman"/>
                <w:color w:val="000000"/>
                <w:sz w:val="20"/>
                <w:szCs w:val="20"/>
                <w:lang w:eastAsia="es-PE"/>
              </w:rPr>
              <w:t>Sayhuite</w:t>
            </w:r>
            <w:proofErr w:type="spellEnd"/>
            <w:r w:rsidRPr="00857BCB">
              <w:rPr>
                <w:rFonts w:ascii="Calibri" w:eastAsia="Times New Roman" w:hAnsi="Calibri" w:cs="Times New Roman"/>
                <w:color w:val="000000"/>
                <w:sz w:val="20"/>
                <w:szCs w:val="20"/>
                <w:lang w:eastAsia="es-PE"/>
              </w:rPr>
              <w:br/>
              <w:t xml:space="preserve">* Implementación de cuatro </w:t>
            </w:r>
            <w:proofErr w:type="spellStart"/>
            <w:r w:rsidRPr="00857BCB">
              <w:rPr>
                <w:rFonts w:ascii="Calibri" w:eastAsia="Times New Roman" w:hAnsi="Calibri" w:cs="Times New Roman"/>
                <w:color w:val="000000"/>
                <w:sz w:val="20"/>
                <w:szCs w:val="20"/>
                <w:lang w:eastAsia="es-PE"/>
              </w:rPr>
              <w:t>Sayhuite</w:t>
            </w:r>
            <w:proofErr w:type="spellEnd"/>
            <w:r w:rsidRPr="00857BCB">
              <w:rPr>
                <w:rFonts w:ascii="Calibri" w:eastAsia="Times New Roman" w:hAnsi="Calibri" w:cs="Times New Roman"/>
                <w:color w:val="000000"/>
                <w:sz w:val="20"/>
                <w:szCs w:val="20"/>
                <w:lang w:eastAsia="es-PE"/>
              </w:rPr>
              <w:t xml:space="preserve"> regionales, se implementó el componente de participación ciudadana</w:t>
            </w:r>
            <w:r w:rsidRPr="00857BCB">
              <w:rPr>
                <w:rFonts w:ascii="Calibri" w:eastAsia="Times New Roman" w:hAnsi="Calibri" w:cs="Times New Roman"/>
                <w:color w:val="000000"/>
                <w:sz w:val="20"/>
                <w:szCs w:val="20"/>
                <w:lang w:eastAsia="es-PE"/>
              </w:rPr>
              <w:br/>
              <w:t xml:space="preserve">* Se desarrolló una solución tecnológica para acceder a </w:t>
            </w:r>
            <w:proofErr w:type="spellStart"/>
            <w:r w:rsidRPr="00857BCB">
              <w:rPr>
                <w:rFonts w:ascii="Calibri" w:eastAsia="Times New Roman" w:hAnsi="Calibri" w:cs="Times New Roman"/>
                <w:color w:val="000000"/>
                <w:sz w:val="20"/>
                <w:szCs w:val="20"/>
                <w:lang w:eastAsia="es-PE"/>
              </w:rPr>
              <w:t>Sayhuite</w:t>
            </w:r>
            <w:proofErr w:type="spellEnd"/>
            <w:r w:rsidRPr="00857BCB">
              <w:rPr>
                <w:rFonts w:ascii="Calibri" w:eastAsia="Times New Roman" w:hAnsi="Calibri" w:cs="Times New Roman"/>
                <w:color w:val="000000"/>
                <w:sz w:val="20"/>
                <w:szCs w:val="20"/>
                <w:lang w:eastAsia="es-PE"/>
              </w:rPr>
              <w:t xml:space="preserve"> sin conexión a internet.</w:t>
            </w:r>
          </w:p>
        </w:tc>
        <w:tc>
          <w:tcPr>
            <w:tcW w:w="2051" w:type="dxa"/>
            <w:tcBorders>
              <w:top w:val="single" w:sz="4" w:space="0" w:color="auto"/>
              <w:left w:val="nil"/>
              <w:bottom w:val="single" w:sz="4" w:space="0" w:color="auto"/>
              <w:right w:val="single" w:sz="4" w:space="0" w:color="auto"/>
            </w:tcBorders>
            <w:shd w:val="clear" w:color="auto" w:fill="auto"/>
            <w:hideMark/>
          </w:tcPr>
          <w:p w14:paraId="7589A26E" w14:textId="77777777" w:rsidR="00107C98" w:rsidRPr="00857BCB" w:rsidRDefault="00107C98" w:rsidP="00107C98">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 xml:space="preserve">* 10 personas contratadas para el desarrollo de las acciones del Sistema </w:t>
            </w:r>
            <w:proofErr w:type="spellStart"/>
            <w:r w:rsidRPr="00857BCB">
              <w:rPr>
                <w:rFonts w:ascii="Calibri" w:eastAsia="Times New Roman" w:hAnsi="Calibri" w:cs="Times New Roman"/>
                <w:color w:val="000000"/>
                <w:sz w:val="20"/>
                <w:szCs w:val="20"/>
                <w:lang w:eastAsia="es-PE"/>
              </w:rPr>
              <w:t>Georeferenciado</w:t>
            </w:r>
            <w:proofErr w:type="spellEnd"/>
            <w:r w:rsidRPr="00857BCB">
              <w:rPr>
                <w:rFonts w:ascii="Calibri" w:eastAsia="Times New Roman" w:hAnsi="Calibri" w:cs="Times New Roman"/>
                <w:color w:val="000000"/>
                <w:sz w:val="20"/>
                <w:szCs w:val="20"/>
                <w:lang w:eastAsia="es-PE"/>
              </w:rPr>
              <w:br/>
              <w:t xml:space="preserve">* 04 instituciones públicas integran información en el Sistema </w:t>
            </w:r>
            <w:proofErr w:type="spellStart"/>
            <w:r w:rsidRPr="00857BCB">
              <w:rPr>
                <w:rFonts w:ascii="Calibri" w:eastAsia="Times New Roman" w:hAnsi="Calibri" w:cs="Times New Roman"/>
                <w:color w:val="000000"/>
                <w:sz w:val="20"/>
                <w:szCs w:val="20"/>
                <w:lang w:eastAsia="es-PE"/>
              </w:rPr>
              <w:t>Georeferenciado</w:t>
            </w:r>
            <w:proofErr w:type="spellEnd"/>
            <w:r w:rsidRPr="00857BCB">
              <w:rPr>
                <w:rFonts w:ascii="Calibri" w:eastAsia="Times New Roman" w:hAnsi="Calibri" w:cs="Times New Roman"/>
                <w:color w:val="000000"/>
                <w:sz w:val="20"/>
                <w:szCs w:val="20"/>
                <w:lang w:eastAsia="es-PE"/>
              </w:rPr>
              <w:br/>
              <w:t xml:space="preserve">* 241 capas actualizadas en el Sistema </w:t>
            </w:r>
            <w:proofErr w:type="spellStart"/>
            <w:r w:rsidRPr="00857BCB">
              <w:rPr>
                <w:rFonts w:ascii="Calibri" w:eastAsia="Times New Roman" w:hAnsi="Calibri" w:cs="Times New Roman"/>
                <w:color w:val="000000"/>
                <w:sz w:val="20"/>
                <w:szCs w:val="20"/>
                <w:lang w:eastAsia="es-PE"/>
              </w:rPr>
              <w:t>Georeferenciado</w:t>
            </w:r>
            <w:proofErr w:type="spellEnd"/>
            <w:r w:rsidRPr="00857BCB">
              <w:rPr>
                <w:rFonts w:ascii="Calibri" w:eastAsia="Times New Roman" w:hAnsi="Calibri" w:cs="Times New Roman"/>
                <w:color w:val="000000"/>
                <w:sz w:val="20"/>
                <w:szCs w:val="20"/>
                <w:lang w:eastAsia="es-PE"/>
              </w:rPr>
              <w:t xml:space="preserve"> Nacional y Regional</w:t>
            </w:r>
            <w:r w:rsidRPr="00857BCB">
              <w:rPr>
                <w:rFonts w:ascii="Calibri" w:eastAsia="Times New Roman" w:hAnsi="Calibri" w:cs="Times New Roman"/>
                <w:color w:val="000000"/>
                <w:sz w:val="20"/>
                <w:szCs w:val="20"/>
                <w:lang w:eastAsia="es-PE"/>
              </w:rPr>
              <w:br/>
              <w:t xml:space="preserve">* 02 instituciones públicas interoperan a través de web </w:t>
            </w:r>
            <w:proofErr w:type="spellStart"/>
            <w:r w:rsidRPr="00857BCB">
              <w:rPr>
                <w:rFonts w:ascii="Calibri" w:eastAsia="Times New Roman" w:hAnsi="Calibri" w:cs="Times New Roman"/>
                <w:color w:val="000000"/>
                <w:sz w:val="20"/>
                <w:szCs w:val="20"/>
                <w:lang w:eastAsia="es-PE"/>
              </w:rPr>
              <w:t>service</w:t>
            </w:r>
            <w:proofErr w:type="spellEnd"/>
            <w:r w:rsidRPr="00857BCB">
              <w:rPr>
                <w:rFonts w:ascii="Calibri" w:eastAsia="Times New Roman" w:hAnsi="Calibri" w:cs="Times New Roman"/>
                <w:color w:val="000000"/>
                <w:sz w:val="20"/>
                <w:szCs w:val="20"/>
                <w:lang w:eastAsia="es-PE"/>
              </w:rPr>
              <w:t xml:space="preserve"> con el Sistema </w:t>
            </w:r>
            <w:proofErr w:type="spellStart"/>
            <w:r w:rsidRPr="00857BCB">
              <w:rPr>
                <w:rFonts w:ascii="Calibri" w:eastAsia="Times New Roman" w:hAnsi="Calibri" w:cs="Times New Roman"/>
                <w:color w:val="000000"/>
                <w:sz w:val="20"/>
                <w:szCs w:val="20"/>
                <w:lang w:eastAsia="es-PE"/>
              </w:rPr>
              <w:t>Georeferenciado</w:t>
            </w:r>
            <w:proofErr w:type="spellEnd"/>
            <w:r w:rsidRPr="00857BCB">
              <w:rPr>
                <w:rFonts w:ascii="Calibri" w:eastAsia="Times New Roman" w:hAnsi="Calibri" w:cs="Times New Roman"/>
                <w:color w:val="000000"/>
                <w:sz w:val="20"/>
                <w:szCs w:val="20"/>
                <w:lang w:eastAsia="es-PE"/>
              </w:rPr>
              <w:t xml:space="preserve"> y 04 Gobiernos Regionales se encuentran en proceso</w:t>
            </w:r>
            <w:r w:rsidRPr="00857BCB">
              <w:rPr>
                <w:rFonts w:ascii="Calibri" w:eastAsia="Times New Roman" w:hAnsi="Calibri" w:cs="Times New Roman"/>
                <w:color w:val="000000"/>
                <w:sz w:val="20"/>
                <w:szCs w:val="20"/>
                <w:lang w:eastAsia="es-PE"/>
              </w:rPr>
              <w:br/>
              <w:t xml:space="preserve">* 03 cursos implementados en la comunidad virtual del sistema </w:t>
            </w:r>
            <w:proofErr w:type="spellStart"/>
            <w:r w:rsidRPr="00857BCB">
              <w:rPr>
                <w:rFonts w:ascii="Calibri" w:eastAsia="Times New Roman" w:hAnsi="Calibri" w:cs="Times New Roman"/>
                <w:color w:val="000000"/>
                <w:sz w:val="20"/>
                <w:szCs w:val="20"/>
                <w:lang w:eastAsia="es-PE"/>
              </w:rPr>
              <w:t>georeferenciado</w:t>
            </w:r>
            <w:proofErr w:type="spellEnd"/>
            <w:r w:rsidRPr="00857BCB">
              <w:rPr>
                <w:rFonts w:ascii="Calibri" w:eastAsia="Times New Roman" w:hAnsi="Calibri" w:cs="Times New Roman"/>
                <w:color w:val="000000"/>
                <w:sz w:val="20"/>
                <w:szCs w:val="20"/>
                <w:lang w:eastAsia="es-PE"/>
              </w:rPr>
              <w:br/>
              <w:t xml:space="preserve">* 383 especialistas capacitados a través de la comunidad virtual del Sistema </w:t>
            </w:r>
            <w:proofErr w:type="spellStart"/>
            <w:r w:rsidRPr="00857BCB">
              <w:rPr>
                <w:rFonts w:ascii="Calibri" w:eastAsia="Times New Roman" w:hAnsi="Calibri" w:cs="Times New Roman"/>
                <w:color w:val="000000"/>
                <w:sz w:val="20"/>
                <w:szCs w:val="20"/>
                <w:lang w:eastAsia="es-PE"/>
              </w:rPr>
              <w:t>Georeferenciado</w:t>
            </w:r>
            <w:proofErr w:type="spellEnd"/>
            <w:r w:rsidRPr="00857BCB">
              <w:rPr>
                <w:rFonts w:ascii="Calibri" w:eastAsia="Times New Roman" w:hAnsi="Calibri" w:cs="Times New Roman"/>
                <w:color w:val="000000"/>
                <w:sz w:val="20"/>
                <w:szCs w:val="20"/>
                <w:lang w:eastAsia="es-PE"/>
              </w:rPr>
              <w:br/>
              <w:t>* 11 talleres realizados en las instituciones públicas, gobiernos regionales y locales</w:t>
            </w:r>
            <w:r w:rsidRPr="00857BCB">
              <w:rPr>
                <w:rFonts w:ascii="Calibri" w:eastAsia="Times New Roman" w:hAnsi="Calibri" w:cs="Times New Roman"/>
                <w:color w:val="000000"/>
                <w:sz w:val="20"/>
                <w:szCs w:val="20"/>
                <w:lang w:eastAsia="es-PE"/>
              </w:rPr>
              <w:br/>
              <w:t xml:space="preserve">* 8122 usuarios registrados en el Sistema </w:t>
            </w:r>
            <w:proofErr w:type="spellStart"/>
            <w:r w:rsidRPr="00857BCB">
              <w:rPr>
                <w:rFonts w:ascii="Calibri" w:eastAsia="Times New Roman" w:hAnsi="Calibri" w:cs="Times New Roman"/>
                <w:color w:val="000000"/>
                <w:sz w:val="20"/>
                <w:szCs w:val="20"/>
                <w:lang w:eastAsia="es-PE"/>
              </w:rPr>
              <w:t>Georeferenciado</w:t>
            </w:r>
            <w:proofErr w:type="spellEnd"/>
            <w:r w:rsidRPr="00857BCB">
              <w:rPr>
                <w:rFonts w:ascii="Calibri" w:eastAsia="Times New Roman" w:hAnsi="Calibri" w:cs="Times New Roman"/>
                <w:color w:val="000000"/>
                <w:sz w:val="20"/>
                <w:szCs w:val="20"/>
                <w:lang w:eastAsia="es-PE"/>
              </w:rPr>
              <w:t xml:space="preserve"> </w:t>
            </w:r>
            <w:r w:rsidRPr="00857BCB">
              <w:rPr>
                <w:rFonts w:ascii="Calibri" w:eastAsia="Times New Roman" w:hAnsi="Calibri" w:cs="Times New Roman"/>
                <w:color w:val="000000"/>
                <w:sz w:val="20"/>
                <w:szCs w:val="20"/>
                <w:lang w:eastAsia="es-PE"/>
              </w:rPr>
              <w:br/>
              <w:t xml:space="preserve">* 168 instituciones públicas utilizan el Sistema </w:t>
            </w:r>
            <w:proofErr w:type="spellStart"/>
            <w:r w:rsidRPr="00857BCB">
              <w:rPr>
                <w:rFonts w:ascii="Calibri" w:eastAsia="Times New Roman" w:hAnsi="Calibri" w:cs="Times New Roman"/>
                <w:color w:val="000000"/>
                <w:sz w:val="20"/>
                <w:szCs w:val="20"/>
                <w:lang w:eastAsia="es-PE"/>
              </w:rPr>
              <w:t>Georeferenciado</w:t>
            </w:r>
            <w:proofErr w:type="spellEnd"/>
            <w:r w:rsidRPr="00857BCB">
              <w:rPr>
                <w:rFonts w:ascii="Calibri" w:eastAsia="Times New Roman" w:hAnsi="Calibri" w:cs="Times New Roman"/>
                <w:color w:val="000000"/>
                <w:sz w:val="20"/>
                <w:szCs w:val="20"/>
                <w:lang w:eastAsia="es-PE"/>
              </w:rPr>
              <w:br/>
              <w:t xml:space="preserve">* 35 Gobiernos Locales utilizan el Sistema </w:t>
            </w:r>
            <w:proofErr w:type="spellStart"/>
            <w:r w:rsidRPr="00857BCB">
              <w:rPr>
                <w:rFonts w:ascii="Calibri" w:eastAsia="Times New Roman" w:hAnsi="Calibri" w:cs="Times New Roman"/>
                <w:color w:val="000000"/>
                <w:sz w:val="20"/>
                <w:szCs w:val="20"/>
                <w:lang w:eastAsia="es-PE"/>
              </w:rPr>
              <w:t>Georeferenciado</w:t>
            </w:r>
            <w:proofErr w:type="spellEnd"/>
          </w:p>
        </w:tc>
        <w:tc>
          <w:tcPr>
            <w:tcW w:w="1722" w:type="dxa"/>
            <w:tcBorders>
              <w:top w:val="single" w:sz="4" w:space="0" w:color="auto"/>
              <w:left w:val="nil"/>
              <w:bottom w:val="single" w:sz="4" w:space="0" w:color="auto"/>
              <w:right w:val="single" w:sz="4" w:space="0" w:color="auto"/>
            </w:tcBorders>
            <w:shd w:val="clear" w:color="auto" w:fill="auto"/>
            <w:hideMark/>
          </w:tcPr>
          <w:p w14:paraId="3C294528" w14:textId="77777777" w:rsidR="00107C98" w:rsidRPr="00857BCB" w:rsidRDefault="00107C98" w:rsidP="00107C98">
            <w:pPr>
              <w:spacing w:after="0" w:line="240" w:lineRule="auto"/>
              <w:rPr>
                <w:rFonts w:ascii="Calibri" w:eastAsia="Times New Roman" w:hAnsi="Calibri" w:cs="Times New Roman"/>
                <w:color w:val="000000"/>
                <w:sz w:val="20"/>
                <w:szCs w:val="20"/>
                <w:lang w:eastAsia="es-PE"/>
              </w:rPr>
            </w:pPr>
            <w:r w:rsidRPr="00857BCB">
              <w:rPr>
                <w:rFonts w:ascii="Calibri" w:eastAsia="Times New Roman" w:hAnsi="Calibri" w:cs="Times New Roman"/>
                <w:color w:val="000000"/>
                <w:sz w:val="20"/>
                <w:szCs w:val="20"/>
                <w:lang w:eastAsia="es-PE"/>
              </w:rPr>
              <w:t>* 358 mapas temáticos, información proveniente de 38 entidades públicas y 2 organismos internacionales.</w:t>
            </w:r>
            <w:r w:rsidRPr="00857BCB">
              <w:rPr>
                <w:rFonts w:ascii="Calibri" w:eastAsia="Times New Roman" w:hAnsi="Calibri" w:cs="Times New Roman"/>
                <w:color w:val="000000"/>
                <w:sz w:val="20"/>
                <w:szCs w:val="20"/>
                <w:lang w:eastAsia="es-PE"/>
              </w:rPr>
              <w:br/>
              <w:t>* 12000 usuarios, 205 entidades públicas</w:t>
            </w:r>
            <w:r w:rsidRPr="00857BCB">
              <w:rPr>
                <w:rFonts w:ascii="Calibri" w:eastAsia="Times New Roman" w:hAnsi="Calibri" w:cs="Times New Roman"/>
                <w:color w:val="000000"/>
                <w:sz w:val="20"/>
                <w:szCs w:val="20"/>
                <w:lang w:eastAsia="es-PE"/>
              </w:rPr>
              <w:br/>
              <w:t>* Tres servicios web: padrón nominal (MINSA), saneamiento rural (MVCS), y museos (MINCUL)</w:t>
            </w:r>
            <w:r w:rsidRPr="00857BCB">
              <w:rPr>
                <w:rFonts w:ascii="Calibri" w:eastAsia="Times New Roman" w:hAnsi="Calibri" w:cs="Times New Roman"/>
                <w:color w:val="000000"/>
                <w:sz w:val="20"/>
                <w:szCs w:val="20"/>
                <w:lang w:eastAsia="es-PE"/>
              </w:rPr>
              <w:br/>
              <w:t>* Actualización de 333 capas y 64 capas nuevas</w:t>
            </w:r>
            <w:r w:rsidRPr="00857BCB">
              <w:rPr>
                <w:rFonts w:ascii="Calibri" w:eastAsia="Times New Roman" w:hAnsi="Calibri" w:cs="Times New Roman"/>
                <w:color w:val="000000"/>
                <w:sz w:val="20"/>
                <w:szCs w:val="20"/>
                <w:lang w:eastAsia="es-PE"/>
              </w:rPr>
              <w:br/>
              <w:t xml:space="preserve">* Elaboración de matriz de indicadores de Smart </w:t>
            </w:r>
            <w:proofErr w:type="spellStart"/>
            <w:r w:rsidRPr="00857BCB">
              <w:rPr>
                <w:rFonts w:ascii="Calibri" w:eastAsia="Times New Roman" w:hAnsi="Calibri" w:cs="Times New Roman"/>
                <w:color w:val="000000"/>
                <w:sz w:val="20"/>
                <w:szCs w:val="20"/>
                <w:lang w:eastAsia="es-PE"/>
              </w:rPr>
              <w:t>Cities</w:t>
            </w:r>
            <w:proofErr w:type="spellEnd"/>
            <w:r w:rsidRPr="00857BCB">
              <w:rPr>
                <w:rFonts w:ascii="Calibri" w:eastAsia="Times New Roman" w:hAnsi="Calibri" w:cs="Times New Roman"/>
                <w:color w:val="000000"/>
                <w:sz w:val="20"/>
                <w:szCs w:val="20"/>
                <w:lang w:eastAsia="es-PE"/>
              </w:rPr>
              <w:br/>
              <w:t>* Propuesta de sistema para gestión de las ciudades focalizando la provincia de Lima y sus indicadores urbanos</w:t>
            </w:r>
            <w:r w:rsidRPr="00857BCB">
              <w:rPr>
                <w:rFonts w:ascii="Calibri" w:eastAsia="Times New Roman" w:hAnsi="Calibri" w:cs="Times New Roman"/>
                <w:color w:val="000000"/>
                <w:sz w:val="20"/>
                <w:szCs w:val="20"/>
                <w:lang w:eastAsia="es-PE"/>
              </w:rPr>
              <w:br/>
              <w:t>* Se actualizo versión del USB Live</w:t>
            </w:r>
            <w:r w:rsidRPr="00857BCB">
              <w:rPr>
                <w:rFonts w:ascii="Calibri" w:eastAsia="Times New Roman" w:hAnsi="Calibri" w:cs="Times New Roman"/>
                <w:color w:val="000000"/>
                <w:sz w:val="20"/>
                <w:szCs w:val="20"/>
                <w:lang w:eastAsia="es-PE"/>
              </w:rPr>
              <w:br/>
              <w:t>* Se elaboró dos reportes en el software de inteligencia de negocios</w:t>
            </w:r>
            <w:r w:rsidRPr="00857BCB">
              <w:rPr>
                <w:rFonts w:ascii="Calibri" w:eastAsia="Times New Roman" w:hAnsi="Calibri" w:cs="Times New Roman"/>
                <w:color w:val="000000"/>
                <w:sz w:val="20"/>
                <w:szCs w:val="20"/>
                <w:lang w:eastAsia="es-PE"/>
              </w:rPr>
              <w:br/>
              <w:t xml:space="preserve">* Se capacitó a 306 funcionarios a través de </w:t>
            </w:r>
            <w:proofErr w:type="spellStart"/>
            <w:r w:rsidRPr="00857BCB">
              <w:rPr>
                <w:rFonts w:ascii="Calibri" w:eastAsia="Times New Roman" w:hAnsi="Calibri" w:cs="Times New Roman"/>
                <w:color w:val="000000"/>
                <w:sz w:val="20"/>
                <w:szCs w:val="20"/>
                <w:lang w:eastAsia="es-PE"/>
              </w:rPr>
              <w:t>Sayhuite</w:t>
            </w:r>
            <w:proofErr w:type="spellEnd"/>
            <w:r w:rsidRPr="00857BCB">
              <w:rPr>
                <w:rFonts w:ascii="Calibri" w:eastAsia="Times New Roman" w:hAnsi="Calibri" w:cs="Times New Roman"/>
                <w:color w:val="000000"/>
                <w:sz w:val="20"/>
                <w:szCs w:val="20"/>
                <w:lang w:eastAsia="es-PE"/>
              </w:rPr>
              <w:br/>
              <w:t xml:space="preserve">* Se publicaron 131 mapas informativos en las redes sociales del </w:t>
            </w:r>
            <w:proofErr w:type="spellStart"/>
            <w:r w:rsidRPr="00857BCB">
              <w:rPr>
                <w:rFonts w:ascii="Calibri" w:eastAsia="Times New Roman" w:hAnsi="Calibri" w:cs="Times New Roman"/>
                <w:color w:val="000000"/>
                <w:sz w:val="20"/>
                <w:szCs w:val="20"/>
                <w:lang w:eastAsia="es-PE"/>
              </w:rPr>
              <w:t>Sayhuite</w:t>
            </w:r>
            <w:proofErr w:type="spellEnd"/>
            <w:r w:rsidRPr="00857BCB">
              <w:rPr>
                <w:rFonts w:ascii="Calibri" w:eastAsia="Times New Roman" w:hAnsi="Calibri" w:cs="Times New Roman"/>
                <w:color w:val="000000"/>
                <w:sz w:val="20"/>
                <w:szCs w:val="20"/>
                <w:lang w:eastAsia="es-PE"/>
              </w:rPr>
              <w:t>.</w:t>
            </w:r>
          </w:p>
        </w:tc>
      </w:tr>
    </w:tbl>
    <w:p w14:paraId="203B475F" w14:textId="77777777" w:rsidR="004307C3" w:rsidRDefault="004307C3" w:rsidP="00265FAA">
      <w:pPr>
        <w:jc w:val="both"/>
      </w:pPr>
    </w:p>
    <w:p w14:paraId="71507C49" w14:textId="172919CD" w:rsidR="002F7E6E" w:rsidRPr="002F7E6E" w:rsidRDefault="002F7E6E" w:rsidP="00107660">
      <w:pPr>
        <w:rPr>
          <w:sz w:val="20"/>
          <w:szCs w:val="20"/>
        </w:rPr>
        <w:sectPr w:rsidR="002F7E6E" w:rsidRPr="002F7E6E" w:rsidSect="00FA29E9">
          <w:pgSz w:w="11906" w:h="16838" w:code="9"/>
          <w:pgMar w:top="1418" w:right="1701" w:bottom="1418" w:left="1701" w:header="709" w:footer="709" w:gutter="0"/>
          <w:cols w:space="708"/>
          <w:docGrid w:linePitch="360"/>
        </w:sectPr>
      </w:pPr>
      <w:r w:rsidRPr="002F7E6E">
        <w:rPr>
          <w:sz w:val="20"/>
          <w:szCs w:val="20"/>
        </w:rPr>
        <w:t>Fuente:  Reportes de la PCM a PNUD</w:t>
      </w:r>
    </w:p>
    <w:p w14:paraId="61CAA239" w14:textId="1EC27459" w:rsidR="00816B3E" w:rsidRPr="00606EFC" w:rsidRDefault="00816B3E" w:rsidP="00265FAA">
      <w:pPr>
        <w:jc w:val="both"/>
        <w:rPr>
          <w:sz w:val="24"/>
          <w:szCs w:val="24"/>
        </w:rPr>
      </w:pPr>
      <w:r w:rsidRPr="00606EFC">
        <w:rPr>
          <w:sz w:val="24"/>
          <w:szCs w:val="24"/>
        </w:rPr>
        <w:lastRenderedPageBreak/>
        <w:t xml:space="preserve">Una de las primeras acciones </w:t>
      </w:r>
      <w:r w:rsidR="007F2D31" w:rsidRPr="00606EFC">
        <w:rPr>
          <w:sz w:val="24"/>
          <w:szCs w:val="24"/>
        </w:rPr>
        <w:t xml:space="preserve">que se dieron en el marco del apoyo </w:t>
      </w:r>
      <w:r w:rsidR="00E466A7" w:rsidRPr="00606EFC">
        <w:rPr>
          <w:sz w:val="24"/>
          <w:szCs w:val="24"/>
        </w:rPr>
        <w:t>del proyecto</w:t>
      </w:r>
      <w:r w:rsidR="007F2D31" w:rsidRPr="00606EFC">
        <w:rPr>
          <w:sz w:val="24"/>
          <w:szCs w:val="24"/>
        </w:rPr>
        <w:t xml:space="preserve"> fue la aprobación del </w:t>
      </w:r>
      <w:r w:rsidR="001C67D0" w:rsidRPr="00606EFC">
        <w:rPr>
          <w:sz w:val="24"/>
          <w:szCs w:val="24"/>
        </w:rPr>
        <w:t>Decreto Supremo 133-2013</w:t>
      </w:r>
      <w:r w:rsidR="00646626" w:rsidRPr="00606EFC">
        <w:rPr>
          <w:sz w:val="24"/>
          <w:szCs w:val="24"/>
        </w:rPr>
        <w:t>-PCM</w:t>
      </w:r>
      <w:r w:rsidR="001C67D0" w:rsidRPr="00606EFC">
        <w:rPr>
          <w:sz w:val="24"/>
          <w:szCs w:val="24"/>
        </w:rPr>
        <w:t xml:space="preserve"> que permitió el intercambio de información espacial sin necesidad de un convenio específico</w:t>
      </w:r>
      <w:r w:rsidR="00C3183C" w:rsidRPr="00606EFC">
        <w:rPr>
          <w:sz w:val="24"/>
          <w:szCs w:val="24"/>
        </w:rPr>
        <w:t xml:space="preserve"> entre instituciones</w:t>
      </w:r>
      <w:r w:rsidR="001C67D0" w:rsidRPr="00606EFC">
        <w:rPr>
          <w:sz w:val="24"/>
          <w:szCs w:val="24"/>
        </w:rPr>
        <w:t xml:space="preserve">, requisito que había dificultado hasta </w:t>
      </w:r>
      <w:r w:rsidR="00D91A87" w:rsidRPr="00606EFC">
        <w:rPr>
          <w:sz w:val="24"/>
          <w:szCs w:val="24"/>
        </w:rPr>
        <w:t>ese año</w:t>
      </w:r>
      <w:r w:rsidR="005A0F96" w:rsidRPr="00606EFC">
        <w:rPr>
          <w:sz w:val="24"/>
          <w:szCs w:val="24"/>
        </w:rPr>
        <w:t xml:space="preserve"> la rápida implementación de la plataforma única</w:t>
      </w:r>
      <w:r w:rsidR="001C67D0" w:rsidRPr="00606EFC">
        <w:rPr>
          <w:sz w:val="24"/>
          <w:szCs w:val="24"/>
        </w:rPr>
        <w:t>.</w:t>
      </w:r>
    </w:p>
    <w:p w14:paraId="611ACE72" w14:textId="7E1A976D" w:rsidR="005A0F96" w:rsidRPr="00606EFC" w:rsidRDefault="005A0F96" w:rsidP="00265FAA">
      <w:pPr>
        <w:jc w:val="both"/>
        <w:rPr>
          <w:sz w:val="24"/>
          <w:szCs w:val="24"/>
        </w:rPr>
      </w:pPr>
      <w:r w:rsidRPr="00606EFC">
        <w:rPr>
          <w:sz w:val="24"/>
          <w:szCs w:val="24"/>
        </w:rPr>
        <w:t xml:space="preserve">Además de la integración de información de los sectores, el proyecto trabajó en la construcción de cuatro plataformas que repliquen </w:t>
      </w:r>
      <w:proofErr w:type="spellStart"/>
      <w:r w:rsidRPr="00606EFC">
        <w:rPr>
          <w:sz w:val="24"/>
          <w:szCs w:val="24"/>
        </w:rPr>
        <w:t>Sayhuite</w:t>
      </w:r>
      <w:proofErr w:type="spellEnd"/>
      <w:r w:rsidRPr="00606EFC">
        <w:rPr>
          <w:sz w:val="24"/>
          <w:szCs w:val="24"/>
        </w:rPr>
        <w:t xml:space="preserve"> a nivel regional (Lima Provincias, Piura, Puno y Tacna).</w:t>
      </w:r>
      <w:r w:rsidR="001B6DD2" w:rsidRPr="00606EFC">
        <w:rPr>
          <w:sz w:val="24"/>
          <w:szCs w:val="24"/>
        </w:rPr>
        <w:t xml:space="preserve"> Para ello, </w:t>
      </w:r>
      <w:r w:rsidR="004E0102" w:rsidRPr="00606EFC">
        <w:rPr>
          <w:sz w:val="24"/>
          <w:szCs w:val="24"/>
        </w:rPr>
        <w:t>la secretaría</w:t>
      </w:r>
      <w:r w:rsidR="001B6DD2" w:rsidRPr="00606EFC">
        <w:rPr>
          <w:sz w:val="24"/>
          <w:szCs w:val="24"/>
        </w:rPr>
        <w:t xml:space="preserve"> brindó asistencia técnica y transferencia tecnológica</w:t>
      </w:r>
      <w:r w:rsidR="004E0102" w:rsidRPr="00606EFC">
        <w:rPr>
          <w:sz w:val="24"/>
          <w:szCs w:val="24"/>
        </w:rPr>
        <w:t xml:space="preserve"> a los gobiernos regionales</w:t>
      </w:r>
      <w:r w:rsidR="001B6DD2" w:rsidRPr="00606EFC">
        <w:rPr>
          <w:sz w:val="24"/>
          <w:szCs w:val="24"/>
        </w:rPr>
        <w:t xml:space="preserve">, lo que les permitió agregar capas de información que no están disponibles en el sistema nacional (por ejemplo con la inclusión de los planes de ordenamiento territorial y </w:t>
      </w:r>
      <w:r w:rsidR="004E0102" w:rsidRPr="00606EFC">
        <w:rPr>
          <w:sz w:val="24"/>
          <w:szCs w:val="24"/>
        </w:rPr>
        <w:t>zonificación económica ecológica</w:t>
      </w:r>
      <w:r w:rsidR="001B6DD2" w:rsidRPr="00606EFC">
        <w:rPr>
          <w:sz w:val="24"/>
          <w:szCs w:val="24"/>
        </w:rPr>
        <w:t>).</w:t>
      </w:r>
      <w:r w:rsidR="004E0102" w:rsidRPr="00606EFC">
        <w:rPr>
          <w:sz w:val="24"/>
          <w:szCs w:val="24"/>
        </w:rPr>
        <w:t xml:space="preserve"> En ese sentido, el</w:t>
      </w:r>
      <w:r w:rsidR="001B6DD2" w:rsidRPr="00606EFC">
        <w:rPr>
          <w:sz w:val="24"/>
          <w:szCs w:val="24"/>
        </w:rPr>
        <w:t xml:space="preserve"> proyecto les permitió poner en valor información</w:t>
      </w:r>
      <w:r w:rsidR="004E0102" w:rsidRPr="00606EFC">
        <w:rPr>
          <w:sz w:val="24"/>
          <w:szCs w:val="24"/>
        </w:rPr>
        <w:t xml:space="preserve"> que de otro modo hubiese estado en un canal menos ambicioso</w:t>
      </w:r>
      <w:r w:rsidR="001B6DD2" w:rsidRPr="00606EFC">
        <w:rPr>
          <w:sz w:val="24"/>
          <w:szCs w:val="24"/>
        </w:rPr>
        <w:t xml:space="preserve">. </w:t>
      </w:r>
      <w:r w:rsidR="002F4FA0" w:rsidRPr="00606EFC">
        <w:rPr>
          <w:sz w:val="24"/>
          <w:szCs w:val="24"/>
        </w:rPr>
        <w:t xml:space="preserve"> El caso de Lima Provincias ha sido el más exitoso</w:t>
      </w:r>
      <w:r w:rsidR="00A9792D" w:rsidRPr="00606EFC">
        <w:rPr>
          <w:sz w:val="24"/>
          <w:szCs w:val="24"/>
        </w:rPr>
        <w:t xml:space="preserve"> en la creación de un “</w:t>
      </w:r>
      <w:proofErr w:type="spellStart"/>
      <w:r w:rsidR="00A9792D" w:rsidRPr="00606EFC">
        <w:rPr>
          <w:sz w:val="24"/>
          <w:szCs w:val="24"/>
        </w:rPr>
        <w:t>Sayhuite</w:t>
      </w:r>
      <w:proofErr w:type="spellEnd"/>
      <w:r w:rsidR="00A9792D" w:rsidRPr="00606EFC">
        <w:rPr>
          <w:sz w:val="24"/>
          <w:szCs w:val="24"/>
        </w:rPr>
        <w:t xml:space="preserve"> regional”</w:t>
      </w:r>
      <w:r w:rsidR="006D52DD" w:rsidRPr="00606EFC">
        <w:rPr>
          <w:sz w:val="24"/>
          <w:szCs w:val="24"/>
        </w:rPr>
        <w:t>, a decir de un funcionario</w:t>
      </w:r>
      <w:r w:rsidR="002F4FA0" w:rsidRPr="00606EFC">
        <w:rPr>
          <w:sz w:val="24"/>
          <w:szCs w:val="24"/>
        </w:rPr>
        <w:t xml:space="preserve">. </w:t>
      </w:r>
    </w:p>
    <w:p w14:paraId="345DD36A" w14:textId="2A1E149D" w:rsidR="005C21D0" w:rsidRPr="00606EFC" w:rsidRDefault="008D3747" w:rsidP="00265FAA">
      <w:pPr>
        <w:jc w:val="both"/>
        <w:rPr>
          <w:sz w:val="24"/>
          <w:szCs w:val="24"/>
        </w:rPr>
      </w:pPr>
      <w:r w:rsidRPr="00606EFC">
        <w:rPr>
          <w:sz w:val="24"/>
          <w:szCs w:val="24"/>
        </w:rPr>
        <w:t>Actualmente, más de 200 instituciones estatales, 190 empresas privadas, 30 organismos internacionales</w:t>
      </w:r>
      <w:r w:rsidR="00A9792D" w:rsidRPr="00606EFC">
        <w:rPr>
          <w:sz w:val="24"/>
          <w:szCs w:val="24"/>
        </w:rPr>
        <w:t xml:space="preserve"> </w:t>
      </w:r>
      <w:r w:rsidR="00B6112F" w:rsidRPr="00606EFC">
        <w:rPr>
          <w:sz w:val="24"/>
          <w:szCs w:val="24"/>
        </w:rPr>
        <w:t>y 14,000</w:t>
      </w:r>
      <w:r w:rsidRPr="00606EFC">
        <w:rPr>
          <w:sz w:val="24"/>
          <w:szCs w:val="24"/>
        </w:rPr>
        <w:t xml:space="preserve"> ciudadanos usan </w:t>
      </w:r>
      <w:proofErr w:type="spellStart"/>
      <w:r w:rsidRPr="00606EFC">
        <w:rPr>
          <w:sz w:val="24"/>
          <w:szCs w:val="24"/>
        </w:rPr>
        <w:t>Sayhuite</w:t>
      </w:r>
      <w:proofErr w:type="spellEnd"/>
      <w:r w:rsidR="00F13697" w:rsidRPr="00606EFC">
        <w:rPr>
          <w:sz w:val="24"/>
          <w:szCs w:val="24"/>
        </w:rPr>
        <w:t>, cifras que han ido en aumento con los años</w:t>
      </w:r>
      <w:r w:rsidRPr="00606EFC">
        <w:rPr>
          <w:sz w:val="24"/>
          <w:szCs w:val="24"/>
        </w:rPr>
        <w:t>.</w:t>
      </w:r>
      <w:r w:rsidR="00F13697" w:rsidRPr="00606EFC">
        <w:rPr>
          <w:sz w:val="24"/>
          <w:szCs w:val="24"/>
        </w:rPr>
        <w:t xml:space="preserve"> Sin embargo, d</w:t>
      </w:r>
      <w:r w:rsidR="005C21D0" w:rsidRPr="00606EFC">
        <w:rPr>
          <w:sz w:val="24"/>
          <w:szCs w:val="24"/>
        </w:rPr>
        <w:t>e nuestras entrevistas en regiones</w:t>
      </w:r>
      <w:r w:rsidR="00B15E75" w:rsidRPr="00606EFC">
        <w:rPr>
          <w:sz w:val="24"/>
          <w:szCs w:val="24"/>
        </w:rPr>
        <w:t xml:space="preserve"> y también con expertos en Lima</w:t>
      </w:r>
      <w:r w:rsidR="005C21D0" w:rsidRPr="00606EFC">
        <w:rPr>
          <w:sz w:val="24"/>
          <w:szCs w:val="24"/>
        </w:rPr>
        <w:t>,</w:t>
      </w:r>
      <w:r w:rsidR="00B15E75" w:rsidRPr="00606EFC">
        <w:rPr>
          <w:sz w:val="24"/>
          <w:szCs w:val="24"/>
        </w:rPr>
        <w:t xml:space="preserve"> encontramos que</w:t>
      </w:r>
      <w:r w:rsidR="005C21D0" w:rsidRPr="00606EFC">
        <w:rPr>
          <w:sz w:val="24"/>
          <w:szCs w:val="24"/>
        </w:rPr>
        <w:t xml:space="preserve"> en ningún caso </w:t>
      </w:r>
      <w:proofErr w:type="spellStart"/>
      <w:r w:rsidR="005C21D0" w:rsidRPr="00606EFC">
        <w:rPr>
          <w:sz w:val="24"/>
          <w:szCs w:val="24"/>
        </w:rPr>
        <w:t>Sayhuite</w:t>
      </w:r>
      <w:proofErr w:type="spellEnd"/>
      <w:r w:rsidR="005C21D0" w:rsidRPr="00606EFC">
        <w:rPr>
          <w:sz w:val="24"/>
          <w:szCs w:val="24"/>
        </w:rPr>
        <w:t xml:space="preserve"> era reconocido como una herramienta </w:t>
      </w:r>
      <w:r w:rsidR="006942C8" w:rsidRPr="00606EFC">
        <w:rPr>
          <w:sz w:val="24"/>
          <w:szCs w:val="24"/>
        </w:rPr>
        <w:t xml:space="preserve">integrada al trabajo de </w:t>
      </w:r>
      <w:r w:rsidR="005C21D0" w:rsidRPr="00606EFC">
        <w:rPr>
          <w:sz w:val="24"/>
          <w:szCs w:val="24"/>
        </w:rPr>
        <w:t xml:space="preserve">las oficinas de los gobiernos regionales. </w:t>
      </w:r>
      <w:r w:rsidR="00B15E75" w:rsidRPr="00606EFC">
        <w:rPr>
          <w:sz w:val="24"/>
          <w:szCs w:val="24"/>
        </w:rPr>
        <w:t xml:space="preserve">Su uso </w:t>
      </w:r>
      <w:r w:rsidR="0093096C" w:rsidRPr="00606EFC">
        <w:rPr>
          <w:sz w:val="24"/>
          <w:szCs w:val="24"/>
        </w:rPr>
        <w:t xml:space="preserve">es </w:t>
      </w:r>
      <w:r w:rsidR="00B15E75" w:rsidRPr="00606EFC">
        <w:rPr>
          <w:sz w:val="24"/>
          <w:szCs w:val="24"/>
        </w:rPr>
        <w:t xml:space="preserve">descrito como </w:t>
      </w:r>
      <w:r w:rsidR="00D05875" w:rsidRPr="00606EFC">
        <w:rPr>
          <w:sz w:val="24"/>
          <w:szCs w:val="24"/>
        </w:rPr>
        <w:t>circunstancial</w:t>
      </w:r>
      <w:r w:rsidR="00B15E75" w:rsidRPr="00606EFC">
        <w:rPr>
          <w:sz w:val="24"/>
          <w:szCs w:val="24"/>
        </w:rPr>
        <w:t>,</w:t>
      </w:r>
      <w:r w:rsidR="00A831B4" w:rsidRPr="00606EFC">
        <w:rPr>
          <w:sz w:val="24"/>
          <w:szCs w:val="24"/>
        </w:rPr>
        <w:t xml:space="preserve"> en el mejor de los casos. Esto se explicaría </w:t>
      </w:r>
      <w:r w:rsidR="00B15E75" w:rsidRPr="00606EFC">
        <w:rPr>
          <w:sz w:val="24"/>
          <w:szCs w:val="24"/>
        </w:rPr>
        <w:t>en buena medida porque las instituciones estatales prefieren dar valor a sus propios sistemas</w:t>
      </w:r>
      <w:r w:rsidR="00A831B4" w:rsidRPr="00606EFC">
        <w:rPr>
          <w:sz w:val="24"/>
          <w:szCs w:val="24"/>
        </w:rPr>
        <w:t xml:space="preserve">, algunos de los cuales </w:t>
      </w:r>
      <w:r w:rsidR="00961900" w:rsidRPr="00606EFC">
        <w:rPr>
          <w:sz w:val="24"/>
          <w:szCs w:val="24"/>
        </w:rPr>
        <w:t>son muy complejos</w:t>
      </w:r>
      <w:r w:rsidR="00162A03" w:rsidRPr="00606EFC">
        <w:rPr>
          <w:sz w:val="24"/>
          <w:szCs w:val="24"/>
        </w:rPr>
        <w:t xml:space="preserve"> y cuya información no se encuentra integrada en </w:t>
      </w:r>
      <w:proofErr w:type="spellStart"/>
      <w:r w:rsidR="00162A03" w:rsidRPr="00606EFC">
        <w:rPr>
          <w:sz w:val="24"/>
          <w:szCs w:val="24"/>
        </w:rPr>
        <w:t>Sayhuite</w:t>
      </w:r>
      <w:proofErr w:type="spellEnd"/>
      <w:r w:rsidR="00162A03" w:rsidRPr="00606EFC">
        <w:rPr>
          <w:sz w:val="24"/>
          <w:szCs w:val="24"/>
        </w:rPr>
        <w:t xml:space="preserve"> por la incompatibilidad de los </w:t>
      </w:r>
      <w:r w:rsidR="00162A03" w:rsidRPr="00606EFC">
        <w:rPr>
          <w:i/>
          <w:sz w:val="24"/>
          <w:szCs w:val="24"/>
        </w:rPr>
        <w:t>softwares</w:t>
      </w:r>
      <w:r w:rsidR="00162A03" w:rsidRPr="00606EFC">
        <w:rPr>
          <w:sz w:val="24"/>
          <w:szCs w:val="24"/>
        </w:rPr>
        <w:t>.</w:t>
      </w:r>
      <w:r w:rsidR="00FF273D" w:rsidRPr="00606EFC">
        <w:rPr>
          <w:sz w:val="24"/>
          <w:szCs w:val="24"/>
        </w:rPr>
        <w:t xml:space="preserve"> Sería importante continuar la difusión de </w:t>
      </w:r>
      <w:proofErr w:type="spellStart"/>
      <w:r w:rsidR="00FF273D" w:rsidRPr="00606EFC">
        <w:rPr>
          <w:sz w:val="24"/>
          <w:szCs w:val="24"/>
        </w:rPr>
        <w:t>Sayhuite</w:t>
      </w:r>
      <w:proofErr w:type="spellEnd"/>
      <w:r w:rsidR="0002667C" w:rsidRPr="00606EFC">
        <w:rPr>
          <w:sz w:val="24"/>
          <w:szCs w:val="24"/>
        </w:rPr>
        <w:t xml:space="preserve"> (se han hecho actividades de este tipo en GORE y </w:t>
      </w:r>
      <w:proofErr w:type="spellStart"/>
      <w:r w:rsidR="0002667C" w:rsidRPr="00606EFC">
        <w:rPr>
          <w:sz w:val="24"/>
          <w:szCs w:val="24"/>
        </w:rPr>
        <w:t>Munis</w:t>
      </w:r>
      <w:proofErr w:type="spellEnd"/>
      <w:r w:rsidR="0002667C" w:rsidRPr="00606EFC">
        <w:rPr>
          <w:sz w:val="24"/>
          <w:szCs w:val="24"/>
        </w:rPr>
        <w:t xml:space="preserve"> Ejecutivos)</w:t>
      </w:r>
      <w:r w:rsidR="00FF273D" w:rsidRPr="00606EFC">
        <w:rPr>
          <w:sz w:val="24"/>
          <w:szCs w:val="24"/>
        </w:rPr>
        <w:t>,</w:t>
      </w:r>
      <w:r w:rsidR="00CD266B" w:rsidRPr="00606EFC">
        <w:rPr>
          <w:sz w:val="24"/>
          <w:szCs w:val="24"/>
        </w:rPr>
        <w:t xml:space="preserve"> mejorar </w:t>
      </w:r>
      <w:r w:rsidR="00FF273D" w:rsidRPr="00606EFC">
        <w:rPr>
          <w:sz w:val="24"/>
          <w:szCs w:val="24"/>
        </w:rPr>
        <w:t>la interface con la que trabaja</w:t>
      </w:r>
      <w:r w:rsidR="003E5F3D" w:rsidRPr="00606EFC">
        <w:rPr>
          <w:sz w:val="24"/>
          <w:szCs w:val="24"/>
        </w:rPr>
        <w:t xml:space="preserve"> (por ejemplo, reducir el tiempo de inscripción en el sistema que toma casi 24 horas desde que se ingresa la solicitud de “nuevo usuario”)</w:t>
      </w:r>
      <w:r w:rsidR="0002667C" w:rsidRPr="00606EFC">
        <w:rPr>
          <w:sz w:val="24"/>
          <w:szCs w:val="24"/>
        </w:rPr>
        <w:t xml:space="preserve"> e integrar nueva información (como aquella proveniente de la NASA</w:t>
      </w:r>
      <w:r w:rsidR="00F44EB6" w:rsidRPr="00606EFC">
        <w:rPr>
          <w:sz w:val="24"/>
          <w:szCs w:val="24"/>
        </w:rPr>
        <w:t xml:space="preserve"> que PNUD pondrá a disposición del Estado Peruano</w:t>
      </w:r>
      <w:r w:rsidR="0002667C" w:rsidRPr="00606EFC">
        <w:rPr>
          <w:sz w:val="24"/>
          <w:szCs w:val="24"/>
        </w:rPr>
        <w:t>).</w:t>
      </w:r>
    </w:p>
    <w:p w14:paraId="4B55F2CD" w14:textId="2B3877FC" w:rsidR="001916BE" w:rsidRPr="00606EFC" w:rsidRDefault="003E5F3D" w:rsidP="00265FAA">
      <w:pPr>
        <w:jc w:val="both"/>
        <w:rPr>
          <w:sz w:val="24"/>
          <w:szCs w:val="24"/>
        </w:rPr>
      </w:pPr>
      <w:r w:rsidRPr="00606EFC">
        <w:rPr>
          <w:sz w:val="24"/>
          <w:szCs w:val="24"/>
        </w:rPr>
        <w:t>Próximamente</w:t>
      </w:r>
      <w:r w:rsidR="007D0284" w:rsidRPr="00606EFC">
        <w:rPr>
          <w:sz w:val="24"/>
          <w:szCs w:val="24"/>
        </w:rPr>
        <w:t xml:space="preserve">, </w:t>
      </w:r>
      <w:proofErr w:type="spellStart"/>
      <w:r w:rsidR="007D0284" w:rsidRPr="00606EFC">
        <w:rPr>
          <w:sz w:val="24"/>
          <w:szCs w:val="24"/>
        </w:rPr>
        <w:t>Sayhuite</w:t>
      </w:r>
      <w:proofErr w:type="spellEnd"/>
      <w:r w:rsidR="007D0284" w:rsidRPr="00606EFC">
        <w:rPr>
          <w:sz w:val="24"/>
          <w:szCs w:val="24"/>
        </w:rPr>
        <w:t xml:space="preserve"> establecerá un trabajo conjunto con CEPLAN</w:t>
      </w:r>
      <w:r w:rsidR="00A56636" w:rsidRPr="00606EFC">
        <w:rPr>
          <w:sz w:val="24"/>
          <w:szCs w:val="24"/>
        </w:rPr>
        <w:t xml:space="preserve"> y se espera crear una versión provincial</w:t>
      </w:r>
      <w:r w:rsidR="00A43627" w:rsidRPr="00606EFC">
        <w:rPr>
          <w:sz w:val="24"/>
          <w:szCs w:val="24"/>
        </w:rPr>
        <w:t xml:space="preserve"> que pueda ser utilizada por las nuevas gestiones municipales en 2019</w:t>
      </w:r>
      <w:r w:rsidR="00A56636" w:rsidRPr="00606EFC">
        <w:rPr>
          <w:sz w:val="24"/>
          <w:szCs w:val="24"/>
        </w:rPr>
        <w:t>.</w:t>
      </w:r>
    </w:p>
    <w:p w14:paraId="5E051C90" w14:textId="0525997B" w:rsidR="000360F0" w:rsidRPr="00606EFC" w:rsidRDefault="000360F0" w:rsidP="00E70362">
      <w:pPr>
        <w:ind w:left="360"/>
        <w:jc w:val="both"/>
        <w:rPr>
          <w:sz w:val="24"/>
          <w:szCs w:val="24"/>
        </w:rPr>
      </w:pPr>
    </w:p>
    <w:p w14:paraId="2A2ACE86" w14:textId="56873F37" w:rsidR="006D3218" w:rsidRPr="00606EFC" w:rsidRDefault="000360F0" w:rsidP="009A3727">
      <w:pPr>
        <w:pStyle w:val="ListParagraph"/>
        <w:numPr>
          <w:ilvl w:val="2"/>
          <w:numId w:val="10"/>
        </w:numPr>
        <w:jc w:val="both"/>
        <w:outlineLvl w:val="2"/>
        <w:rPr>
          <w:i/>
          <w:sz w:val="24"/>
          <w:szCs w:val="24"/>
          <w:u w:val="single"/>
        </w:rPr>
      </w:pPr>
      <w:bookmarkStart w:id="9" w:name="_Toc523393988"/>
      <w:r w:rsidRPr="00606EFC">
        <w:rPr>
          <w:i/>
          <w:sz w:val="24"/>
          <w:szCs w:val="24"/>
          <w:u w:val="single"/>
        </w:rPr>
        <w:t>Sobre la coordinación</w:t>
      </w:r>
      <w:r w:rsidR="00560B0E" w:rsidRPr="00606EFC">
        <w:rPr>
          <w:i/>
          <w:sz w:val="24"/>
          <w:szCs w:val="24"/>
          <w:u w:val="single"/>
        </w:rPr>
        <w:t xml:space="preserve"> interinstitucional</w:t>
      </w:r>
      <w:r w:rsidR="006D3218" w:rsidRPr="00606EFC">
        <w:rPr>
          <w:i/>
          <w:sz w:val="24"/>
          <w:szCs w:val="24"/>
          <w:u w:val="single"/>
        </w:rPr>
        <w:t xml:space="preserve"> e</w:t>
      </w:r>
      <w:r w:rsidRPr="00606EFC">
        <w:rPr>
          <w:i/>
          <w:sz w:val="24"/>
          <w:szCs w:val="24"/>
          <w:u w:val="single"/>
        </w:rPr>
        <w:t xml:space="preserve"> intergubernamental</w:t>
      </w:r>
      <w:bookmarkEnd w:id="9"/>
      <w:r w:rsidR="007736C2" w:rsidRPr="00606EFC">
        <w:rPr>
          <w:i/>
          <w:sz w:val="24"/>
          <w:szCs w:val="24"/>
          <w:u w:val="single"/>
        </w:rPr>
        <w:t xml:space="preserve"> </w:t>
      </w:r>
    </w:p>
    <w:p w14:paraId="103BB6F2" w14:textId="2C3AEECB" w:rsidR="006D3218" w:rsidRPr="00606EFC" w:rsidRDefault="006D3218" w:rsidP="006D3218">
      <w:pPr>
        <w:jc w:val="both"/>
        <w:rPr>
          <w:sz w:val="24"/>
          <w:szCs w:val="24"/>
        </w:rPr>
      </w:pPr>
      <w:r w:rsidRPr="00606EFC">
        <w:rPr>
          <w:sz w:val="24"/>
          <w:szCs w:val="24"/>
        </w:rPr>
        <w:t xml:space="preserve">Durante los </w:t>
      </w:r>
      <w:r w:rsidR="00606EFC" w:rsidRPr="00606EFC">
        <w:rPr>
          <w:sz w:val="24"/>
          <w:szCs w:val="24"/>
        </w:rPr>
        <w:t>gobiernos de</w:t>
      </w:r>
      <w:r w:rsidRPr="00606EFC">
        <w:rPr>
          <w:sz w:val="24"/>
          <w:szCs w:val="24"/>
        </w:rPr>
        <w:t xml:space="preserve"> Alan García y Ollanta Humala, el componente de coordinación interinstitucional e intergubernamental mostró menos consistencia. Como parte de esta línea de trabajo se integraron varias actividades, no necesariamente conectadas entre sí.</w:t>
      </w:r>
      <w:r w:rsidR="00146D5E" w:rsidRPr="00606EFC">
        <w:rPr>
          <w:sz w:val="24"/>
          <w:szCs w:val="24"/>
        </w:rPr>
        <w:t xml:space="preserve"> Entre ellas destacan las consultorías para la elaboración del ROF de CONCYTEC, </w:t>
      </w:r>
      <w:r w:rsidR="007834FA" w:rsidRPr="00606EFC">
        <w:rPr>
          <w:sz w:val="24"/>
          <w:szCs w:val="24"/>
        </w:rPr>
        <w:t>la realización del Congreso del CLAD o la implementación de estrategias de comunicación para la PCM</w:t>
      </w:r>
      <w:r w:rsidR="00151861" w:rsidRPr="00606EFC">
        <w:rPr>
          <w:sz w:val="24"/>
          <w:szCs w:val="24"/>
        </w:rPr>
        <w:t>, entre otras</w:t>
      </w:r>
      <w:r w:rsidR="007834FA" w:rsidRPr="00606EFC">
        <w:rPr>
          <w:sz w:val="24"/>
          <w:szCs w:val="24"/>
        </w:rPr>
        <w:t>.</w:t>
      </w:r>
    </w:p>
    <w:p w14:paraId="3CFEBBB5" w14:textId="1373F2B6" w:rsidR="006E7859" w:rsidRPr="00606EFC" w:rsidRDefault="006E7859" w:rsidP="006D3218">
      <w:pPr>
        <w:jc w:val="both"/>
        <w:rPr>
          <w:sz w:val="24"/>
          <w:szCs w:val="24"/>
        </w:rPr>
      </w:pPr>
    </w:p>
    <w:p w14:paraId="6232EF6E" w14:textId="24CF8A6F" w:rsidR="006E7859" w:rsidRPr="00606EFC" w:rsidRDefault="006E7859" w:rsidP="00385320">
      <w:pPr>
        <w:jc w:val="center"/>
        <w:rPr>
          <w:b/>
          <w:sz w:val="24"/>
          <w:szCs w:val="24"/>
        </w:rPr>
      </w:pPr>
      <w:r w:rsidRPr="00606EFC">
        <w:rPr>
          <w:b/>
          <w:sz w:val="24"/>
          <w:szCs w:val="24"/>
        </w:rPr>
        <w:lastRenderedPageBreak/>
        <w:t>Resultado 3</w:t>
      </w:r>
      <w:r w:rsidR="00D66FB2" w:rsidRPr="00606EFC">
        <w:rPr>
          <w:b/>
          <w:sz w:val="24"/>
          <w:szCs w:val="24"/>
        </w:rPr>
        <w:t xml:space="preserve"> (2010-2012)</w:t>
      </w:r>
      <w:r w:rsidRPr="00606EFC">
        <w:rPr>
          <w:b/>
          <w:sz w:val="24"/>
          <w:szCs w:val="24"/>
        </w:rPr>
        <w:t xml:space="preserve">: </w:t>
      </w:r>
      <w:r w:rsidR="00385320" w:rsidRPr="00606EFC">
        <w:rPr>
          <w:b/>
          <w:sz w:val="24"/>
          <w:szCs w:val="24"/>
        </w:rPr>
        <w:t>Instancias centrales y regionales del Poder Ejecutivo generan las condiciones para el fortalecimiento de la gobernanza en el proceso de descentralización y modernización del Estado.</w:t>
      </w:r>
    </w:p>
    <w:p w14:paraId="56217BC4" w14:textId="117B9E07" w:rsidR="006D1E63" w:rsidRPr="00606EFC" w:rsidRDefault="006D1E63" w:rsidP="006D1E63">
      <w:pPr>
        <w:jc w:val="center"/>
        <w:rPr>
          <w:sz w:val="24"/>
          <w:szCs w:val="24"/>
        </w:rPr>
      </w:pPr>
      <w:r w:rsidRPr="00606EFC">
        <w:rPr>
          <w:b/>
          <w:sz w:val="24"/>
          <w:szCs w:val="24"/>
          <w:u w:val="single"/>
        </w:rPr>
        <w:t>Actividades realizadas por año (componente coordinación interinst</w:t>
      </w:r>
      <w:r w:rsidR="00943ED4" w:rsidRPr="00606EFC">
        <w:rPr>
          <w:b/>
          <w:sz w:val="24"/>
          <w:szCs w:val="24"/>
          <w:u w:val="single"/>
        </w:rPr>
        <w:t>it</w:t>
      </w:r>
      <w:r w:rsidRPr="00606EFC">
        <w:rPr>
          <w:b/>
          <w:sz w:val="24"/>
          <w:szCs w:val="24"/>
          <w:u w:val="single"/>
        </w:rPr>
        <w:t>ucional)</w:t>
      </w:r>
    </w:p>
    <w:tbl>
      <w:tblPr>
        <w:tblW w:w="8926" w:type="dxa"/>
        <w:tblCellMar>
          <w:left w:w="70" w:type="dxa"/>
          <w:right w:w="70" w:type="dxa"/>
        </w:tblCellMar>
        <w:tblLook w:val="04A0" w:firstRow="1" w:lastRow="0" w:firstColumn="1" w:lastColumn="0" w:noHBand="0" w:noVBand="1"/>
      </w:tblPr>
      <w:tblGrid>
        <w:gridCol w:w="394"/>
        <w:gridCol w:w="2228"/>
        <w:gridCol w:w="6304"/>
      </w:tblGrid>
      <w:tr w:rsidR="003C2C24" w:rsidRPr="003C2C24" w14:paraId="33D251A3" w14:textId="77777777" w:rsidTr="00606EFC">
        <w:trPr>
          <w:trHeight w:val="70"/>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A9392" w14:textId="76D16AAE" w:rsidR="003C2C24" w:rsidRPr="00606EFC" w:rsidRDefault="00606EFC" w:rsidP="003C2C24">
            <w:pPr>
              <w:spacing w:after="0" w:line="240" w:lineRule="auto"/>
              <w:rPr>
                <w:rFonts w:ascii="Calibri" w:eastAsia="Times New Roman" w:hAnsi="Calibri" w:cs="Times New Roman"/>
                <w:b/>
                <w:bCs/>
                <w:color w:val="000000"/>
                <w:sz w:val="20"/>
                <w:szCs w:val="20"/>
                <w:lang w:eastAsia="es-PE"/>
              </w:rPr>
            </w:pPr>
            <w:proofErr w:type="spellStart"/>
            <w:r>
              <w:rPr>
                <w:rFonts w:ascii="Calibri" w:eastAsia="Times New Roman" w:hAnsi="Calibri" w:cs="Times New Roman"/>
                <w:b/>
                <w:bCs/>
                <w:color w:val="000000"/>
                <w:sz w:val="20"/>
                <w:szCs w:val="20"/>
                <w:lang w:eastAsia="es-PE"/>
              </w:rPr>
              <w:t>N°</w:t>
            </w:r>
            <w:proofErr w:type="spellEnd"/>
          </w:p>
        </w:tc>
        <w:tc>
          <w:tcPr>
            <w:tcW w:w="2228" w:type="dxa"/>
            <w:tcBorders>
              <w:top w:val="single" w:sz="4" w:space="0" w:color="auto"/>
              <w:left w:val="nil"/>
              <w:bottom w:val="single" w:sz="4" w:space="0" w:color="auto"/>
              <w:right w:val="single" w:sz="4" w:space="0" w:color="auto"/>
            </w:tcBorders>
            <w:shd w:val="clear" w:color="auto" w:fill="auto"/>
            <w:vAlign w:val="bottom"/>
            <w:hideMark/>
          </w:tcPr>
          <w:p w14:paraId="095BF753" w14:textId="77777777" w:rsidR="003C2C24" w:rsidRPr="00606EFC" w:rsidRDefault="003C2C24" w:rsidP="003C2C24">
            <w:pPr>
              <w:spacing w:after="0" w:line="240" w:lineRule="auto"/>
              <w:rPr>
                <w:rFonts w:ascii="Calibri" w:eastAsia="Times New Roman" w:hAnsi="Calibri" w:cs="Times New Roman"/>
                <w:b/>
                <w:bCs/>
                <w:color w:val="000000"/>
                <w:sz w:val="20"/>
                <w:szCs w:val="20"/>
                <w:lang w:eastAsia="es-PE"/>
              </w:rPr>
            </w:pPr>
            <w:r w:rsidRPr="00606EFC">
              <w:rPr>
                <w:rFonts w:ascii="Calibri" w:eastAsia="Times New Roman" w:hAnsi="Calibri" w:cs="Times New Roman"/>
                <w:b/>
                <w:bCs/>
                <w:color w:val="000000"/>
                <w:sz w:val="20"/>
                <w:szCs w:val="20"/>
                <w:lang w:eastAsia="es-PE"/>
              </w:rPr>
              <w:t>Actividad / Cumplimiento por año</w:t>
            </w:r>
          </w:p>
        </w:tc>
        <w:tc>
          <w:tcPr>
            <w:tcW w:w="6304" w:type="dxa"/>
            <w:tcBorders>
              <w:top w:val="single" w:sz="4" w:space="0" w:color="auto"/>
              <w:left w:val="nil"/>
              <w:bottom w:val="single" w:sz="4" w:space="0" w:color="auto"/>
              <w:right w:val="single" w:sz="4" w:space="0" w:color="auto"/>
            </w:tcBorders>
            <w:shd w:val="clear" w:color="auto" w:fill="auto"/>
            <w:vAlign w:val="bottom"/>
            <w:hideMark/>
          </w:tcPr>
          <w:p w14:paraId="282BCFDE" w14:textId="77777777" w:rsidR="003C2C24" w:rsidRPr="00606EFC" w:rsidRDefault="003C2C24" w:rsidP="00107C98">
            <w:pPr>
              <w:spacing w:after="0" w:line="240" w:lineRule="auto"/>
              <w:rPr>
                <w:rFonts w:ascii="Calibri" w:eastAsia="Times New Roman" w:hAnsi="Calibri" w:cs="Times New Roman"/>
                <w:b/>
                <w:bCs/>
                <w:color w:val="000000"/>
                <w:sz w:val="20"/>
                <w:szCs w:val="20"/>
                <w:lang w:eastAsia="es-PE"/>
              </w:rPr>
            </w:pPr>
            <w:r w:rsidRPr="00606EFC">
              <w:rPr>
                <w:rFonts w:ascii="Calibri" w:eastAsia="Times New Roman" w:hAnsi="Calibri" w:cs="Times New Roman"/>
                <w:b/>
                <w:bCs/>
                <w:color w:val="000000"/>
                <w:sz w:val="20"/>
                <w:szCs w:val="20"/>
                <w:lang w:eastAsia="es-PE"/>
              </w:rPr>
              <w:t>2012</w:t>
            </w:r>
          </w:p>
        </w:tc>
      </w:tr>
      <w:tr w:rsidR="003C2C24" w:rsidRPr="003C2C24" w14:paraId="4133CF7D" w14:textId="77777777" w:rsidTr="00606EFC">
        <w:trPr>
          <w:trHeight w:val="50"/>
        </w:trPr>
        <w:tc>
          <w:tcPr>
            <w:tcW w:w="394" w:type="dxa"/>
            <w:tcBorders>
              <w:top w:val="nil"/>
              <w:left w:val="single" w:sz="4" w:space="0" w:color="auto"/>
              <w:bottom w:val="single" w:sz="4" w:space="0" w:color="auto"/>
              <w:right w:val="single" w:sz="4" w:space="0" w:color="auto"/>
            </w:tcBorders>
            <w:shd w:val="clear" w:color="auto" w:fill="auto"/>
            <w:noWrap/>
            <w:hideMark/>
          </w:tcPr>
          <w:p w14:paraId="2692B9D3" w14:textId="77777777" w:rsidR="003C2C24" w:rsidRPr="00606EFC" w:rsidRDefault="003C2C24" w:rsidP="00107C98">
            <w:pPr>
              <w:spacing w:after="0" w:line="240" w:lineRule="auto"/>
              <w:rPr>
                <w:rFonts w:ascii="Calibri" w:eastAsia="Times New Roman" w:hAnsi="Calibri" w:cs="Times New Roman"/>
                <w:color w:val="000000"/>
                <w:sz w:val="20"/>
                <w:szCs w:val="20"/>
                <w:lang w:eastAsia="es-PE"/>
              </w:rPr>
            </w:pPr>
            <w:r w:rsidRPr="00606EFC">
              <w:rPr>
                <w:rFonts w:ascii="Calibri" w:eastAsia="Times New Roman" w:hAnsi="Calibri" w:cs="Times New Roman"/>
                <w:color w:val="000000"/>
                <w:sz w:val="20"/>
                <w:szCs w:val="20"/>
                <w:lang w:eastAsia="es-PE"/>
              </w:rPr>
              <w:t>3.1</w:t>
            </w:r>
          </w:p>
        </w:tc>
        <w:tc>
          <w:tcPr>
            <w:tcW w:w="2228" w:type="dxa"/>
            <w:tcBorders>
              <w:top w:val="nil"/>
              <w:left w:val="nil"/>
              <w:bottom w:val="single" w:sz="4" w:space="0" w:color="auto"/>
              <w:right w:val="single" w:sz="4" w:space="0" w:color="auto"/>
            </w:tcBorders>
            <w:shd w:val="clear" w:color="auto" w:fill="auto"/>
            <w:hideMark/>
          </w:tcPr>
          <w:p w14:paraId="65EFA4CC" w14:textId="77777777" w:rsidR="003C2C24" w:rsidRPr="00606EFC" w:rsidRDefault="003C2C24" w:rsidP="00107C98">
            <w:pPr>
              <w:spacing w:after="0" w:line="240" w:lineRule="auto"/>
              <w:rPr>
                <w:rFonts w:ascii="Calibri" w:eastAsia="Times New Roman" w:hAnsi="Calibri" w:cs="Times New Roman"/>
                <w:color w:val="000000"/>
                <w:sz w:val="20"/>
                <w:szCs w:val="20"/>
                <w:lang w:eastAsia="es-PE"/>
              </w:rPr>
            </w:pPr>
            <w:r w:rsidRPr="00606EFC">
              <w:rPr>
                <w:rFonts w:ascii="Calibri" w:eastAsia="Times New Roman" w:hAnsi="Calibri" w:cs="Times New Roman"/>
                <w:color w:val="000000"/>
                <w:sz w:val="20"/>
                <w:szCs w:val="20"/>
                <w:lang w:eastAsia="es-PE"/>
              </w:rPr>
              <w:t>Fortalecimiento de la coordinación interinstitucional</w:t>
            </w:r>
          </w:p>
        </w:tc>
        <w:tc>
          <w:tcPr>
            <w:tcW w:w="6304" w:type="dxa"/>
            <w:tcBorders>
              <w:top w:val="nil"/>
              <w:left w:val="nil"/>
              <w:bottom w:val="single" w:sz="4" w:space="0" w:color="auto"/>
              <w:right w:val="single" w:sz="4" w:space="0" w:color="auto"/>
            </w:tcBorders>
            <w:shd w:val="clear" w:color="auto" w:fill="auto"/>
            <w:hideMark/>
          </w:tcPr>
          <w:p w14:paraId="35921B73" w14:textId="0C697B1B" w:rsidR="003C2C24" w:rsidRPr="00606EFC" w:rsidRDefault="003C2C24" w:rsidP="00107C98">
            <w:pPr>
              <w:spacing w:after="0" w:line="240" w:lineRule="auto"/>
              <w:rPr>
                <w:rFonts w:ascii="Calibri" w:eastAsia="Times New Roman" w:hAnsi="Calibri" w:cs="Times New Roman"/>
                <w:color w:val="000000"/>
                <w:sz w:val="20"/>
                <w:szCs w:val="20"/>
                <w:lang w:eastAsia="es-PE"/>
              </w:rPr>
            </w:pPr>
            <w:r w:rsidRPr="00606EFC">
              <w:rPr>
                <w:rFonts w:ascii="Calibri" w:eastAsia="Times New Roman" w:hAnsi="Calibri" w:cs="Times New Roman"/>
                <w:color w:val="000000"/>
                <w:sz w:val="20"/>
                <w:szCs w:val="20"/>
                <w:lang w:eastAsia="es-PE"/>
              </w:rPr>
              <w:t>* Contratación del servicio de evaluación estructural del inmueble ubicado en el Rímac para la eventual mudanza de la PCM</w:t>
            </w:r>
            <w:r w:rsidRPr="00606EFC">
              <w:rPr>
                <w:rFonts w:ascii="Calibri" w:eastAsia="Times New Roman" w:hAnsi="Calibri" w:cs="Times New Roman"/>
                <w:color w:val="000000"/>
                <w:sz w:val="20"/>
                <w:szCs w:val="20"/>
                <w:lang w:eastAsia="es-PE"/>
              </w:rPr>
              <w:br/>
              <w:t xml:space="preserve">* Convocatoria y buena </w:t>
            </w:r>
            <w:r w:rsidR="00515314" w:rsidRPr="00606EFC">
              <w:rPr>
                <w:rFonts w:ascii="Calibri" w:eastAsia="Times New Roman" w:hAnsi="Calibri" w:cs="Times New Roman"/>
                <w:color w:val="000000"/>
                <w:sz w:val="20"/>
                <w:szCs w:val="20"/>
                <w:lang w:eastAsia="es-PE"/>
              </w:rPr>
              <w:t>pro a</w:t>
            </w:r>
            <w:r w:rsidRPr="00606EFC">
              <w:rPr>
                <w:rFonts w:ascii="Calibri" w:eastAsia="Times New Roman" w:hAnsi="Calibri" w:cs="Times New Roman"/>
                <w:color w:val="000000"/>
                <w:sz w:val="20"/>
                <w:szCs w:val="20"/>
                <w:lang w:eastAsia="es-PE"/>
              </w:rPr>
              <w:t xml:space="preserve"> las empresas encargadas de desarrollar las consultorías para la elaboración del ROF de CONCYTEC y el lanzamiento de la nueva imagen institucional.</w:t>
            </w:r>
            <w:r w:rsidRPr="00606EFC">
              <w:rPr>
                <w:rFonts w:ascii="Calibri" w:eastAsia="Times New Roman" w:hAnsi="Calibri" w:cs="Times New Roman"/>
                <w:color w:val="000000"/>
                <w:sz w:val="20"/>
                <w:szCs w:val="20"/>
                <w:lang w:eastAsia="es-PE"/>
              </w:rPr>
              <w:br/>
              <w:t>* Contrato de servicios del personal encargado de la coordinación administrativa del proyecto hasta septiembre de 2012.</w:t>
            </w:r>
          </w:p>
        </w:tc>
      </w:tr>
    </w:tbl>
    <w:p w14:paraId="56C73A24" w14:textId="52D3D969" w:rsidR="00A717B9" w:rsidRDefault="00A717B9" w:rsidP="00A717B9">
      <w:pPr>
        <w:jc w:val="both"/>
      </w:pPr>
      <w:r w:rsidRPr="002F7E6E">
        <w:rPr>
          <w:sz w:val="20"/>
          <w:szCs w:val="20"/>
        </w:rPr>
        <w:t>Fuente</w:t>
      </w:r>
      <w:r w:rsidR="00515314" w:rsidRPr="002F7E6E">
        <w:rPr>
          <w:sz w:val="20"/>
          <w:szCs w:val="20"/>
        </w:rPr>
        <w:t>: Reportes</w:t>
      </w:r>
      <w:r w:rsidRPr="002F7E6E">
        <w:rPr>
          <w:sz w:val="20"/>
          <w:szCs w:val="20"/>
        </w:rPr>
        <w:t xml:space="preserve"> de la PCM a PNUD</w:t>
      </w:r>
    </w:p>
    <w:p w14:paraId="62F5C25B" w14:textId="2C7326B7" w:rsidR="003853A9" w:rsidRPr="00606EFC" w:rsidRDefault="003853A9">
      <w:pPr>
        <w:rPr>
          <w:sz w:val="24"/>
          <w:szCs w:val="24"/>
        </w:rPr>
      </w:pPr>
    </w:p>
    <w:p w14:paraId="51E3151F" w14:textId="78BDC74D" w:rsidR="003853A9" w:rsidRPr="00606EFC" w:rsidRDefault="00D66FB2" w:rsidP="00401478">
      <w:pPr>
        <w:jc w:val="center"/>
        <w:rPr>
          <w:b/>
          <w:sz w:val="24"/>
          <w:szCs w:val="24"/>
          <w:u w:val="single"/>
        </w:rPr>
      </w:pPr>
      <w:r w:rsidRPr="00606EFC">
        <w:rPr>
          <w:b/>
          <w:sz w:val="24"/>
          <w:szCs w:val="24"/>
          <w:u w:val="single"/>
        </w:rPr>
        <w:t xml:space="preserve">Resultado 3 (2013-2017): </w:t>
      </w:r>
      <w:r w:rsidR="00401478" w:rsidRPr="00606EFC">
        <w:rPr>
          <w:b/>
          <w:sz w:val="24"/>
          <w:szCs w:val="24"/>
          <w:u w:val="single"/>
        </w:rPr>
        <w:t>Modernización de la PCM en la mejora de las capacidades institucionales y en el uso de tecnologías de la información.</w:t>
      </w:r>
    </w:p>
    <w:p w14:paraId="365C0E3B" w14:textId="77777777" w:rsidR="00401478" w:rsidRPr="00606EFC" w:rsidRDefault="00401478" w:rsidP="00401478">
      <w:pPr>
        <w:jc w:val="center"/>
        <w:rPr>
          <w:sz w:val="24"/>
          <w:szCs w:val="24"/>
        </w:rPr>
      </w:pPr>
      <w:r w:rsidRPr="00606EFC">
        <w:rPr>
          <w:b/>
          <w:sz w:val="24"/>
          <w:szCs w:val="24"/>
          <w:u w:val="single"/>
        </w:rPr>
        <w:t>Actividades realizadas por año (componente coordinación interinstitucional)</w:t>
      </w:r>
    </w:p>
    <w:tbl>
      <w:tblPr>
        <w:tblW w:w="9498" w:type="dxa"/>
        <w:tblInd w:w="-497" w:type="dxa"/>
        <w:tblLayout w:type="fixed"/>
        <w:tblCellMar>
          <w:left w:w="70" w:type="dxa"/>
          <w:right w:w="70" w:type="dxa"/>
        </w:tblCellMar>
        <w:tblLook w:val="04A0" w:firstRow="1" w:lastRow="0" w:firstColumn="1" w:lastColumn="0" w:noHBand="0" w:noVBand="1"/>
      </w:tblPr>
      <w:tblGrid>
        <w:gridCol w:w="425"/>
        <w:gridCol w:w="1276"/>
        <w:gridCol w:w="1985"/>
        <w:gridCol w:w="2693"/>
        <w:gridCol w:w="1276"/>
        <w:gridCol w:w="1843"/>
      </w:tblGrid>
      <w:tr w:rsidR="00107C98" w:rsidRPr="00606EFC" w14:paraId="2E3DF962" w14:textId="77777777" w:rsidTr="00606EFC">
        <w:trPr>
          <w:trHeight w:val="73"/>
        </w:trPr>
        <w:tc>
          <w:tcPr>
            <w:tcW w:w="425" w:type="dxa"/>
            <w:tcBorders>
              <w:top w:val="single" w:sz="4" w:space="0" w:color="auto"/>
              <w:left w:val="single" w:sz="4" w:space="0" w:color="auto"/>
              <w:right w:val="single" w:sz="4" w:space="0" w:color="auto"/>
            </w:tcBorders>
            <w:shd w:val="clear" w:color="auto" w:fill="auto"/>
            <w:hideMark/>
          </w:tcPr>
          <w:p w14:paraId="07F6B0C1" w14:textId="456975FC" w:rsidR="00107C98" w:rsidRPr="00606EFC" w:rsidRDefault="00606EFC" w:rsidP="00107C98">
            <w:pPr>
              <w:spacing w:after="0" w:line="240" w:lineRule="auto"/>
              <w:rPr>
                <w:rFonts w:ascii="Calibri" w:eastAsia="Times New Roman" w:hAnsi="Calibri" w:cs="Times New Roman"/>
                <w:b/>
                <w:bCs/>
                <w:color w:val="000000"/>
                <w:sz w:val="20"/>
                <w:szCs w:val="20"/>
                <w:lang w:eastAsia="es-PE"/>
              </w:rPr>
            </w:pPr>
            <w:proofErr w:type="spellStart"/>
            <w:r w:rsidRPr="00606EFC">
              <w:rPr>
                <w:rFonts w:ascii="Calibri" w:eastAsia="Times New Roman" w:hAnsi="Calibri" w:cs="Times New Roman"/>
                <w:b/>
                <w:bCs/>
                <w:color w:val="000000"/>
                <w:sz w:val="20"/>
                <w:szCs w:val="20"/>
                <w:lang w:eastAsia="es-PE"/>
              </w:rPr>
              <w:t>N°</w:t>
            </w:r>
            <w:proofErr w:type="spellEnd"/>
          </w:p>
        </w:tc>
        <w:tc>
          <w:tcPr>
            <w:tcW w:w="1276" w:type="dxa"/>
            <w:tcBorders>
              <w:top w:val="single" w:sz="4" w:space="0" w:color="auto"/>
              <w:left w:val="nil"/>
              <w:right w:val="single" w:sz="4" w:space="0" w:color="auto"/>
            </w:tcBorders>
            <w:shd w:val="clear" w:color="auto" w:fill="auto"/>
            <w:hideMark/>
          </w:tcPr>
          <w:p w14:paraId="1DE78BEC" w14:textId="3236B412" w:rsidR="00107C98" w:rsidRPr="00606EFC" w:rsidRDefault="00107C98" w:rsidP="00107C98">
            <w:pPr>
              <w:spacing w:after="0" w:line="240" w:lineRule="auto"/>
              <w:rPr>
                <w:rFonts w:ascii="Calibri" w:eastAsia="Times New Roman" w:hAnsi="Calibri" w:cs="Times New Roman"/>
                <w:b/>
                <w:bCs/>
                <w:color w:val="000000"/>
                <w:sz w:val="20"/>
                <w:szCs w:val="20"/>
                <w:lang w:eastAsia="es-PE"/>
              </w:rPr>
            </w:pPr>
            <w:r w:rsidRPr="00606EFC">
              <w:rPr>
                <w:rFonts w:ascii="Calibri" w:eastAsia="Times New Roman" w:hAnsi="Calibri" w:cs="Times New Roman"/>
                <w:b/>
                <w:bCs/>
                <w:color w:val="000000"/>
                <w:sz w:val="20"/>
                <w:szCs w:val="20"/>
                <w:lang w:eastAsia="es-PE"/>
              </w:rPr>
              <w:t xml:space="preserve">Actividad / </w:t>
            </w:r>
          </w:p>
        </w:tc>
        <w:tc>
          <w:tcPr>
            <w:tcW w:w="7797" w:type="dxa"/>
            <w:gridSpan w:val="4"/>
            <w:tcBorders>
              <w:top w:val="single" w:sz="4" w:space="0" w:color="auto"/>
              <w:left w:val="nil"/>
              <w:bottom w:val="single" w:sz="4" w:space="0" w:color="auto"/>
              <w:right w:val="single" w:sz="4" w:space="0" w:color="auto"/>
            </w:tcBorders>
            <w:shd w:val="clear" w:color="auto" w:fill="auto"/>
          </w:tcPr>
          <w:p w14:paraId="56BD10E5" w14:textId="77A6D8B3" w:rsidR="00107C98" w:rsidRPr="00606EFC" w:rsidRDefault="00107C98" w:rsidP="00107C98">
            <w:pPr>
              <w:spacing w:after="0" w:line="240" w:lineRule="auto"/>
              <w:rPr>
                <w:rFonts w:ascii="Calibri" w:eastAsia="Times New Roman" w:hAnsi="Calibri" w:cs="Times New Roman"/>
                <w:b/>
                <w:bCs/>
                <w:color w:val="000000"/>
                <w:sz w:val="20"/>
                <w:szCs w:val="20"/>
                <w:lang w:eastAsia="es-PE"/>
              </w:rPr>
            </w:pPr>
            <w:r w:rsidRPr="00606EFC">
              <w:rPr>
                <w:rFonts w:ascii="Calibri" w:eastAsia="Times New Roman" w:hAnsi="Calibri" w:cs="Times New Roman"/>
                <w:b/>
                <w:bCs/>
                <w:color w:val="000000"/>
                <w:sz w:val="20"/>
                <w:szCs w:val="20"/>
                <w:lang w:eastAsia="es-PE"/>
              </w:rPr>
              <w:t>Cumplimiento por año</w:t>
            </w:r>
          </w:p>
        </w:tc>
      </w:tr>
      <w:tr w:rsidR="00107C98" w:rsidRPr="00606EFC" w14:paraId="1FAF7FBB" w14:textId="77777777" w:rsidTr="00606EFC">
        <w:trPr>
          <w:trHeight w:val="147"/>
        </w:trPr>
        <w:tc>
          <w:tcPr>
            <w:tcW w:w="425" w:type="dxa"/>
            <w:tcBorders>
              <w:left w:val="single" w:sz="4" w:space="0" w:color="auto"/>
              <w:bottom w:val="single" w:sz="4" w:space="0" w:color="auto"/>
              <w:right w:val="single" w:sz="4" w:space="0" w:color="auto"/>
            </w:tcBorders>
            <w:shd w:val="clear" w:color="auto" w:fill="auto"/>
          </w:tcPr>
          <w:p w14:paraId="46F570E2" w14:textId="77777777" w:rsidR="00107C98" w:rsidRPr="00606EFC" w:rsidRDefault="00107C98" w:rsidP="00107C98">
            <w:pPr>
              <w:spacing w:after="0" w:line="240" w:lineRule="auto"/>
              <w:rPr>
                <w:rFonts w:ascii="Calibri" w:eastAsia="Times New Roman" w:hAnsi="Calibri" w:cs="Times New Roman"/>
                <w:b/>
                <w:bCs/>
                <w:color w:val="000000"/>
                <w:sz w:val="20"/>
                <w:szCs w:val="20"/>
                <w:lang w:eastAsia="es-PE"/>
              </w:rPr>
            </w:pPr>
          </w:p>
        </w:tc>
        <w:tc>
          <w:tcPr>
            <w:tcW w:w="1276" w:type="dxa"/>
            <w:tcBorders>
              <w:left w:val="nil"/>
              <w:bottom w:val="single" w:sz="4" w:space="0" w:color="auto"/>
              <w:right w:val="single" w:sz="4" w:space="0" w:color="auto"/>
            </w:tcBorders>
            <w:shd w:val="clear" w:color="auto" w:fill="auto"/>
          </w:tcPr>
          <w:p w14:paraId="50F8652B" w14:textId="77777777" w:rsidR="00107C98" w:rsidRPr="00606EFC" w:rsidRDefault="00107C98" w:rsidP="00107C98">
            <w:pPr>
              <w:spacing w:after="0" w:line="240" w:lineRule="auto"/>
              <w:rPr>
                <w:rFonts w:ascii="Calibri" w:eastAsia="Times New Roman" w:hAnsi="Calibri" w:cs="Times New Roman"/>
                <w:b/>
                <w:bCs/>
                <w:color w:val="000000"/>
                <w:sz w:val="20"/>
                <w:szCs w:val="20"/>
                <w:lang w:eastAsia="es-PE"/>
              </w:rPr>
            </w:pPr>
          </w:p>
        </w:tc>
        <w:tc>
          <w:tcPr>
            <w:tcW w:w="1985" w:type="dxa"/>
            <w:tcBorders>
              <w:top w:val="single" w:sz="4" w:space="0" w:color="auto"/>
              <w:left w:val="nil"/>
              <w:bottom w:val="single" w:sz="4" w:space="0" w:color="auto"/>
              <w:right w:val="single" w:sz="4" w:space="0" w:color="auto"/>
            </w:tcBorders>
            <w:shd w:val="clear" w:color="auto" w:fill="auto"/>
          </w:tcPr>
          <w:p w14:paraId="644DFF01" w14:textId="1823B56C" w:rsidR="00107C98" w:rsidRPr="00606EFC" w:rsidRDefault="00107C98" w:rsidP="00107C98">
            <w:pPr>
              <w:spacing w:after="0" w:line="240" w:lineRule="auto"/>
              <w:rPr>
                <w:rFonts w:ascii="Calibri" w:eastAsia="Times New Roman" w:hAnsi="Calibri" w:cs="Times New Roman"/>
                <w:b/>
                <w:bCs/>
                <w:color w:val="000000"/>
                <w:sz w:val="20"/>
                <w:szCs w:val="20"/>
                <w:lang w:eastAsia="es-PE"/>
              </w:rPr>
            </w:pPr>
            <w:r w:rsidRPr="00606EFC">
              <w:rPr>
                <w:rFonts w:ascii="Calibri" w:eastAsia="Times New Roman" w:hAnsi="Calibri" w:cs="Times New Roman"/>
                <w:b/>
                <w:bCs/>
                <w:color w:val="000000"/>
                <w:sz w:val="20"/>
                <w:szCs w:val="20"/>
                <w:lang w:eastAsia="es-PE"/>
              </w:rPr>
              <w:t>2013</w:t>
            </w:r>
          </w:p>
        </w:tc>
        <w:tc>
          <w:tcPr>
            <w:tcW w:w="2693" w:type="dxa"/>
            <w:tcBorders>
              <w:top w:val="single" w:sz="4" w:space="0" w:color="auto"/>
              <w:left w:val="nil"/>
              <w:bottom w:val="single" w:sz="4" w:space="0" w:color="auto"/>
              <w:right w:val="single" w:sz="4" w:space="0" w:color="auto"/>
            </w:tcBorders>
            <w:shd w:val="clear" w:color="auto" w:fill="auto"/>
          </w:tcPr>
          <w:p w14:paraId="1F3CC825" w14:textId="2CF3AF53" w:rsidR="00107C98" w:rsidRPr="00606EFC" w:rsidRDefault="00107C98" w:rsidP="00107C98">
            <w:pPr>
              <w:spacing w:after="0" w:line="240" w:lineRule="auto"/>
              <w:rPr>
                <w:rFonts w:ascii="Calibri" w:eastAsia="Times New Roman" w:hAnsi="Calibri" w:cs="Times New Roman"/>
                <w:b/>
                <w:bCs/>
                <w:color w:val="000000"/>
                <w:sz w:val="20"/>
                <w:szCs w:val="20"/>
                <w:lang w:eastAsia="es-PE"/>
              </w:rPr>
            </w:pPr>
            <w:r w:rsidRPr="00606EFC">
              <w:rPr>
                <w:rFonts w:ascii="Calibri" w:eastAsia="Times New Roman" w:hAnsi="Calibri" w:cs="Times New Roman"/>
                <w:b/>
                <w:bCs/>
                <w:color w:val="000000"/>
                <w:sz w:val="20"/>
                <w:szCs w:val="20"/>
                <w:lang w:eastAsia="es-PE"/>
              </w:rPr>
              <w:t>2014</w:t>
            </w:r>
          </w:p>
        </w:tc>
        <w:tc>
          <w:tcPr>
            <w:tcW w:w="1276" w:type="dxa"/>
            <w:tcBorders>
              <w:top w:val="single" w:sz="4" w:space="0" w:color="auto"/>
              <w:left w:val="nil"/>
              <w:bottom w:val="single" w:sz="4" w:space="0" w:color="auto"/>
              <w:right w:val="single" w:sz="4" w:space="0" w:color="auto"/>
            </w:tcBorders>
            <w:shd w:val="clear" w:color="auto" w:fill="auto"/>
          </w:tcPr>
          <w:p w14:paraId="79D6F3CD" w14:textId="1B99DABF" w:rsidR="00107C98" w:rsidRPr="00606EFC" w:rsidRDefault="00107C98" w:rsidP="00107C98">
            <w:pPr>
              <w:spacing w:after="0" w:line="240" w:lineRule="auto"/>
              <w:rPr>
                <w:rFonts w:ascii="Calibri" w:eastAsia="Times New Roman" w:hAnsi="Calibri" w:cs="Times New Roman"/>
                <w:b/>
                <w:bCs/>
                <w:color w:val="000000"/>
                <w:sz w:val="20"/>
                <w:szCs w:val="20"/>
                <w:lang w:eastAsia="es-PE"/>
              </w:rPr>
            </w:pPr>
            <w:r w:rsidRPr="00606EFC">
              <w:rPr>
                <w:rFonts w:ascii="Calibri" w:eastAsia="Times New Roman" w:hAnsi="Calibri" w:cs="Times New Roman"/>
                <w:b/>
                <w:bCs/>
                <w:color w:val="000000"/>
                <w:sz w:val="20"/>
                <w:szCs w:val="20"/>
                <w:lang w:eastAsia="es-PE"/>
              </w:rPr>
              <w:t>2015</w:t>
            </w:r>
          </w:p>
        </w:tc>
        <w:tc>
          <w:tcPr>
            <w:tcW w:w="1843" w:type="dxa"/>
            <w:tcBorders>
              <w:top w:val="single" w:sz="4" w:space="0" w:color="auto"/>
              <w:left w:val="nil"/>
              <w:bottom w:val="single" w:sz="4" w:space="0" w:color="auto"/>
              <w:right w:val="single" w:sz="4" w:space="0" w:color="auto"/>
            </w:tcBorders>
            <w:shd w:val="clear" w:color="auto" w:fill="auto"/>
          </w:tcPr>
          <w:p w14:paraId="465400CD" w14:textId="786991D2" w:rsidR="00107C98" w:rsidRPr="00606EFC" w:rsidRDefault="00107C98" w:rsidP="00107C98">
            <w:pPr>
              <w:spacing w:after="0" w:line="240" w:lineRule="auto"/>
              <w:rPr>
                <w:rFonts w:ascii="Calibri" w:eastAsia="Times New Roman" w:hAnsi="Calibri" w:cs="Times New Roman"/>
                <w:b/>
                <w:bCs/>
                <w:color w:val="000000"/>
                <w:sz w:val="20"/>
                <w:szCs w:val="20"/>
                <w:lang w:eastAsia="es-PE"/>
              </w:rPr>
            </w:pPr>
            <w:r w:rsidRPr="00606EFC">
              <w:rPr>
                <w:rFonts w:ascii="Calibri" w:eastAsia="Times New Roman" w:hAnsi="Calibri" w:cs="Times New Roman"/>
                <w:b/>
                <w:bCs/>
                <w:color w:val="000000"/>
                <w:sz w:val="20"/>
                <w:szCs w:val="20"/>
                <w:lang w:eastAsia="es-PE"/>
              </w:rPr>
              <w:t>2016</w:t>
            </w:r>
          </w:p>
        </w:tc>
      </w:tr>
      <w:tr w:rsidR="00107C98" w:rsidRPr="00606EFC" w14:paraId="1E2460C2" w14:textId="77777777" w:rsidTr="00606EFC">
        <w:trPr>
          <w:trHeight w:val="3251"/>
        </w:trPr>
        <w:tc>
          <w:tcPr>
            <w:tcW w:w="425" w:type="dxa"/>
            <w:tcBorders>
              <w:top w:val="nil"/>
              <w:left w:val="single" w:sz="4" w:space="0" w:color="auto"/>
              <w:bottom w:val="single" w:sz="4" w:space="0" w:color="auto"/>
              <w:right w:val="single" w:sz="4" w:space="0" w:color="auto"/>
            </w:tcBorders>
            <w:shd w:val="clear" w:color="auto" w:fill="auto"/>
            <w:hideMark/>
          </w:tcPr>
          <w:p w14:paraId="1A94F66D" w14:textId="77777777" w:rsidR="00107C98" w:rsidRPr="00606EFC" w:rsidRDefault="00107C98" w:rsidP="00107C98">
            <w:pPr>
              <w:spacing w:after="0" w:line="240" w:lineRule="auto"/>
              <w:rPr>
                <w:rFonts w:ascii="Calibri" w:eastAsia="Times New Roman" w:hAnsi="Calibri" w:cs="Times New Roman"/>
                <w:color w:val="000000"/>
                <w:sz w:val="20"/>
                <w:szCs w:val="20"/>
                <w:lang w:eastAsia="es-PE"/>
              </w:rPr>
            </w:pPr>
            <w:r w:rsidRPr="00606EFC">
              <w:rPr>
                <w:rFonts w:ascii="Calibri" w:eastAsia="Times New Roman" w:hAnsi="Calibri" w:cs="Times New Roman"/>
                <w:color w:val="000000"/>
                <w:sz w:val="20"/>
                <w:szCs w:val="20"/>
                <w:lang w:eastAsia="es-PE"/>
              </w:rPr>
              <w:t>3.2</w:t>
            </w:r>
          </w:p>
        </w:tc>
        <w:tc>
          <w:tcPr>
            <w:tcW w:w="1276" w:type="dxa"/>
            <w:tcBorders>
              <w:top w:val="nil"/>
              <w:left w:val="nil"/>
              <w:bottom w:val="single" w:sz="4" w:space="0" w:color="auto"/>
              <w:right w:val="single" w:sz="4" w:space="0" w:color="auto"/>
            </w:tcBorders>
            <w:shd w:val="clear" w:color="auto" w:fill="auto"/>
            <w:hideMark/>
          </w:tcPr>
          <w:p w14:paraId="5FBE748F" w14:textId="77777777" w:rsidR="00107C98" w:rsidRPr="00606EFC" w:rsidRDefault="00107C98" w:rsidP="00107C98">
            <w:pPr>
              <w:spacing w:after="0" w:line="240" w:lineRule="auto"/>
              <w:rPr>
                <w:rFonts w:ascii="Calibri" w:eastAsia="Times New Roman" w:hAnsi="Calibri" w:cs="Times New Roman"/>
                <w:bCs/>
                <w:color w:val="000000"/>
                <w:sz w:val="20"/>
                <w:szCs w:val="20"/>
                <w:lang w:eastAsia="es-PE"/>
              </w:rPr>
            </w:pPr>
            <w:r w:rsidRPr="00606EFC">
              <w:rPr>
                <w:rFonts w:ascii="Calibri" w:eastAsia="Times New Roman" w:hAnsi="Calibri" w:cs="Times New Roman"/>
                <w:bCs/>
                <w:color w:val="000000"/>
                <w:sz w:val="20"/>
                <w:szCs w:val="20"/>
                <w:lang w:eastAsia="es-PE"/>
              </w:rPr>
              <w:t>Apoyar en el desarrollo de las coordinaciones interinstitucionales de la PCM</w:t>
            </w:r>
          </w:p>
        </w:tc>
        <w:tc>
          <w:tcPr>
            <w:tcW w:w="1985" w:type="dxa"/>
            <w:tcBorders>
              <w:top w:val="nil"/>
              <w:left w:val="nil"/>
              <w:bottom w:val="single" w:sz="4" w:space="0" w:color="auto"/>
              <w:right w:val="single" w:sz="4" w:space="0" w:color="auto"/>
            </w:tcBorders>
            <w:shd w:val="clear" w:color="auto" w:fill="auto"/>
            <w:hideMark/>
          </w:tcPr>
          <w:p w14:paraId="288A7E4C" w14:textId="77777777" w:rsidR="00107C98" w:rsidRPr="00606EFC" w:rsidRDefault="00107C98" w:rsidP="00107C98">
            <w:pPr>
              <w:spacing w:after="0" w:line="240" w:lineRule="auto"/>
              <w:rPr>
                <w:rFonts w:ascii="Calibri" w:eastAsia="Times New Roman" w:hAnsi="Calibri" w:cs="Times New Roman"/>
                <w:color w:val="000000"/>
                <w:sz w:val="20"/>
                <w:szCs w:val="20"/>
                <w:lang w:eastAsia="es-PE"/>
              </w:rPr>
            </w:pPr>
            <w:r w:rsidRPr="00606EFC">
              <w:rPr>
                <w:rFonts w:ascii="Calibri" w:eastAsia="Times New Roman" w:hAnsi="Calibri" w:cs="Times New Roman"/>
                <w:color w:val="000000"/>
                <w:sz w:val="20"/>
                <w:szCs w:val="20"/>
                <w:lang w:eastAsia="es-PE"/>
              </w:rPr>
              <w:t>* (Proceso) Relevamiento, modelamiento y documentación de procesos de las unidades orgánicas de la PCM a fin de brindar una propuesta acotada del manual de procesos y procedimientos de ocho unidades orgánicas de la PCM.</w:t>
            </w:r>
            <w:r w:rsidRPr="00606EFC">
              <w:rPr>
                <w:rFonts w:ascii="Calibri" w:eastAsia="Times New Roman" w:hAnsi="Calibri" w:cs="Times New Roman"/>
                <w:color w:val="000000"/>
                <w:sz w:val="20"/>
                <w:szCs w:val="20"/>
                <w:lang w:eastAsia="es-PE"/>
              </w:rPr>
              <w:br/>
              <w:t>* Implementación de aplicativo informático Sistema de Gestión Normativa (SIGEN) para mejorar el control, seguimiento y sistematización de los proyectos normativos de la PCM.</w:t>
            </w:r>
            <w:r w:rsidRPr="00606EFC">
              <w:rPr>
                <w:rFonts w:ascii="Calibri" w:eastAsia="Times New Roman" w:hAnsi="Calibri" w:cs="Times New Roman"/>
                <w:color w:val="000000"/>
                <w:sz w:val="20"/>
                <w:szCs w:val="20"/>
                <w:lang w:eastAsia="es-PE"/>
              </w:rPr>
              <w:br/>
              <w:t>* Consultorías que brindaron asesoramiento en temas técnicos asociadas a las políticas priorizadas por PCM.</w:t>
            </w:r>
          </w:p>
        </w:tc>
        <w:tc>
          <w:tcPr>
            <w:tcW w:w="2693" w:type="dxa"/>
            <w:tcBorders>
              <w:top w:val="nil"/>
              <w:left w:val="nil"/>
              <w:bottom w:val="single" w:sz="4" w:space="0" w:color="auto"/>
              <w:right w:val="single" w:sz="4" w:space="0" w:color="auto"/>
            </w:tcBorders>
            <w:shd w:val="clear" w:color="auto" w:fill="auto"/>
            <w:hideMark/>
          </w:tcPr>
          <w:p w14:paraId="641BF61C" w14:textId="0BA9FB4A" w:rsidR="00107C98" w:rsidRPr="00606EFC" w:rsidRDefault="00107C98" w:rsidP="00107C98">
            <w:pPr>
              <w:spacing w:after="0" w:line="240" w:lineRule="auto"/>
              <w:rPr>
                <w:rFonts w:ascii="Calibri" w:eastAsia="Times New Roman" w:hAnsi="Calibri" w:cs="Times New Roman"/>
                <w:color w:val="000000"/>
                <w:sz w:val="20"/>
                <w:szCs w:val="20"/>
                <w:lang w:eastAsia="es-PE"/>
              </w:rPr>
            </w:pPr>
            <w:r w:rsidRPr="00606EFC">
              <w:rPr>
                <w:rFonts w:ascii="Calibri" w:eastAsia="Times New Roman" w:hAnsi="Calibri" w:cs="Times New Roman"/>
                <w:color w:val="000000"/>
                <w:sz w:val="20"/>
                <w:szCs w:val="20"/>
                <w:lang w:eastAsia="es-PE"/>
              </w:rPr>
              <w:t>* Elaboración del catálogo de servicios en línea de las entidades que conforman el Poder Legislativo, Judicial, Organismos Constitucionalmente Autónomos y Ejecutivo para identificar servicios que viene desarrollando la Administración Pública y clasificarlos según su nivel de interacción con el ciudadano.</w:t>
            </w:r>
            <w:r w:rsidRPr="00606EFC">
              <w:rPr>
                <w:rFonts w:ascii="Calibri" w:eastAsia="Times New Roman" w:hAnsi="Calibri" w:cs="Times New Roman"/>
                <w:color w:val="000000"/>
                <w:sz w:val="20"/>
                <w:szCs w:val="20"/>
                <w:lang w:eastAsia="es-PE"/>
              </w:rPr>
              <w:br/>
              <w:t>* Elaboración de una propuesta de mejora del proceso de autorización de viajes al Exterior de funcionarios.</w:t>
            </w:r>
            <w:r w:rsidRPr="00606EFC">
              <w:rPr>
                <w:rFonts w:ascii="Calibri" w:eastAsia="Times New Roman" w:hAnsi="Calibri" w:cs="Times New Roman"/>
                <w:color w:val="000000"/>
                <w:sz w:val="20"/>
                <w:szCs w:val="20"/>
                <w:lang w:eastAsia="es-PE"/>
              </w:rPr>
              <w:br/>
              <w:t xml:space="preserve">* Taller de </w:t>
            </w:r>
            <w:r w:rsidRPr="00606EFC">
              <w:rPr>
                <w:rFonts w:ascii="Calibri" w:eastAsia="Times New Roman" w:hAnsi="Calibri" w:cs="Times New Roman"/>
                <w:i/>
                <w:iCs/>
                <w:color w:val="000000"/>
                <w:sz w:val="20"/>
                <w:szCs w:val="20"/>
                <w:lang w:eastAsia="es-PE"/>
              </w:rPr>
              <w:t>media training</w:t>
            </w:r>
            <w:r w:rsidRPr="00606EFC">
              <w:rPr>
                <w:rFonts w:ascii="Calibri" w:eastAsia="Times New Roman" w:hAnsi="Calibri" w:cs="Times New Roman"/>
                <w:color w:val="000000"/>
                <w:sz w:val="20"/>
                <w:szCs w:val="20"/>
                <w:lang w:eastAsia="es-PE"/>
              </w:rPr>
              <w:t xml:space="preserve"> para los ministros para el </w:t>
            </w:r>
            <w:r w:rsidR="00515314" w:rsidRPr="00606EFC">
              <w:rPr>
                <w:rFonts w:ascii="Calibri" w:eastAsia="Times New Roman" w:hAnsi="Calibri" w:cs="Times New Roman"/>
                <w:color w:val="000000"/>
                <w:sz w:val="20"/>
                <w:szCs w:val="20"/>
                <w:lang w:eastAsia="es-PE"/>
              </w:rPr>
              <w:t>desarrollo e</w:t>
            </w:r>
            <w:r w:rsidRPr="00606EFC">
              <w:rPr>
                <w:rFonts w:ascii="Calibri" w:eastAsia="Times New Roman" w:hAnsi="Calibri" w:cs="Times New Roman"/>
                <w:color w:val="000000"/>
                <w:sz w:val="20"/>
                <w:szCs w:val="20"/>
                <w:lang w:eastAsia="es-PE"/>
              </w:rPr>
              <w:t xml:space="preserve"> implementación de estrategias de comunicación.</w:t>
            </w:r>
            <w:r w:rsidRPr="00606EFC">
              <w:rPr>
                <w:rFonts w:ascii="Calibri" w:eastAsia="Times New Roman" w:hAnsi="Calibri" w:cs="Times New Roman"/>
                <w:color w:val="000000"/>
                <w:sz w:val="20"/>
                <w:szCs w:val="20"/>
                <w:lang w:eastAsia="es-PE"/>
              </w:rPr>
              <w:br/>
              <w:t>* Elaboración de estrategia de comunicación para difundir las actividades de la PCM.</w:t>
            </w:r>
            <w:r w:rsidRPr="00606EFC">
              <w:rPr>
                <w:rFonts w:ascii="Calibri" w:eastAsia="Times New Roman" w:hAnsi="Calibri" w:cs="Times New Roman"/>
                <w:color w:val="000000"/>
                <w:sz w:val="20"/>
                <w:szCs w:val="20"/>
                <w:lang w:eastAsia="es-PE"/>
              </w:rPr>
              <w:br/>
              <w:t>* Consultorías que brindaron asesoramiento en temas técnicos asociadas a las políticas priorizadas por PCM.</w:t>
            </w:r>
          </w:p>
        </w:tc>
        <w:tc>
          <w:tcPr>
            <w:tcW w:w="1276" w:type="dxa"/>
            <w:tcBorders>
              <w:top w:val="nil"/>
              <w:left w:val="nil"/>
              <w:bottom w:val="single" w:sz="4" w:space="0" w:color="auto"/>
              <w:right w:val="single" w:sz="4" w:space="0" w:color="auto"/>
            </w:tcBorders>
            <w:shd w:val="clear" w:color="auto" w:fill="auto"/>
            <w:hideMark/>
          </w:tcPr>
          <w:p w14:paraId="1FBD7B79" w14:textId="77777777" w:rsidR="00107C98" w:rsidRPr="00606EFC" w:rsidRDefault="00107C98" w:rsidP="00107C98">
            <w:pPr>
              <w:spacing w:after="0" w:line="240" w:lineRule="auto"/>
              <w:rPr>
                <w:rFonts w:ascii="Calibri" w:eastAsia="Times New Roman" w:hAnsi="Calibri" w:cs="Times New Roman"/>
                <w:color w:val="000000"/>
                <w:sz w:val="20"/>
                <w:szCs w:val="20"/>
                <w:lang w:eastAsia="es-PE"/>
              </w:rPr>
            </w:pPr>
            <w:r w:rsidRPr="00606EFC">
              <w:rPr>
                <w:rFonts w:ascii="Calibri" w:eastAsia="Times New Roman" w:hAnsi="Calibri" w:cs="Times New Roman"/>
                <w:color w:val="000000"/>
                <w:sz w:val="20"/>
                <w:szCs w:val="20"/>
                <w:lang w:eastAsia="es-PE"/>
              </w:rPr>
              <w:t>* Contratación de consultor para la elaboración de un documento de intervenciones prioritarias en materia de modernización, descentralización, gobierno electrónico e inversión pública y privada del gobierno nacional y regional. Avance del 40% en 2015.</w:t>
            </w:r>
            <w:r w:rsidRPr="00606EFC">
              <w:rPr>
                <w:rFonts w:ascii="Calibri" w:eastAsia="Times New Roman" w:hAnsi="Calibri" w:cs="Times New Roman"/>
                <w:color w:val="000000"/>
                <w:sz w:val="20"/>
                <w:szCs w:val="20"/>
                <w:lang w:eastAsia="es-PE"/>
              </w:rPr>
              <w:br/>
              <w:t>* Realización del XX Congreso del CLAD.</w:t>
            </w:r>
          </w:p>
        </w:tc>
        <w:tc>
          <w:tcPr>
            <w:tcW w:w="1843" w:type="dxa"/>
            <w:tcBorders>
              <w:top w:val="nil"/>
              <w:left w:val="nil"/>
              <w:bottom w:val="single" w:sz="4" w:space="0" w:color="auto"/>
              <w:right w:val="single" w:sz="4" w:space="0" w:color="auto"/>
            </w:tcBorders>
            <w:shd w:val="clear" w:color="auto" w:fill="auto"/>
            <w:hideMark/>
          </w:tcPr>
          <w:p w14:paraId="433688A1" w14:textId="77777777" w:rsidR="00107C98" w:rsidRPr="00606EFC" w:rsidRDefault="00107C98" w:rsidP="00107C98">
            <w:pPr>
              <w:spacing w:after="0" w:line="240" w:lineRule="auto"/>
              <w:rPr>
                <w:rFonts w:ascii="Calibri" w:eastAsia="Times New Roman" w:hAnsi="Calibri" w:cs="Times New Roman"/>
                <w:color w:val="000000"/>
                <w:sz w:val="20"/>
                <w:szCs w:val="20"/>
                <w:lang w:eastAsia="es-PE"/>
              </w:rPr>
            </w:pPr>
            <w:r w:rsidRPr="00606EFC">
              <w:rPr>
                <w:rFonts w:ascii="Calibri" w:eastAsia="Times New Roman" w:hAnsi="Calibri" w:cs="Times New Roman"/>
                <w:color w:val="000000"/>
                <w:sz w:val="20"/>
                <w:szCs w:val="20"/>
                <w:lang w:eastAsia="es-PE"/>
              </w:rPr>
              <w:t>* Se presentó el documento final con la agenda de intervenciones priorizadas en materia de descentralización y modernización, con una propuesta conceptual del seguimiento realizado a fin de dar sostenibilidad de las intervenciones.</w:t>
            </w:r>
            <w:r w:rsidRPr="00606EFC">
              <w:rPr>
                <w:rFonts w:ascii="Calibri" w:eastAsia="Times New Roman" w:hAnsi="Calibri" w:cs="Times New Roman"/>
                <w:color w:val="000000"/>
                <w:sz w:val="20"/>
                <w:szCs w:val="20"/>
                <w:lang w:eastAsia="es-PE"/>
              </w:rPr>
              <w:br/>
              <w:t>* Se realizó el pago total de LOA por la asistencia técnica brindada por PNUD para la realización del CLAD, realizado el año 2015.</w:t>
            </w:r>
            <w:r w:rsidRPr="00606EFC">
              <w:rPr>
                <w:rFonts w:ascii="Calibri" w:eastAsia="Times New Roman" w:hAnsi="Calibri" w:cs="Times New Roman"/>
                <w:color w:val="000000"/>
                <w:sz w:val="20"/>
                <w:szCs w:val="20"/>
                <w:lang w:eastAsia="es-PE"/>
              </w:rPr>
              <w:br/>
              <w:t>* Se realizó la primera Reunión Institucional de Gobernadores Regionales y el Gobierno Nacional.</w:t>
            </w:r>
          </w:p>
        </w:tc>
      </w:tr>
    </w:tbl>
    <w:p w14:paraId="340E5D48" w14:textId="6543DE51" w:rsidR="00A717B9" w:rsidRDefault="00A717B9" w:rsidP="00A717B9">
      <w:pPr>
        <w:jc w:val="both"/>
      </w:pPr>
      <w:r w:rsidRPr="002F7E6E">
        <w:rPr>
          <w:sz w:val="20"/>
          <w:szCs w:val="20"/>
        </w:rPr>
        <w:t>Fuente</w:t>
      </w:r>
      <w:r w:rsidR="00515314" w:rsidRPr="002F7E6E">
        <w:rPr>
          <w:sz w:val="20"/>
          <w:szCs w:val="20"/>
        </w:rPr>
        <w:t>: Reportes</w:t>
      </w:r>
      <w:r w:rsidRPr="002F7E6E">
        <w:rPr>
          <w:sz w:val="20"/>
          <w:szCs w:val="20"/>
        </w:rPr>
        <w:t xml:space="preserve"> de la PCM a PNUD</w:t>
      </w:r>
    </w:p>
    <w:p w14:paraId="45EF4A00" w14:textId="77777777" w:rsidR="003853A9" w:rsidRPr="00606EFC" w:rsidRDefault="003853A9" w:rsidP="006D3218">
      <w:pPr>
        <w:jc w:val="both"/>
        <w:rPr>
          <w:sz w:val="24"/>
          <w:szCs w:val="24"/>
        </w:rPr>
      </w:pPr>
    </w:p>
    <w:p w14:paraId="37A1174B" w14:textId="763A9F21" w:rsidR="0054628B" w:rsidRPr="00606EFC" w:rsidRDefault="00662A4D" w:rsidP="0054628B">
      <w:pPr>
        <w:jc w:val="both"/>
        <w:rPr>
          <w:sz w:val="24"/>
          <w:szCs w:val="24"/>
        </w:rPr>
      </w:pPr>
      <w:r w:rsidRPr="00606EFC">
        <w:rPr>
          <w:sz w:val="24"/>
          <w:szCs w:val="24"/>
        </w:rPr>
        <w:t>Con el cambio de gobierno, d</w:t>
      </w:r>
      <w:r w:rsidR="0054628B" w:rsidRPr="00606EFC">
        <w:rPr>
          <w:sz w:val="24"/>
          <w:szCs w:val="24"/>
        </w:rPr>
        <w:t xml:space="preserve">esde 2016, el proyecto ha apoyado la organización de los GORE Ejecutivo con gobiernos regionales y MUNI Ejecutivo con gobiernos municipales. Además de la realización misma de los encuentros, los GORE cuentan con un sistema de seguimiento que permite conocer los avances en la implementación de compromisos </w:t>
      </w:r>
      <w:r w:rsidR="00606EFC">
        <w:rPr>
          <w:sz w:val="24"/>
          <w:szCs w:val="24"/>
        </w:rPr>
        <w:t>que asumen Ministros y Gobernadores o Alcaldes</w:t>
      </w:r>
      <w:r w:rsidR="0054628B" w:rsidRPr="00606EFC">
        <w:rPr>
          <w:sz w:val="24"/>
          <w:szCs w:val="24"/>
        </w:rPr>
        <w:t>. Hasta 2017, los GORE mostraban alta proactividad: 3</w:t>
      </w:r>
      <w:r w:rsidR="00606EFC">
        <w:rPr>
          <w:sz w:val="24"/>
          <w:szCs w:val="24"/>
        </w:rPr>
        <w:t>,</w:t>
      </w:r>
      <w:r w:rsidR="0054628B" w:rsidRPr="00606EFC">
        <w:rPr>
          <w:sz w:val="24"/>
          <w:szCs w:val="24"/>
        </w:rPr>
        <w:t>630 compromisos (de los cuales 70% fueron culminados), numerosa presencia de funcionarios y alta cobertura mediática. Sin embargo, los GORE generan también algunos cuestionamientos</w:t>
      </w:r>
      <w:r w:rsidR="00786303" w:rsidRPr="00606EFC">
        <w:rPr>
          <w:sz w:val="24"/>
          <w:szCs w:val="24"/>
        </w:rPr>
        <w:t xml:space="preserve"> menores</w:t>
      </w:r>
      <w:r w:rsidR="0054628B" w:rsidRPr="00606EFC">
        <w:rPr>
          <w:sz w:val="24"/>
          <w:szCs w:val="24"/>
        </w:rPr>
        <w:t xml:space="preserve"> por parte de los gobiernos regionales: principalmente que sean espacios de negociación administrativa</w:t>
      </w:r>
      <w:r w:rsidR="00EB70BB" w:rsidRPr="00606EFC">
        <w:rPr>
          <w:sz w:val="24"/>
          <w:szCs w:val="24"/>
        </w:rPr>
        <w:t xml:space="preserve"> y operativa</w:t>
      </w:r>
      <w:r w:rsidR="0054628B" w:rsidRPr="00606EFC">
        <w:rPr>
          <w:sz w:val="24"/>
          <w:szCs w:val="24"/>
        </w:rPr>
        <w:t xml:space="preserve"> antes que de lineamientos</w:t>
      </w:r>
      <w:r w:rsidR="00701888" w:rsidRPr="00606EFC">
        <w:rPr>
          <w:sz w:val="24"/>
          <w:szCs w:val="24"/>
        </w:rPr>
        <w:t xml:space="preserve">, algo que incomoda a algunos </w:t>
      </w:r>
      <w:r w:rsidR="00606EFC">
        <w:rPr>
          <w:sz w:val="24"/>
          <w:szCs w:val="24"/>
        </w:rPr>
        <w:t>gobernadores</w:t>
      </w:r>
      <w:r w:rsidR="0054628B" w:rsidRPr="00606EFC">
        <w:rPr>
          <w:sz w:val="24"/>
          <w:szCs w:val="24"/>
        </w:rPr>
        <w:t>.</w:t>
      </w:r>
    </w:p>
    <w:p w14:paraId="3A075E4E" w14:textId="668A2BD3" w:rsidR="0054628B" w:rsidRPr="00606EFC" w:rsidRDefault="00EB70BB" w:rsidP="0054628B">
      <w:pPr>
        <w:jc w:val="both"/>
        <w:rPr>
          <w:sz w:val="24"/>
          <w:szCs w:val="24"/>
        </w:rPr>
      </w:pPr>
      <w:r w:rsidRPr="00606EFC">
        <w:rPr>
          <w:sz w:val="24"/>
          <w:szCs w:val="24"/>
        </w:rPr>
        <w:t>Dentro del componente de articulación intergubernamental</w:t>
      </w:r>
      <w:r w:rsidR="0054628B" w:rsidRPr="00606EFC">
        <w:rPr>
          <w:sz w:val="24"/>
          <w:szCs w:val="24"/>
        </w:rPr>
        <w:t xml:space="preserve">, en este período presidencial ha aparecido el impulso a las Agencias Regionales de Desarrollo, que buscan coordinar el trabajo de las instituciones desconcentradas en las regiones respecto a los gobiernos subnacionales, generar un plan de desarrollo común e integrar a los sectores a estas estrategias. Así se acabaría con la idea -extendida en las regiones- de que el Ejecutivo </w:t>
      </w:r>
      <w:r w:rsidRPr="00606EFC">
        <w:rPr>
          <w:sz w:val="24"/>
          <w:szCs w:val="24"/>
        </w:rPr>
        <w:t>desde</w:t>
      </w:r>
      <w:r w:rsidR="0054628B" w:rsidRPr="00606EFC">
        <w:rPr>
          <w:sz w:val="24"/>
          <w:szCs w:val="24"/>
        </w:rPr>
        <w:t xml:space="preserve"> Lima </w:t>
      </w:r>
      <w:r w:rsidR="00C23A2E" w:rsidRPr="00606EFC">
        <w:rPr>
          <w:sz w:val="24"/>
          <w:szCs w:val="24"/>
        </w:rPr>
        <w:t>“</w:t>
      </w:r>
      <w:r w:rsidR="0054628B" w:rsidRPr="00606EFC">
        <w:rPr>
          <w:sz w:val="24"/>
          <w:szCs w:val="24"/>
        </w:rPr>
        <w:t xml:space="preserve">impone </w:t>
      </w:r>
      <w:r w:rsidR="00C23A2E" w:rsidRPr="00606EFC">
        <w:rPr>
          <w:sz w:val="24"/>
          <w:szCs w:val="24"/>
        </w:rPr>
        <w:t>decisiones”</w:t>
      </w:r>
      <w:r w:rsidR="0054628B" w:rsidRPr="00606EFC">
        <w:rPr>
          <w:sz w:val="24"/>
          <w:szCs w:val="24"/>
        </w:rPr>
        <w:t xml:space="preserve">. La apuesta por las agencias </w:t>
      </w:r>
      <w:r w:rsidR="00130F7C" w:rsidRPr="00606EFC">
        <w:rPr>
          <w:sz w:val="24"/>
          <w:szCs w:val="24"/>
        </w:rPr>
        <w:t xml:space="preserve">apareció </w:t>
      </w:r>
      <w:r w:rsidR="0054628B" w:rsidRPr="00606EFC">
        <w:rPr>
          <w:sz w:val="24"/>
          <w:szCs w:val="24"/>
        </w:rPr>
        <w:t>como una</w:t>
      </w:r>
      <w:r w:rsidR="00130F7C" w:rsidRPr="00606EFC">
        <w:rPr>
          <w:sz w:val="24"/>
          <w:szCs w:val="24"/>
        </w:rPr>
        <w:t xml:space="preserve"> de las</w:t>
      </w:r>
      <w:r w:rsidR="0054628B" w:rsidRPr="00606EFC">
        <w:rPr>
          <w:sz w:val="24"/>
          <w:szCs w:val="24"/>
        </w:rPr>
        <w:t xml:space="preserve"> </w:t>
      </w:r>
      <w:r w:rsidR="00130F7C" w:rsidRPr="00606EFC">
        <w:rPr>
          <w:sz w:val="24"/>
          <w:szCs w:val="24"/>
        </w:rPr>
        <w:t xml:space="preserve">recomendaciones </w:t>
      </w:r>
      <w:r w:rsidR="0054628B" w:rsidRPr="00606EFC">
        <w:rPr>
          <w:sz w:val="24"/>
          <w:szCs w:val="24"/>
        </w:rPr>
        <w:t>de la OECD en su informe sobre la gobernanza en el Perú</w:t>
      </w:r>
      <w:r w:rsidR="0054628B" w:rsidRPr="00606EFC">
        <w:rPr>
          <w:rStyle w:val="FootnoteReference"/>
          <w:sz w:val="24"/>
          <w:szCs w:val="24"/>
        </w:rPr>
        <w:footnoteReference w:id="19"/>
      </w:r>
      <w:r w:rsidR="0054628B" w:rsidRPr="00606EFC">
        <w:rPr>
          <w:sz w:val="24"/>
          <w:szCs w:val="24"/>
        </w:rPr>
        <w:t xml:space="preserve">. </w:t>
      </w:r>
      <w:r w:rsidR="00467494" w:rsidRPr="00606EFC">
        <w:rPr>
          <w:sz w:val="24"/>
          <w:szCs w:val="24"/>
        </w:rPr>
        <w:t>Según el más reciente discurso del Presidente de la República ante el Congreso</w:t>
      </w:r>
      <w:r w:rsidRPr="00606EFC">
        <w:rPr>
          <w:sz w:val="24"/>
          <w:szCs w:val="24"/>
        </w:rPr>
        <w:t>, s</w:t>
      </w:r>
      <w:r w:rsidR="0054628B" w:rsidRPr="00606EFC">
        <w:rPr>
          <w:sz w:val="24"/>
          <w:szCs w:val="24"/>
        </w:rPr>
        <w:t xml:space="preserve">e va a comenzar </w:t>
      </w:r>
      <w:r w:rsidR="00B6344A" w:rsidRPr="00606EFC">
        <w:rPr>
          <w:sz w:val="24"/>
          <w:szCs w:val="24"/>
        </w:rPr>
        <w:t xml:space="preserve">su implementación en </w:t>
      </w:r>
      <w:r w:rsidR="00467494" w:rsidRPr="00606EFC">
        <w:rPr>
          <w:sz w:val="24"/>
          <w:szCs w:val="24"/>
        </w:rPr>
        <w:t xml:space="preserve">tres </w:t>
      </w:r>
      <w:r w:rsidR="0054628B" w:rsidRPr="00606EFC">
        <w:rPr>
          <w:sz w:val="24"/>
          <w:szCs w:val="24"/>
        </w:rPr>
        <w:t>regiones</w:t>
      </w:r>
      <w:r w:rsidR="00467494" w:rsidRPr="00606EFC">
        <w:rPr>
          <w:sz w:val="24"/>
          <w:szCs w:val="24"/>
        </w:rPr>
        <w:t xml:space="preserve"> (</w:t>
      </w:r>
      <w:r w:rsidR="004D32F4" w:rsidRPr="00606EFC">
        <w:rPr>
          <w:sz w:val="24"/>
          <w:szCs w:val="24"/>
        </w:rPr>
        <w:t xml:space="preserve">La Libertad, </w:t>
      </w:r>
      <w:r w:rsidR="00467494" w:rsidRPr="00606EFC">
        <w:rPr>
          <w:sz w:val="24"/>
          <w:szCs w:val="24"/>
        </w:rPr>
        <w:t>Tacna</w:t>
      </w:r>
      <w:r w:rsidR="004D32F4" w:rsidRPr="00606EFC">
        <w:rPr>
          <w:sz w:val="24"/>
          <w:szCs w:val="24"/>
        </w:rPr>
        <w:t xml:space="preserve"> y</w:t>
      </w:r>
      <w:r w:rsidR="00467494" w:rsidRPr="00606EFC">
        <w:rPr>
          <w:sz w:val="24"/>
          <w:szCs w:val="24"/>
        </w:rPr>
        <w:t xml:space="preserve"> San Martín</w:t>
      </w:r>
      <w:r w:rsidR="004D32F4" w:rsidRPr="00606EFC">
        <w:rPr>
          <w:sz w:val="24"/>
          <w:szCs w:val="24"/>
        </w:rPr>
        <w:t>)</w:t>
      </w:r>
      <w:r w:rsidR="00B6344A" w:rsidRPr="00606EFC">
        <w:rPr>
          <w:sz w:val="24"/>
          <w:szCs w:val="24"/>
        </w:rPr>
        <w:t xml:space="preserve"> y se espera constituir doce hasta 2021</w:t>
      </w:r>
      <w:r w:rsidR="00130F7C" w:rsidRPr="00606EFC">
        <w:rPr>
          <w:rStyle w:val="FootnoteReference"/>
          <w:sz w:val="24"/>
          <w:szCs w:val="24"/>
        </w:rPr>
        <w:footnoteReference w:id="20"/>
      </w:r>
      <w:r w:rsidR="0054628B" w:rsidRPr="00606EFC">
        <w:rPr>
          <w:sz w:val="24"/>
          <w:szCs w:val="24"/>
        </w:rPr>
        <w:t xml:space="preserve">. </w:t>
      </w:r>
    </w:p>
    <w:p w14:paraId="47B9A9CE" w14:textId="579B62C9" w:rsidR="0054628B" w:rsidRPr="00606EFC" w:rsidRDefault="0054628B" w:rsidP="0054628B">
      <w:pPr>
        <w:jc w:val="both"/>
        <w:rPr>
          <w:sz w:val="24"/>
          <w:szCs w:val="24"/>
        </w:rPr>
      </w:pPr>
      <w:r w:rsidRPr="00606EFC">
        <w:rPr>
          <w:sz w:val="24"/>
          <w:szCs w:val="24"/>
        </w:rPr>
        <w:t>Esta idea es recelada por</w:t>
      </w:r>
      <w:r w:rsidR="003E1CFC" w:rsidRPr="00606EFC">
        <w:rPr>
          <w:sz w:val="24"/>
          <w:szCs w:val="24"/>
        </w:rPr>
        <w:t xml:space="preserve"> algunos de</w:t>
      </w:r>
      <w:r w:rsidRPr="00606EFC">
        <w:rPr>
          <w:sz w:val="24"/>
          <w:szCs w:val="24"/>
        </w:rPr>
        <w:t xml:space="preserve"> los gobiernos regionales que visitamos. </w:t>
      </w:r>
      <w:r w:rsidR="00EB70BB" w:rsidRPr="00606EFC">
        <w:rPr>
          <w:sz w:val="24"/>
          <w:szCs w:val="24"/>
        </w:rPr>
        <w:t xml:space="preserve">Para ellos, </w:t>
      </w:r>
      <w:r w:rsidRPr="00606EFC">
        <w:rPr>
          <w:sz w:val="24"/>
          <w:szCs w:val="24"/>
        </w:rPr>
        <w:t>la agencia sería otra instancia nacional compitiendo por protagonismo en el ámbito regional</w:t>
      </w:r>
      <w:r w:rsidR="003E1CFC" w:rsidRPr="00606EFC">
        <w:rPr>
          <w:sz w:val="24"/>
          <w:szCs w:val="24"/>
        </w:rPr>
        <w:t>. Así,</w:t>
      </w:r>
      <w:r w:rsidRPr="00606EFC">
        <w:rPr>
          <w:sz w:val="24"/>
          <w:szCs w:val="24"/>
        </w:rPr>
        <w:t xml:space="preserve"> se valora </w:t>
      </w:r>
      <w:r w:rsidR="00E41817" w:rsidRPr="00606EFC">
        <w:rPr>
          <w:sz w:val="24"/>
          <w:szCs w:val="24"/>
        </w:rPr>
        <w:t xml:space="preserve">mejor </w:t>
      </w:r>
      <w:r w:rsidRPr="00606EFC">
        <w:rPr>
          <w:sz w:val="24"/>
          <w:szCs w:val="24"/>
        </w:rPr>
        <w:t>una propuesta de ordenamiento de las competencias que haga de los sectores entes rectores efectivos, orientadores y promotores de la funcionalidad</w:t>
      </w:r>
      <w:r w:rsidR="00606EFC">
        <w:rPr>
          <w:sz w:val="24"/>
          <w:szCs w:val="24"/>
        </w:rPr>
        <w:t>, y sólo eso</w:t>
      </w:r>
      <w:r w:rsidR="00E41817" w:rsidRPr="00606EFC">
        <w:rPr>
          <w:sz w:val="24"/>
          <w:szCs w:val="24"/>
        </w:rPr>
        <w:t>.</w:t>
      </w:r>
      <w:r w:rsidRPr="00606EFC">
        <w:rPr>
          <w:sz w:val="24"/>
          <w:szCs w:val="24"/>
        </w:rPr>
        <w:t xml:space="preserve"> </w:t>
      </w:r>
      <w:r w:rsidR="00E41817" w:rsidRPr="00606EFC">
        <w:rPr>
          <w:sz w:val="24"/>
          <w:szCs w:val="24"/>
        </w:rPr>
        <w:t>Para ello, es necesario</w:t>
      </w:r>
      <w:r w:rsidRPr="00606EFC">
        <w:rPr>
          <w:sz w:val="24"/>
          <w:szCs w:val="24"/>
        </w:rPr>
        <w:t xml:space="preserve"> simplificar el actual marco normativo, cuyo abultamiento impide la gestión más fluida de las oficinas regionales.</w:t>
      </w:r>
    </w:p>
    <w:p w14:paraId="29E11E39" w14:textId="77777777" w:rsidR="005F187A" w:rsidRDefault="005F187A" w:rsidP="0054628B">
      <w:pPr>
        <w:jc w:val="both"/>
        <w:rPr>
          <w:i/>
          <w:sz w:val="24"/>
          <w:szCs w:val="24"/>
          <w:u w:val="single"/>
        </w:rPr>
      </w:pPr>
    </w:p>
    <w:p w14:paraId="5941499C" w14:textId="77777777" w:rsidR="00606EFC" w:rsidRDefault="00606EFC" w:rsidP="0054628B">
      <w:pPr>
        <w:jc w:val="both"/>
        <w:rPr>
          <w:i/>
          <w:sz w:val="24"/>
          <w:szCs w:val="24"/>
          <w:u w:val="single"/>
        </w:rPr>
      </w:pPr>
    </w:p>
    <w:p w14:paraId="38B1C402" w14:textId="77777777" w:rsidR="00606EFC" w:rsidRDefault="00606EFC" w:rsidP="0054628B">
      <w:pPr>
        <w:jc w:val="both"/>
        <w:rPr>
          <w:i/>
          <w:sz w:val="24"/>
          <w:szCs w:val="24"/>
          <w:u w:val="single"/>
        </w:rPr>
      </w:pPr>
    </w:p>
    <w:p w14:paraId="16B94E81" w14:textId="77777777" w:rsidR="00606EFC" w:rsidRPr="00606EFC" w:rsidRDefault="00606EFC" w:rsidP="0054628B">
      <w:pPr>
        <w:jc w:val="both"/>
        <w:rPr>
          <w:i/>
          <w:sz w:val="24"/>
          <w:szCs w:val="24"/>
          <w:u w:val="single"/>
        </w:rPr>
      </w:pPr>
    </w:p>
    <w:p w14:paraId="5526BAEC" w14:textId="0603CFDC" w:rsidR="00077083" w:rsidRPr="00606EFC" w:rsidRDefault="00077083" w:rsidP="009A3727">
      <w:pPr>
        <w:pStyle w:val="ListParagraph"/>
        <w:numPr>
          <w:ilvl w:val="2"/>
          <w:numId w:val="10"/>
        </w:numPr>
        <w:jc w:val="both"/>
        <w:outlineLvl w:val="2"/>
        <w:rPr>
          <w:i/>
          <w:sz w:val="24"/>
          <w:szCs w:val="24"/>
          <w:u w:val="single"/>
        </w:rPr>
      </w:pPr>
      <w:bookmarkStart w:id="10" w:name="_Toc523393989"/>
      <w:r w:rsidRPr="00606EFC">
        <w:rPr>
          <w:i/>
          <w:sz w:val="24"/>
          <w:szCs w:val="24"/>
          <w:u w:val="single"/>
        </w:rPr>
        <w:lastRenderedPageBreak/>
        <w:t>Otras actividades</w:t>
      </w:r>
      <w:bookmarkEnd w:id="10"/>
    </w:p>
    <w:p w14:paraId="5DF22DE8" w14:textId="0E28E765" w:rsidR="00077083" w:rsidRPr="00606EFC" w:rsidRDefault="00077083" w:rsidP="00201C30">
      <w:pPr>
        <w:jc w:val="both"/>
        <w:rPr>
          <w:sz w:val="24"/>
          <w:szCs w:val="24"/>
        </w:rPr>
      </w:pPr>
      <w:r w:rsidRPr="00606EFC">
        <w:rPr>
          <w:sz w:val="24"/>
          <w:szCs w:val="24"/>
        </w:rPr>
        <w:t>El proyecto también incluyó otras actividades</w:t>
      </w:r>
      <w:r w:rsidR="007D5416" w:rsidRPr="00606EFC">
        <w:rPr>
          <w:rStyle w:val="FootnoteReference"/>
          <w:sz w:val="24"/>
          <w:szCs w:val="24"/>
        </w:rPr>
        <w:footnoteReference w:id="21"/>
      </w:r>
      <w:r w:rsidRPr="00606EFC">
        <w:rPr>
          <w:sz w:val="24"/>
          <w:szCs w:val="24"/>
        </w:rPr>
        <w:t xml:space="preserve"> </w:t>
      </w:r>
      <w:r w:rsidR="008D3747" w:rsidRPr="00606EFC">
        <w:rPr>
          <w:sz w:val="24"/>
          <w:szCs w:val="24"/>
        </w:rPr>
        <w:t>consideradas</w:t>
      </w:r>
      <w:r w:rsidRPr="00606EFC">
        <w:rPr>
          <w:sz w:val="24"/>
          <w:szCs w:val="24"/>
        </w:rPr>
        <w:t xml:space="preserve"> </w:t>
      </w:r>
      <w:r w:rsidR="008D3747" w:rsidRPr="00606EFC">
        <w:rPr>
          <w:sz w:val="24"/>
          <w:szCs w:val="24"/>
        </w:rPr>
        <w:t>de importancia para las sucesivas gestiones de la PCM</w:t>
      </w:r>
      <w:r w:rsidRPr="00606EFC">
        <w:rPr>
          <w:sz w:val="24"/>
          <w:szCs w:val="24"/>
        </w:rPr>
        <w:t xml:space="preserve"> como por ejemplo:</w:t>
      </w:r>
    </w:p>
    <w:p w14:paraId="31BDC411" w14:textId="1AC5BC2B" w:rsidR="00E07F95" w:rsidRPr="00606EFC" w:rsidRDefault="00BE0FA5" w:rsidP="00077083">
      <w:pPr>
        <w:pStyle w:val="ListParagraph"/>
        <w:numPr>
          <w:ilvl w:val="0"/>
          <w:numId w:val="3"/>
        </w:numPr>
        <w:ind w:left="720"/>
        <w:jc w:val="both"/>
        <w:rPr>
          <w:sz w:val="24"/>
          <w:szCs w:val="24"/>
        </w:rPr>
      </w:pPr>
      <w:r w:rsidRPr="00606EFC">
        <w:rPr>
          <w:sz w:val="24"/>
          <w:szCs w:val="24"/>
        </w:rPr>
        <w:t>Uso de la f</w:t>
      </w:r>
      <w:r w:rsidR="00E07F95" w:rsidRPr="00606EFC">
        <w:rPr>
          <w:sz w:val="24"/>
          <w:szCs w:val="24"/>
        </w:rPr>
        <w:t>irma digital</w:t>
      </w:r>
      <w:r w:rsidRPr="00606EFC">
        <w:rPr>
          <w:sz w:val="24"/>
          <w:szCs w:val="24"/>
        </w:rPr>
        <w:t xml:space="preserve"> en PCM.</w:t>
      </w:r>
      <w:r w:rsidR="00C5038E" w:rsidRPr="00606EFC">
        <w:rPr>
          <w:sz w:val="24"/>
          <w:szCs w:val="24"/>
        </w:rPr>
        <w:t xml:space="preserve"> </w:t>
      </w:r>
    </w:p>
    <w:p w14:paraId="04B3DBFA" w14:textId="70E9B95F" w:rsidR="00E07F95" w:rsidRPr="00606EFC" w:rsidRDefault="00E07F95" w:rsidP="00077083">
      <w:pPr>
        <w:pStyle w:val="ListParagraph"/>
        <w:numPr>
          <w:ilvl w:val="0"/>
          <w:numId w:val="3"/>
        </w:numPr>
        <w:ind w:left="720"/>
        <w:jc w:val="both"/>
        <w:rPr>
          <w:sz w:val="24"/>
          <w:szCs w:val="24"/>
        </w:rPr>
      </w:pPr>
      <w:r w:rsidRPr="00606EFC">
        <w:rPr>
          <w:sz w:val="24"/>
          <w:szCs w:val="24"/>
        </w:rPr>
        <w:t>Digitalización del Archivo Central</w:t>
      </w:r>
      <w:r w:rsidR="007F3411" w:rsidRPr="00606EFC">
        <w:rPr>
          <w:sz w:val="24"/>
          <w:szCs w:val="24"/>
        </w:rPr>
        <w:t>.</w:t>
      </w:r>
    </w:p>
    <w:p w14:paraId="38DEC48A" w14:textId="77777777" w:rsidR="00077083" w:rsidRPr="00B41D2F" w:rsidRDefault="00077083" w:rsidP="00E70362">
      <w:pPr>
        <w:ind w:left="360"/>
        <w:jc w:val="both"/>
        <w:rPr>
          <w:b/>
        </w:rPr>
      </w:pPr>
    </w:p>
    <w:p w14:paraId="016A1AA0" w14:textId="569C4CA9" w:rsidR="002E69C4" w:rsidRPr="00606EFC" w:rsidRDefault="002E69C4" w:rsidP="00163457">
      <w:pPr>
        <w:pStyle w:val="ListParagraph"/>
        <w:numPr>
          <w:ilvl w:val="1"/>
          <w:numId w:val="10"/>
        </w:numPr>
        <w:jc w:val="both"/>
        <w:outlineLvl w:val="1"/>
        <w:rPr>
          <w:b/>
          <w:sz w:val="28"/>
          <w:szCs w:val="28"/>
        </w:rPr>
      </w:pPr>
      <w:bookmarkStart w:id="11" w:name="_Toc523393990"/>
      <w:r w:rsidRPr="00606EFC">
        <w:rPr>
          <w:b/>
          <w:sz w:val="28"/>
          <w:szCs w:val="28"/>
        </w:rPr>
        <w:t>Eficiencia</w:t>
      </w:r>
      <w:bookmarkEnd w:id="11"/>
    </w:p>
    <w:p w14:paraId="67008302" w14:textId="227368DA" w:rsidR="004E1971" w:rsidRPr="00606EFC" w:rsidRDefault="00E87876" w:rsidP="006F70A3">
      <w:pPr>
        <w:jc w:val="both"/>
        <w:rPr>
          <w:sz w:val="24"/>
          <w:szCs w:val="24"/>
        </w:rPr>
      </w:pPr>
      <w:r w:rsidRPr="00606EFC">
        <w:rPr>
          <w:sz w:val="24"/>
          <w:szCs w:val="24"/>
        </w:rPr>
        <w:t>En lo que respecta a</w:t>
      </w:r>
      <w:r w:rsidR="006D30B3" w:rsidRPr="00606EFC">
        <w:rPr>
          <w:sz w:val="24"/>
          <w:szCs w:val="24"/>
        </w:rPr>
        <w:t xml:space="preserve"> las actividades vinculadas a</w:t>
      </w:r>
      <w:r w:rsidRPr="00606EFC">
        <w:rPr>
          <w:sz w:val="24"/>
          <w:szCs w:val="24"/>
        </w:rPr>
        <w:t>l componente de descentralización,</w:t>
      </w:r>
      <w:r w:rsidR="00F42ACA" w:rsidRPr="00606EFC">
        <w:rPr>
          <w:sz w:val="24"/>
          <w:szCs w:val="24"/>
        </w:rPr>
        <w:t xml:space="preserve"> todas las consultorías siguieron los procedimientos normativos correspondientes. Asimismo, una</w:t>
      </w:r>
      <w:r w:rsidR="003F0D99" w:rsidRPr="00606EFC">
        <w:rPr>
          <w:sz w:val="24"/>
          <w:szCs w:val="24"/>
        </w:rPr>
        <w:t xml:space="preserve"> </w:t>
      </w:r>
      <w:r w:rsidR="0041455B" w:rsidRPr="00606EFC">
        <w:rPr>
          <w:sz w:val="24"/>
          <w:szCs w:val="24"/>
        </w:rPr>
        <w:t xml:space="preserve">gran </w:t>
      </w:r>
      <w:r w:rsidR="003F0D99" w:rsidRPr="00606EFC">
        <w:rPr>
          <w:sz w:val="24"/>
          <w:szCs w:val="24"/>
        </w:rPr>
        <w:t>mayoría de</w:t>
      </w:r>
      <w:r w:rsidR="006F70A3" w:rsidRPr="00606EFC">
        <w:rPr>
          <w:sz w:val="24"/>
          <w:szCs w:val="24"/>
        </w:rPr>
        <w:t xml:space="preserve"> las consultorías revisadas fueron </w:t>
      </w:r>
      <w:r w:rsidRPr="00606EFC">
        <w:rPr>
          <w:sz w:val="24"/>
          <w:szCs w:val="24"/>
        </w:rPr>
        <w:t xml:space="preserve">entregadas </w:t>
      </w:r>
      <w:r w:rsidR="005C646B" w:rsidRPr="00606EFC">
        <w:rPr>
          <w:sz w:val="24"/>
          <w:szCs w:val="24"/>
        </w:rPr>
        <w:t xml:space="preserve">dentro de </w:t>
      </w:r>
      <w:r w:rsidRPr="00606EFC">
        <w:rPr>
          <w:sz w:val="24"/>
          <w:szCs w:val="24"/>
        </w:rPr>
        <w:t>los plazos</w:t>
      </w:r>
      <w:r w:rsidR="0041455B" w:rsidRPr="00606EFC">
        <w:rPr>
          <w:sz w:val="24"/>
          <w:szCs w:val="24"/>
        </w:rPr>
        <w:t xml:space="preserve"> y recibieron una valoración positiva por los </w:t>
      </w:r>
      <w:r w:rsidR="006817D3" w:rsidRPr="00606EFC">
        <w:rPr>
          <w:sz w:val="24"/>
          <w:szCs w:val="24"/>
        </w:rPr>
        <w:t>supervisores asignados por la SD</w:t>
      </w:r>
      <w:r w:rsidRPr="00606EFC">
        <w:rPr>
          <w:sz w:val="24"/>
          <w:szCs w:val="24"/>
        </w:rPr>
        <w:t xml:space="preserve">. </w:t>
      </w:r>
      <w:r w:rsidR="003F0D99" w:rsidRPr="00606EFC">
        <w:rPr>
          <w:sz w:val="24"/>
          <w:szCs w:val="24"/>
        </w:rPr>
        <w:t xml:space="preserve">No se encontraron </w:t>
      </w:r>
      <w:r w:rsidR="004E1971" w:rsidRPr="00606EFC">
        <w:rPr>
          <w:sz w:val="24"/>
          <w:szCs w:val="24"/>
        </w:rPr>
        <w:t xml:space="preserve">reportes sistemáticos de incumplimiento entre </w:t>
      </w:r>
      <w:r w:rsidR="003F0D99" w:rsidRPr="00606EFC">
        <w:rPr>
          <w:sz w:val="24"/>
          <w:szCs w:val="24"/>
        </w:rPr>
        <w:t>los informes</w:t>
      </w:r>
      <w:r w:rsidR="004E1971" w:rsidRPr="00606EFC">
        <w:rPr>
          <w:sz w:val="24"/>
          <w:szCs w:val="24"/>
        </w:rPr>
        <w:t xml:space="preserve"> revisados</w:t>
      </w:r>
      <w:r w:rsidR="003F0D99" w:rsidRPr="00606EFC">
        <w:rPr>
          <w:sz w:val="24"/>
          <w:szCs w:val="24"/>
        </w:rPr>
        <w:t>.</w:t>
      </w:r>
      <w:r w:rsidR="00B239A7" w:rsidRPr="00606EFC">
        <w:rPr>
          <w:sz w:val="24"/>
          <w:szCs w:val="24"/>
        </w:rPr>
        <w:t xml:space="preserve"> </w:t>
      </w:r>
    </w:p>
    <w:p w14:paraId="436EBA6D" w14:textId="09FC83DE" w:rsidR="00E2602F" w:rsidRPr="00606EFC" w:rsidRDefault="00B239A7" w:rsidP="006F70A3">
      <w:pPr>
        <w:jc w:val="both"/>
        <w:rPr>
          <w:sz w:val="24"/>
          <w:szCs w:val="24"/>
        </w:rPr>
      </w:pPr>
      <w:r w:rsidRPr="00606EFC">
        <w:rPr>
          <w:sz w:val="24"/>
          <w:szCs w:val="24"/>
        </w:rPr>
        <w:t xml:space="preserve">No obstante, tanto el componente de evaluaciones </w:t>
      </w:r>
      <w:r w:rsidR="00A17516">
        <w:rPr>
          <w:sz w:val="24"/>
          <w:szCs w:val="24"/>
        </w:rPr>
        <w:t xml:space="preserve">de competencias transferidas </w:t>
      </w:r>
      <w:r w:rsidRPr="00606EFC">
        <w:rPr>
          <w:sz w:val="24"/>
          <w:szCs w:val="24"/>
        </w:rPr>
        <w:t>y AMC, como</w:t>
      </w:r>
      <w:r w:rsidR="004E1971" w:rsidRPr="00606EFC">
        <w:rPr>
          <w:sz w:val="24"/>
          <w:szCs w:val="24"/>
        </w:rPr>
        <w:t xml:space="preserve"> el</w:t>
      </w:r>
      <w:r w:rsidRPr="00606EFC">
        <w:rPr>
          <w:sz w:val="24"/>
          <w:szCs w:val="24"/>
        </w:rPr>
        <w:t xml:space="preserve"> de mancomunidades, </w:t>
      </w:r>
      <w:r w:rsidR="00491D7E" w:rsidRPr="00606EFC">
        <w:rPr>
          <w:sz w:val="24"/>
          <w:szCs w:val="24"/>
        </w:rPr>
        <w:t>se extendieron por un período muy amplio de tiempo</w:t>
      </w:r>
      <w:r w:rsidR="00F77849" w:rsidRPr="00606EFC">
        <w:rPr>
          <w:sz w:val="24"/>
          <w:szCs w:val="24"/>
        </w:rPr>
        <w:t xml:space="preserve"> (desde 2013 en adelante)</w:t>
      </w:r>
      <w:r w:rsidR="004B455C" w:rsidRPr="00606EFC">
        <w:rPr>
          <w:sz w:val="24"/>
          <w:szCs w:val="24"/>
        </w:rPr>
        <w:t xml:space="preserve"> con perspectivas de sostenibilidad baja y media respectivamente (véase el punto 2.4</w:t>
      </w:r>
      <w:r w:rsidR="00C7067A" w:rsidRPr="00606EFC">
        <w:rPr>
          <w:sz w:val="24"/>
          <w:szCs w:val="24"/>
        </w:rPr>
        <w:t>.)</w:t>
      </w:r>
    </w:p>
    <w:p w14:paraId="24A2E249" w14:textId="61660323" w:rsidR="00640139" w:rsidRPr="00A17516" w:rsidRDefault="006D2F15" w:rsidP="006F70A3">
      <w:pPr>
        <w:jc w:val="both"/>
        <w:rPr>
          <w:sz w:val="24"/>
          <w:szCs w:val="24"/>
        </w:rPr>
      </w:pPr>
      <w:r w:rsidRPr="00A17516">
        <w:rPr>
          <w:sz w:val="24"/>
          <w:szCs w:val="24"/>
        </w:rPr>
        <w:t xml:space="preserve">En lo que toca al componente de modernización, </w:t>
      </w:r>
      <w:r w:rsidR="006B658C" w:rsidRPr="00A17516">
        <w:rPr>
          <w:sz w:val="24"/>
          <w:szCs w:val="24"/>
        </w:rPr>
        <w:t xml:space="preserve">la implementación </w:t>
      </w:r>
      <w:r w:rsidR="007A77DA" w:rsidRPr="00A17516">
        <w:rPr>
          <w:sz w:val="24"/>
          <w:szCs w:val="24"/>
        </w:rPr>
        <w:t xml:space="preserve">del MAC Lima Este </w:t>
      </w:r>
      <w:r w:rsidR="00436A89" w:rsidRPr="00A17516">
        <w:rPr>
          <w:sz w:val="24"/>
          <w:szCs w:val="24"/>
        </w:rPr>
        <w:t>ha pasado por coyunturas de demora</w:t>
      </w:r>
      <w:r w:rsidR="007A77DA" w:rsidRPr="00A17516">
        <w:rPr>
          <w:sz w:val="24"/>
          <w:szCs w:val="24"/>
        </w:rPr>
        <w:t>.</w:t>
      </w:r>
      <w:r w:rsidR="00E16158" w:rsidRPr="00A17516">
        <w:rPr>
          <w:sz w:val="24"/>
          <w:szCs w:val="24"/>
        </w:rPr>
        <w:t xml:space="preserve"> </w:t>
      </w:r>
      <w:r w:rsidR="008560C4" w:rsidRPr="00A17516">
        <w:rPr>
          <w:sz w:val="24"/>
          <w:szCs w:val="24"/>
        </w:rPr>
        <w:t>Durante</w:t>
      </w:r>
      <w:r w:rsidR="00E16158" w:rsidRPr="00A17516">
        <w:rPr>
          <w:sz w:val="24"/>
          <w:szCs w:val="24"/>
        </w:rPr>
        <w:t xml:space="preserve"> 2016, se presentaron</w:t>
      </w:r>
      <w:r w:rsidR="00365561" w:rsidRPr="00A17516">
        <w:rPr>
          <w:sz w:val="24"/>
          <w:szCs w:val="24"/>
        </w:rPr>
        <w:t xml:space="preserve"> demoras en la aprobación del contratista por parte de PNUD</w:t>
      </w:r>
      <w:r w:rsidR="00E16158" w:rsidRPr="00A17516">
        <w:rPr>
          <w:sz w:val="24"/>
          <w:szCs w:val="24"/>
        </w:rPr>
        <w:t xml:space="preserve"> (se llevó a cabo una auditoría </w:t>
      </w:r>
      <w:r w:rsidR="008560C4" w:rsidRPr="00A17516">
        <w:rPr>
          <w:sz w:val="24"/>
          <w:szCs w:val="24"/>
        </w:rPr>
        <w:t>desde</w:t>
      </w:r>
      <w:r w:rsidR="009A68F9" w:rsidRPr="00A17516">
        <w:rPr>
          <w:sz w:val="24"/>
          <w:szCs w:val="24"/>
        </w:rPr>
        <w:t xml:space="preserve"> la sede de</w:t>
      </w:r>
      <w:r w:rsidR="00E16158" w:rsidRPr="00A17516">
        <w:rPr>
          <w:sz w:val="24"/>
          <w:szCs w:val="24"/>
        </w:rPr>
        <w:t xml:space="preserve"> PNUD</w:t>
      </w:r>
      <w:r w:rsidR="009A68F9" w:rsidRPr="00A17516">
        <w:rPr>
          <w:sz w:val="24"/>
          <w:szCs w:val="24"/>
        </w:rPr>
        <w:t xml:space="preserve"> en</w:t>
      </w:r>
      <w:r w:rsidR="00E16158" w:rsidRPr="00A17516">
        <w:rPr>
          <w:sz w:val="24"/>
          <w:szCs w:val="24"/>
        </w:rPr>
        <w:t xml:space="preserve"> Panamá)</w:t>
      </w:r>
      <w:r w:rsidR="00640139" w:rsidRPr="00A17516">
        <w:rPr>
          <w:sz w:val="24"/>
          <w:szCs w:val="24"/>
        </w:rPr>
        <w:t xml:space="preserve">, a </w:t>
      </w:r>
      <w:r w:rsidR="008560C4" w:rsidRPr="00A17516">
        <w:rPr>
          <w:sz w:val="24"/>
          <w:szCs w:val="24"/>
        </w:rPr>
        <w:t xml:space="preserve">las </w:t>
      </w:r>
      <w:r w:rsidR="00640139" w:rsidRPr="00A17516">
        <w:rPr>
          <w:sz w:val="24"/>
          <w:szCs w:val="24"/>
        </w:rPr>
        <w:t xml:space="preserve">que se sumaron </w:t>
      </w:r>
      <w:r w:rsidR="00E2602F" w:rsidRPr="00A17516">
        <w:rPr>
          <w:sz w:val="24"/>
          <w:szCs w:val="24"/>
        </w:rPr>
        <w:t>las demoras de transferencia presupuestar</w:t>
      </w:r>
      <w:r w:rsidR="00C039ED" w:rsidRPr="00A17516">
        <w:rPr>
          <w:sz w:val="24"/>
          <w:szCs w:val="24"/>
        </w:rPr>
        <w:t>i</w:t>
      </w:r>
      <w:r w:rsidR="00E2602F" w:rsidRPr="00A17516">
        <w:rPr>
          <w:sz w:val="24"/>
          <w:szCs w:val="24"/>
        </w:rPr>
        <w:t>a</w:t>
      </w:r>
      <w:r w:rsidR="009A68F9" w:rsidRPr="00A17516">
        <w:rPr>
          <w:sz w:val="24"/>
          <w:szCs w:val="24"/>
        </w:rPr>
        <w:t xml:space="preserve"> al proyecto</w:t>
      </w:r>
      <w:r w:rsidR="00D52313" w:rsidRPr="00A17516">
        <w:rPr>
          <w:sz w:val="24"/>
          <w:szCs w:val="24"/>
        </w:rPr>
        <w:t xml:space="preserve"> por parte del MEF</w:t>
      </w:r>
      <w:r w:rsidR="00640139" w:rsidRPr="00A17516">
        <w:rPr>
          <w:sz w:val="24"/>
          <w:szCs w:val="24"/>
        </w:rPr>
        <w:t>.</w:t>
      </w:r>
      <w:r w:rsidR="008560C4" w:rsidRPr="00A17516">
        <w:rPr>
          <w:sz w:val="24"/>
          <w:szCs w:val="24"/>
        </w:rPr>
        <w:t xml:space="preserve"> Así, l</w:t>
      </w:r>
      <w:r w:rsidR="00E2602F" w:rsidRPr="00A17516">
        <w:rPr>
          <w:sz w:val="24"/>
          <w:szCs w:val="24"/>
        </w:rPr>
        <w:t>a construcción del MAC Lima Este empezó</w:t>
      </w:r>
      <w:r w:rsidR="001369A5" w:rsidRPr="00A17516">
        <w:rPr>
          <w:sz w:val="24"/>
          <w:szCs w:val="24"/>
        </w:rPr>
        <w:t xml:space="preserve"> atrasada</w:t>
      </w:r>
      <w:r w:rsidR="00E2602F" w:rsidRPr="00A17516">
        <w:rPr>
          <w:sz w:val="24"/>
          <w:szCs w:val="24"/>
        </w:rPr>
        <w:t xml:space="preserve"> en octubre de 2016.</w:t>
      </w:r>
      <w:r w:rsidR="00C06B81" w:rsidRPr="00A17516">
        <w:rPr>
          <w:sz w:val="24"/>
          <w:szCs w:val="24"/>
        </w:rPr>
        <w:t xml:space="preserve"> </w:t>
      </w:r>
    </w:p>
    <w:p w14:paraId="433CBFF4" w14:textId="28295FE0" w:rsidR="006D2F15" w:rsidRPr="00A17516" w:rsidRDefault="00017D30" w:rsidP="006F70A3">
      <w:pPr>
        <w:jc w:val="both"/>
        <w:rPr>
          <w:sz w:val="24"/>
          <w:szCs w:val="24"/>
        </w:rPr>
      </w:pPr>
      <w:r w:rsidRPr="00A17516">
        <w:rPr>
          <w:sz w:val="24"/>
          <w:szCs w:val="24"/>
        </w:rPr>
        <w:t>Durante la construcción del MAC Lima Este,</w:t>
      </w:r>
      <w:r w:rsidR="00F0605D" w:rsidRPr="00A17516">
        <w:rPr>
          <w:sz w:val="24"/>
          <w:szCs w:val="24"/>
        </w:rPr>
        <w:t xml:space="preserve"> </w:t>
      </w:r>
      <w:r w:rsidR="009A68F9" w:rsidRPr="00A17516">
        <w:rPr>
          <w:sz w:val="24"/>
          <w:szCs w:val="24"/>
        </w:rPr>
        <w:t>aparecieron</w:t>
      </w:r>
      <w:r w:rsidR="00F0605D" w:rsidRPr="00A17516">
        <w:rPr>
          <w:sz w:val="24"/>
          <w:szCs w:val="24"/>
        </w:rPr>
        <w:t xml:space="preserve"> problemas </w:t>
      </w:r>
      <w:r w:rsidR="005559ED" w:rsidRPr="00A17516">
        <w:rPr>
          <w:sz w:val="24"/>
          <w:szCs w:val="24"/>
        </w:rPr>
        <w:t xml:space="preserve">vinculados a </w:t>
      </w:r>
      <w:r w:rsidR="00783ACE" w:rsidRPr="00A17516">
        <w:rPr>
          <w:sz w:val="24"/>
          <w:szCs w:val="24"/>
        </w:rPr>
        <w:t xml:space="preserve">percibidas </w:t>
      </w:r>
      <w:r w:rsidR="005559ED" w:rsidRPr="00A17516">
        <w:rPr>
          <w:sz w:val="24"/>
          <w:szCs w:val="24"/>
        </w:rPr>
        <w:t>incompatibilidades puntuales</w:t>
      </w:r>
      <w:r w:rsidR="00F0605D" w:rsidRPr="00A17516">
        <w:rPr>
          <w:sz w:val="24"/>
          <w:szCs w:val="24"/>
        </w:rPr>
        <w:t xml:space="preserve"> e</w:t>
      </w:r>
      <w:r w:rsidR="00E87E9C" w:rsidRPr="00A17516">
        <w:rPr>
          <w:sz w:val="24"/>
          <w:szCs w:val="24"/>
        </w:rPr>
        <w:t>ntre</w:t>
      </w:r>
      <w:r w:rsidR="00F0605D" w:rsidRPr="00A17516">
        <w:rPr>
          <w:sz w:val="24"/>
          <w:szCs w:val="24"/>
        </w:rPr>
        <w:t xml:space="preserve"> los marcos jurídicos del PNUD y del Estado Peruano. P</w:t>
      </w:r>
      <w:r w:rsidRPr="00A17516">
        <w:rPr>
          <w:sz w:val="24"/>
          <w:szCs w:val="24"/>
        </w:rPr>
        <w:t>or ejemplo,</w:t>
      </w:r>
      <w:r w:rsidR="0078020F" w:rsidRPr="00A17516">
        <w:rPr>
          <w:sz w:val="24"/>
          <w:szCs w:val="24"/>
        </w:rPr>
        <w:t xml:space="preserve"> </w:t>
      </w:r>
      <w:r w:rsidR="00FD710C" w:rsidRPr="00A17516">
        <w:rPr>
          <w:sz w:val="24"/>
          <w:szCs w:val="24"/>
        </w:rPr>
        <w:t>para</w:t>
      </w:r>
      <w:r w:rsidR="0078020F" w:rsidRPr="00A17516">
        <w:rPr>
          <w:sz w:val="24"/>
          <w:szCs w:val="24"/>
        </w:rPr>
        <w:t xml:space="preserve"> la supervisión del contratista.</w:t>
      </w:r>
      <w:r w:rsidRPr="00A17516">
        <w:rPr>
          <w:sz w:val="24"/>
          <w:szCs w:val="24"/>
        </w:rPr>
        <w:t xml:space="preserve"> </w:t>
      </w:r>
      <w:r w:rsidR="003563E7" w:rsidRPr="00A17516">
        <w:rPr>
          <w:sz w:val="24"/>
          <w:szCs w:val="24"/>
        </w:rPr>
        <w:t>P</w:t>
      </w:r>
      <w:r w:rsidR="00F0605D" w:rsidRPr="00A17516">
        <w:rPr>
          <w:sz w:val="24"/>
          <w:szCs w:val="24"/>
        </w:rPr>
        <w:t xml:space="preserve">ara la Secretaría de Gestión Pública -como área usuaria- hubiese sido importante </w:t>
      </w:r>
      <w:r w:rsidR="004707D0" w:rsidRPr="00A17516">
        <w:rPr>
          <w:sz w:val="24"/>
          <w:szCs w:val="24"/>
        </w:rPr>
        <w:t>aprobar la elección del contratista de la obra, así como los entregables asociados a cada pago</w:t>
      </w:r>
      <w:r w:rsidR="00B71960" w:rsidRPr="00A17516">
        <w:rPr>
          <w:sz w:val="24"/>
          <w:szCs w:val="24"/>
        </w:rPr>
        <w:t>, de tal forma que se garantice la satisfacción de</w:t>
      </w:r>
      <w:r w:rsidR="003A3391" w:rsidRPr="00A17516">
        <w:rPr>
          <w:sz w:val="24"/>
          <w:szCs w:val="24"/>
        </w:rPr>
        <w:t xml:space="preserve">l área usuaria </w:t>
      </w:r>
      <w:r w:rsidR="00A17516" w:rsidRPr="00A17516">
        <w:rPr>
          <w:sz w:val="24"/>
          <w:szCs w:val="24"/>
        </w:rPr>
        <w:t>conforme avanza el trabajo</w:t>
      </w:r>
      <w:r w:rsidR="004707D0" w:rsidRPr="00A17516">
        <w:rPr>
          <w:sz w:val="24"/>
          <w:szCs w:val="24"/>
        </w:rPr>
        <w:t>.</w:t>
      </w:r>
      <w:r w:rsidR="00257335" w:rsidRPr="00A17516">
        <w:rPr>
          <w:sz w:val="24"/>
          <w:szCs w:val="24"/>
        </w:rPr>
        <w:t xml:space="preserve"> </w:t>
      </w:r>
      <w:r w:rsidR="003563E7" w:rsidRPr="00A17516">
        <w:rPr>
          <w:sz w:val="24"/>
          <w:szCs w:val="24"/>
        </w:rPr>
        <w:t>C</w:t>
      </w:r>
      <w:r w:rsidR="001369A5" w:rsidRPr="00A17516">
        <w:rPr>
          <w:sz w:val="24"/>
          <w:szCs w:val="24"/>
        </w:rPr>
        <w:t>uando</w:t>
      </w:r>
      <w:r w:rsidR="00257335" w:rsidRPr="00A17516">
        <w:rPr>
          <w:sz w:val="24"/>
          <w:szCs w:val="24"/>
        </w:rPr>
        <w:t xml:space="preserve"> se presentaron desacuerdos con </w:t>
      </w:r>
      <w:r w:rsidR="00C039ED" w:rsidRPr="00A17516">
        <w:rPr>
          <w:sz w:val="24"/>
          <w:szCs w:val="24"/>
        </w:rPr>
        <w:t xml:space="preserve">elementos del trabajo </w:t>
      </w:r>
      <w:r w:rsidR="001369A5" w:rsidRPr="00A17516">
        <w:rPr>
          <w:sz w:val="24"/>
          <w:szCs w:val="24"/>
        </w:rPr>
        <w:t>del contratista</w:t>
      </w:r>
      <w:r w:rsidR="008D17F8" w:rsidRPr="00A17516">
        <w:rPr>
          <w:sz w:val="24"/>
          <w:szCs w:val="24"/>
        </w:rPr>
        <w:t xml:space="preserve">, PCM tenía que presentar sus </w:t>
      </w:r>
      <w:r w:rsidR="002A0B41" w:rsidRPr="00A17516">
        <w:rPr>
          <w:sz w:val="24"/>
          <w:szCs w:val="24"/>
        </w:rPr>
        <w:t>objeciones ante PNUD</w:t>
      </w:r>
      <w:r w:rsidR="003563E7" w:rsidRPr="00A17516">
        <w:rPr>
          <w:sz w:val="24"/>
          <w:szCs w:val="24"/>
        </w:rPr>
        <w:t xml:space="preserve"> primero</w:t>
      </w:r>
      <w:r w:rsidR="00AA41FD" w:rsidRPr="00A17516">
        <w:rPr>
          <w:sz w:val="24"/>
          <w:szCs w:val="24"/>
        </w:rPr>
        <w:t xml:space="preserve">, para que este </w:t>
      </w:r>
      <w:r w:rsidR="0062631E" w:rsidRPr="00A17516">
        <w:rPr>
          <w:sz w:val="24"/>
          <w:szCs w:val="24"/>
        </w:rPr>
        <w:t>l</w:t>
      </w:r>
      <w:r w:rsidR="00A17516" w:rsidRPr="00A17516">
        <w:rPr>
          <w:sz w:val="24"/>
          <w:szCs w:val="24"/>
        </w:rPr>
        <w:t>os</w:t>
      </w:r>
      <w:r w:rsidR="0062631E" w:rsidRPr="00A17516">
        <w:rPr>
          <w:sz w:val="24"/>
          <w:szCs w:val="24"/>
        </w:rPr>
        <w:t xml:space="preserve"> transmita a la empresa</w:t>
      </w:r>
      <w:r w:rsidR="002A0B41" w:rsidRPr="00A17516">
        <w:rPr>
          <w:sz w:val="24"/>
          <w:szCs w:val="24"/>
        </w:rPr>
        <w:t xml:space="preserve">. </w:t>
      </w:r>
      <w:r w:rsidR="00771A3B" w:rsidRPr="00A17516">
        <w:rPr>
          <w:sz w:val="24"/>
          <w:szCs w:val="24"/>
        </w:rPr>
        <w:t>PNUD, por su parte, veló en todo momento por cumplir las responsabilidades financieras del proyecto, algo fundamental</w:t>
      </w:r>
      <w:r w:rsidR="004E41A4" w:rsidRPr="00A17516">
        <w:rPr>
          <w:sz w:val="24"/>
          <w:szCs w:val="24"/>
        </w:rPr>
        <w:t xml:space="preserve"> </w:t>
      </w:r>
      <w:r w:rsidR="00F90D91" w:rsidRPr="00A17516">
        <w:rPr>
          <w:sz w:val="24"/>
          <w:szCs w:val="24"/>
        </w:rPr>
        <w:t>para mantener el prestigio de todas las partes participantes</w:t>
      </w:r>
      <w:r w:rsidR="00741B75" w:rsidRPr="00A17516">
        <w:rPr>
          <w:sz w:val="24"/>
          <w:szCs w:val="24"/>
        </w:rPr>
        <w:t>.</w:t>
      </w:r>
    </w:p>
    <w:p w14:paraId="7CCD8F54" w14:textId="722BC61A" w:rsidR="00640139" w:rsidRDefault="00A17516" w:rsidP="00640139">
      <w:pPr>
        <w:jc w:val="both"/>
        <w:rPr>
          <w:sz w:val="24"/>
          <w:szCs w:val="24"/>
        </w:rPr>
      </w:pPr>
      <w:r w:rsidRPr="001B3E6F">
        <w:rPr>
          <w:sz w:val="24"/>
          <w:szCs w:val="24"/>
        </w:rPr>
        <w:lastRenderedPageBreak/>
        <w:t>Finalmente,</w:t>
      </w:r>
      <w:r w:rsidR="00640139" w:rsidRPr="001B3E6F">
        <w:rPr>
          <w:sz w:val="24"/>
          <w:szCs w:val="24"/>
        </w:rPr>
        <w:t xml:space="preserve"> se han presentado demoras para el cierre contable del proyecto</w:t>
      </w:r>
      <w:r w:rsidR="007F27DD" w:rsidRPr="001B3E6F">
        <w:rPr>
          <w:sz w:val="24"/>
          <w:szCs w:val="24"/>
        </w:rPr>
        <w:t xml:space="preserve"> (hasta el </w:t>
      </w:r>
      <w:r w:rsidR="00685865" w:rsidRPr="001B3E6F">
        <w:rPr>
          <w:sz w:val="24"/>
          <w:szCs w:val="24"/>
        </w:rPr>
        <w:t>momento</w:t>
      </w:r>
      <w:r w:rsidR="007F27DD" w:rsidRPr="001B3E6F">
        <w:rPr>
          <w:sz w:val="24"/>
          <w:szCs w:val="24"/>
        </w:rPr>
        <w:t xml:space="preserve"> de esta evaluación, el proyecto seguía en la etapa de cierre)</w:t>
      </w:r>
      <w:r w:rsidR="0062631E" w:rsidRPr="001B3E6F">
        <w:rPr>
          <w:sz w:val="24"/>
          <w:szCs w:val="24"/>
        </w:rPr>
        <w:t xml:space="preserve">, también asociadas a distintos criterios para la determinación </w:t>
      </w:r>
      <w:r w:rsidR="007F27DD" w:rsidRPr="001B3E6F">
        <w:rPr>
          <w:sz w:val="24"/>
          <w:szCs w:val="24"/>
        </w:rPr>
        <w:t>de los activos del proyecto</w:t>
      </w:r>
      <w:r w:rsidR="00640139" w:rsidRPr="001B3E6F">
        <w:rPr>
          <w:sz w:val="24"/>
          <w:szCs w:val="24"/>
        </w:rPr>
        <w:t>.</w:t>
      </w:r>
      <w:r w:rsidR="00640139" w:rsidRPr="00606EFC">
        <w:rPr>
          <w:sz w:val="24"/>
          <w:szCs w:val="24"/>
        </w:rPr>
        <w:t xml:space="preserve"> </w:t>
      </w:r>
    </w:p>
    <w:p w14:paraId="77E3428D" w14:textId="77777777" w:rsidR="001B3E6F" w:rsidRPr="00606EFC" w:rsidRDefault="001B3E6F" w:rsidP="00640139">
      <w:pPr>
        <w:jc w:val="both"/>
        <w:rPr>
          <w:sz w:val="24"/>
          <w:szCs w:val="24"/>
        </w:rPr>
      </w:pPr>
    </w:p>
    <w:p w14:paraId="513C2B05" w14:textId="2AABEE10" w:rsidR="002E69C4" w:rsidRPr="00606EFC" w:rsidRDefault="002E69C4" w:rsidP="00163457">
      <w:pPr>
        <w:pStyle w:val="ListParagraph"/>
        <w:numPr>
          <w:ilvl w:val="1"/>
          <w:numId w:val="10"/>
        </w:numPr>
        <w:jc w:val="both"/>
        <w:outlineLvl w:val="1"/>
        <w:rPr>
          <w:b/>
          <w:sz w:val="28"/>
          <w:szCs w:val="28"/>
        </w:rPr>
      </w:pPr>
      <w:bookmarkStart w:id="12" w:name="_Toc523393991"/>
      <w:r w:rsidRPr="00606EFC">
        <w:rPr>
          <w:b/>
          <w:sz w:val="28"/>
          <w:szCs w:val="28"/>
        </w:rPr>
        <w:t>Pertinencia</w:t>
      </w:r>
      <w:bookmarkEnd w:id="12"/>
    </w:p>
    <w:p w14:paraId="405AB0D9" w14:textId="6C888417" w:rsidR="00DB60F6" w:rsidRPr="001B3E6F" w:rsidRDefault="00425E5C" w:rsidP="00DB60F6">
      <w:pPr>
        <w:ind w:left="-360"/>
        <w:jc w:val="both"/>
        <w:rPr>
          <w:sz w:val="24"/>
          <w:szCs w:val="24"/>
        </w:rPr>
      </w:pPr>
      <w:r w:rsidRPr="001B3E6F">
        <w:rPr>
          <w:sz w:val="24"/>
          <w:szCs w:val="24"/>
        </w:rPr>
        <w:t>Según los entrevistados, l</w:t>
      </w:r>
      <w:r w:rsidR="00C73185" w:rsidRPr="001B3E6F">
        <w:rPr>
          <w:sz w:val="24"/>
          <w:szCs w:val="24"/>
        </w:rPr>
        <w:t xml:space="preserve">os objetivos del proyecto y los resultados esperados </w:t>
      </w:r>
      <w:r w:rsidR="00D34CEA" w:rsidRPr="001B3E6F">
        <w:rPr>
          <w:sz w:val="24"/>
          <w:szCs w:val="24"/>
        </w:rPr>
        <w:t>han sido</w:t>
      </w:r>
      <w:r w:rsidR="00C73185" w:rsidRPr="001B3E6F">
        <w:rPr>
          <w:sz w:val="24"/>
          <w:szCs w:val="24"/>
        </w:rPr>
        <w:t xml:space="preserve"> congruentes con las necesidades del país</w:t>
      </w:r>
      <w:r w:rsidR="00C57C6E" w:rsidRPr="001B3E6F">
        <w:rPr>
          <w:sz w:val="24"/>
          <w:szCs w:val="24"/>
        </w:rPr>
        <w:t xml:space="preserve"> y han abordado problemas que -sin desaparecer del todo</w:t>
      </w:r>
      <w:r w:rsidR="00A90591" w:rsidRPr="001B3E6F">
        <w:rPr>
          <w:sz w:val="24"/>
          <w:szCs w:val="24"/>
        </w:rPr>
        <w:t xml:space="preserve"> hasta la fecha</w:t>
      </w:r>
      <w:r w:rsidR="000023AC" w:rsidRPr="001B3E6F">
        <w:rPr>
          <w:sz w:val="24"/>
          <w:szCs w:val="24"/>
        </w:rPr>
        <w:t>- empiezan a encontrar cau</w:t>
      </w:r>
      <w:r w:rsidR="007D1FE4" w:rsidRPr="001B3E6F">
        <w:rPr>
          <w:sz w:val="24"/>
          <w:szCs w:val="24"/>
        </w:rPr>
        <w:t>c</w:t>
      </w:r>
      <w:r w:rsidR="000023AC" w:rsidRPr="001B3E6F">
        <w:rPr>
          <w:sz w:val="24"/>
          <w:szCs w:val="24"/>
        </w:rPr>
        <w:t>es de solución</w:t>
      </w:r>
      <w:r w:rsidR="00C73185" w:rsidRPr="001B3E6F">
        <w:rPr>
          <w:sz w:val="24"/>
          <w:szCs w:val="24"/>
        </w:rPr>
        <w:t>.</w:t>
      </w:r>
      <w:r w:rsidR="005F3FB6" w:rsidRPr="001B3E6F">
        <w:rPr>
          <w:sz w:val="24"/>
          <w:szCs w:val="24"/>
        </w:rPr>
        <w:t xml:space="preserve"> Ninguno de los componentes del proyecto ha sido </w:t>
      </w:r>
      <w:r w:rsidR="00515314" w:rsidRPr="001B3E6F">
        <w:rPr>
          <w:sz w:val="24"/>
          <w:szCs w:val="24"/>
        </w:rPr>
        <w:t>considerado</w:t>
      </w:r>
      <w:r w:rsidR="005F3FB6" w:rsidRPr="001B3E6F">
        <w:rPr>
          <w:sz w:val="24"/>
          <w:szCs w:val="24"/>
        </w:rPr>
        <w:t xml:space="preserve"> arbitrarios o desarticulados de alguna línea de </w:t>
      </w:r>
      <w:r w:rsidR="006F70A3" w:rsidRPr="001B3E6F">
        <w:rPr>
          <w:sz w:val="24"/>
          <w:szCs w:val="24"/>
        </w:rPr>
        <w:t xml:space="preserve">política que </w:t>
      </w:r>
      <w:r w:rsidR="000023AC" w:rsidRPr="001B3E6F">
        <w:rPr>
          <w:sz w:val="24"/>
          <w:szCs w:val="24"/>
        </w:rPr>
        <w:t>e</w:t>
      </w:r>
      <w:r w:rsidR="00FC188E" w:rsidRPr="001B3E6F">
        <w:rPr>
          <w:sz w:val="24"/>
          <w:szCs w:val="24"/>
        </w:rPr>
        <w:t>l gobierno considere prioritaria</w:t>
      </w:r>
      <w:r w:rsidR="00D7412D" w:rsidRPr="001B3E6F">
        <w:rPr>
          <w:sz w:val="24"/>
          <w:szCs w:val="24"/>
        </w:rPr>
        <w:t xml:space="preserve">. Ello se explica por la </w:t>
      </w:r>
      <w:r w:rsidR="008D1187" w:rsidRPr="001B3E6F">
        <w:rPr>
          <w:sz w:val="24"/>
          <w:szCs w:val="24"/>
        </w:rPr>
        <w:t>naturaleza misma</w:t>
      </w:r>
      <w:r w:rsidR="00D7412D" w:rsidRPr="001B3E6F">
        <w:rPr>
          <w:sz w:val="24"/>
          <w:szCs w:val="24"/>
        </w:rPr>
        <w:t xml:space="preserve"> del proyecto,</w:t>
      </w:r>
      <w:r w:rsidR="008D1187" w:rsidRPr="001B3E6F">
        <w:rPr>
          <w:sz w:val="24"/>
          <w:szCs w:val="24"/>
        </w:rPr>
        <w:t xml:space="preserve"> en el marco de </w:t>
      </w:r>
      <w:r w:rsidR="00570373" w:rsidRPr="001B3E6F">
        <w:rPr>
          <w:sz w:val="24"/>
          <w:szCs w:val="24"/>
        </w:rPr>
        <w:t>los convenios</w:t>
      </w:r>
      <w:r w:rsidR="007B6BF2" w:rsidRPr="001B3E6F">
        <w:rPr>
          <w:sz w:val="24"/>
          <w:szCs w:val="24"/>
        </w:rPr>
        <w:t xml:space="preserve"> que el Estado Peruano ha firmado</w:t>
      </w:r>
      <w:r w:rsidR="00570373" w:rsidRPr="001B3E6F">
        <w:rPr>
          <w:sz w:val="24"/>
          <w:szCs w:val="24"/>
        </w:rPr>
        <w:t xml:space="preserve"> con</w:t>
      </w:r>
      <w:r w:rsidR="008D1187" w:rsidRPr="001B3E6F">
        <w:rPr>
          <w:sz w:val="24"/>
          <w:szCs w:val="24"/>
        </w:rPr>
        <w:t xml:space="preserve"> PNUD: </w:t>
      </w:r>
      <w:r w:rsidR="00570373" w:rsidRPr="001B3E6F">
        <w:rPr>
          <w:sz w:val="24"/>
          <w:szCs w:val="24"/>
        </w:rPr>
        <w:t>se trata de un proyecto de acompañamiento a</w:t>
      </w:r>
      <w:r w:rsidR="00FB6B48" w:rsidRPr="001B3E6F">
        <w:rPr>
          <w:sz w:val="24"/>
          <w:szCs w:val="24"/>
        </w:rPr>
        <w:t xml:space="preserve"> </w:t>
      </w:r>
      <w:r w:rsidR="00570373" w:rsidRPr="001B3E6F">
        <w:rPr>
          <w:sz w:val="24"/>
          <w:szCs w:val="24"/>
        </w:rPr>
        <w:t>l</w:t>
      </w:r>
      <w:r w:rsidR="00FB6B48" w:rsidRPr="001B3E6F">
        <w:rPr>
          <w:sz w:val="24"/>
          <w:szCs w:val="24"/>
        </w:rPr>
        <w:t>a gestión del</w:t>
      </w:r>
      <w:r w:rsidR="00570373" w:rsidRPr="001B3E6F">
        <w:rPr>
          <w:sz w:val="24"/>
          <w:szCs w:val="24"/>
        </w:rPr>
        <w:t xml:space="preserve"> gobierno peruano, por el cual los recursos son del tesoro público.</w:t>
      </w:r>
      <w:r w:rsidR="00D7412D" w:rsidRPr="001B3E6F">
        <w:rPr>
          <w:sz w:val="24"/>
          <w:szCs w:val="24"/>
        </w:rPr>
        <w:t xml:space="preserve"> </w:t>
      </w:r>
      <w:r w:rsidR="00570373" w:rsidRPr="001B3E6F">
        <w:rPr>
          <w:sz w:val="24"/>
          <w:szCs w:val="24"/>
        </w:rPr>
        <w:t>Dada esta naturaleza,</w:t>
      </w:r>
      <w:r w:rsidR="00A90591" w:rsidRPr="001B3E6F">
        <w:rPr>
          <w:sz w:val="24"/>
          <w:szCs w:val="24"/>
        </w:rPr>
        <w:t xml:space="preserve"> el proyecto siempre </w:t>
      </w:r>
      <w:r w:rsidR="00F068B4" w:rsidRPr="001B3E6F">
        <w:rPr>
          <w:sz w:val="24"/>
          <w:szCs w:val="24"/>
        </w:rPr>
        <w:t xml:space="preserve">fue lo suficientemente </w:t>
      </w:r>
      <w:r w:rsidR="001B3E6F">
        <w:rPr>
          <w:sz w:val="24"/>
          <w:szCs w:val="24"/>
        </w:rPr>
        <w:t>flexible</w:t>
      </w:r>
      <w:r w:rsidR="00F068B4" w:rsidRPr="001B3E6F">
        <w:rPr>
          <w:sz w:val="24"/>
          <w:szCs w:val="24"/>
        </w:rPr>
        <w:t xml:space="preserve"> como para</w:t>
      </w:r>
      <w:r w:rsidR="00A90591" w:rsidRPr="001B3E6F">
        <w:rPr>
          <w:sz w:val="24"/>
          <w:szCs w:val="24"/>
        </w:rPr>
        <w:t xml:space="preserve"> apoyar </w:t>
      </w:r>
      <w:r w:rsidR="00F068B4" w:rsidRPr="001B3E6F">
        <w:rPr>
          <w:sz w:val="24"/>
          <w:szCs w:val="24"/>
        </w:rPr>
        <w:t>nuevas</w:t>
      </w:r>
      <w:r w:rsidR="001B3E6F">
        <w:rPr>
          <w:sz w:val="24"/>
          <w:szCs w:val="24"/>
        </w:rPr>
        <w:t xml:space="preserve"> iniciativas d</w:t>
      </w:r>
      <w:r w:rsidR="008A67FB" w:rsidRPr="001B3E6F">
        <w:rPr>
          <w:sz w:val="24"/>
          <w:szCs w:val="24"/>
        </w:rPr>
        <w:t>el Ejecutivo</w:t>
      </w:r>
      <w:r w:rsidR="00F43225" w:rsidRPr="001B3E6F">
        <w:rPr>
          <w:sz w:val="24"/>
          <w:szCs w:val="24"/>
        </w:rPr>
        <w:t>.</w:t>
      </w:r>
    </w:p>
    <w:p w14:paraId="710C8EEF" w14:textId="1D3F3A08" w:rsidR="007F2CC8" w:rsidRPr="001B3E6F" w:rsidRDefault="007F2CC8" w:rsidP="00DB60F6">
      <w:pPr>
        <w:ind w:left="-360"/>
        <w:jc w:val="both"/>
        <w:rPr>
          <w:sz w:val="24"/>
          <w:szCs w:val="24"/>
        </w:rPr>
      </w:pPr>
      <w:r w:rsidRPr="001B3E6F">
        <w:rPr>
          <w:sz w:val="24"/>
          <w:szCs w:val="24"/>
        </w:rPr>
        <w:t>Las evaluaciones del proceso de transferencia de competencias</w:t>
      </w:r>
      <w:r w:rsidR="006473F3" w:rsidRPr="001B3E6F">
        <w:rPr>
          <w:sz w:val="24"/>
          <w:szCs w:val="24"/>
        </w:rPr>
        <w:t xml:space="preserve"> y la determinación de AMC fueron pertinentes a la luz </w:t>
      </w:r>
      <w:r w:rsidR="0099084C" w:rsidRPr="001B3E6F">
        <w:rPr>
          <w:sz w:val="24"/>
          <w:szCs w:val="24"/>
        </w:rPr>
        <w:t>del</w:t>
      </w:r>
      <w:r w:rsidR="00A56D2F" w:rsidRPr="001B3E6F">
        <w:rPr>
          <w:sz w:val="24"/>
          <w:szCs w:val="24"/>
        </w:rPr>
        <w:t xml:space="preserve"> amplio avance de la transferencia hacia el año 2011 (más del 90% de competencias transferidas)</w:t>
      </w:r>
      <w:r w:rsidR="0018412F" w:rsidRPr="001B3E6F">
        <w:rPr>
          <w:sz w:val="24"/>
          <w:szCs w:val="24"/>
        </w:rPr>
        <w:t xml:space="preserve"> y con el</w:t>
      </w:r>
      <w:r w:rsidR="0099084C" w:rsidRPr="001B3E6F">
        <w:rPr>
          <w:sz w:val="24"/>
          <w:szCs w:val="24"/>
        </w:rPr>
        <w:t xml:space="preserve"> cambio de paradigma hacia la gestión descentralizada</w:t>
      </w:r>
      <w:r w:rsidR="00680988" w:rsidRPr="001B3E6F">
        <w:rPr>
          <w:sz w:val="24"/>
          <w:szCs w:val="24"/>
        </w:rPr>
        <w:t xml:space="preserve"> que operó </w:t>
      </w:r>
      <w:r w:rsidR="0018412F" w:rsidRPr="001B3E6F">
        <w:rPr>
          <w:sz w:val="24"/>
          <w:szCs w:val="24"/>
        </w:rPr>
        <w:t>con la revisión sustantiva de 2013</w:t>
      </w:r>
      <w:r w:rsidR="00680988" w:rsidRPr="001B3E6F">
        <w:rPr>
          <w:sz w:val="24"/>
          <w:szCs w:val="24"/>
        </w:rPr>
        <w:t>.</w:t>
      </w:r>
    </w:p>
    <w:p w14:paraId="0FF796BC" w14:textId="15CC469F" w:rsidR="007A2863" w:rsidRPr="001B3E6F" w:rsidRDefault="007A2863" w:rsidP="00DB60F6">
      <w:pPr>
        <w:ind w:left="-360"/>
        <w:jc w:val="both"/>
        <w:rPr>
          <w:sz w:val="24"/>
          <w:szCs w:val="24"/>
        </w:rPr>
      </w:pPr>
      <w:r w:rsidRPr="001B3E6F">
        <w:rPr>
          <w:sz w:val="24"/>
          <w:szCs w:val="24"/>
        </w:rPr>
        <w:t>Los GORE han sido bien recibidos entre las autoridades regionales, pese a la existencia de desavenencias</w:t>
      </w:r>
      <w:r w:rsidR="00187F75" w:rsidRPr="001B3E6F">
        <w:rPr>
          <w:sz w:val="24"/>
          <w:szCs w:val="24"/>
        </w:rPr>
        <w:t xml:space="preserve"> menores</w:t>
      </w:r>
      <w:r w:rsidRPr="001B3E6F">
        <w:rPr>
          <w:sz w:val="24"/>
          <w:szCs w:val="24"/>
        </w:rPr>
        <w:t xml:space="preserve"> sobre su naturaleza y el ámbito de las discusiones que deberían darse en su seno. Para </w:t>
      </w:r>
      <w:r w:rsidR="002F0FB5" w:rsidRPr="001B3E6F">
        <w:rPr>
          <w:sz w:val="24"/>
          <w:szCs w:val="24"/>
        </w:rPr>
        <w:t>un</w:t>
      </w:r>
      <w:r w:rsidRPr="001B3E6F">
        <w:rPr>
          <w:sz w:val="24"/>
          <w:szCs w:val="24"/>
        </w:rPr>
        <w:t xml:space="preserve"> representante del Gobierno Regional de San Martín, </w:t>
      </w:r>
      <w:r w:rsidR="00E66894" w:rsidRPr="001B3E6F">
        <w:rPr>
          <w:sz w:val="24"/>
          <w:szCs w:val="24"/>
        </w:rPr>
        <w:t>los GORE articulan y destraban</w:t>
      </w:r>
      <w:r w:rsidR="00AC40B3" w:rsidRPr="001B3E6F">
        <w:rPr>
          <w:sz w:val="24"/>
          <w:szCs w:val="24"/>
        </w:rPr>
        <w:t xml:space="preserve">. Para la gerencia de desarrollo social de San Martín, </w:t>
      </w:r>
      <w:r w:rsidR="00187F75" w:rsidRPr="001B3E6F">
        <w:rPr>
          <w:sz w:val="24"/>
          <w:szCs w:val="24"/>
        </w:rPr>
        <w:t xml:space="preserve">este mecanismo </w:t>
      </w:r>
      <w:r w:rsidR="00AC40B3" w:rsidRPr="001B3E6F">
        <w:rPr>
          <w:sz w:val="24"/>
          <w:szCs w:val="24"/>
        </w:rPr>
        <w:t xml:space="preserve">brinda un </w:t>
      </w:r>
      <w:r w:rsidR="006A170B" w:rsidRPr="001B3E6F">
        <w:rPr>
          <w:sz w:val="24"/>
          <w:szCs w:val="24"/>
        </w:rPr>
        <w:t xml:space="preserve">enlace </w:t>
      </w:r>
      <w:r w:rsidR="00E66894" w:rsidRPr="001B3E6F">
        <w:rPr>
          <w:sz w:val="24"/>
          <w:szCs w:val="24"/>
        </w:rPr>
        <w:t>directo de coordinación con los programas sociales</w:t>
      </w:r>
      <w:r w:rsidR="00AC40B3" w:rsidRPr="001B3E6F">
        <w:rPr>
          <w:sz w:val="24"/>
          <w:szCs w:val="24"/>
        </w:rPr>
        <w:t>. Comparado con iniciativas previas durante las gestiones anteriores (consejo de ministros descentralizado, comisiones de trabajo</w:t>
      </w:r>
      <w:r w:rsidR="002F0FB5" w:rsidRPr="001B3E6F">
        <w:rPr>
          <w:sz w:val="24"/>
          <w:szCs w:val="24"/>
        </w:rPr>
        <w:t>, etc.</w:t>
      </w:r>
      <w:r w:rsidR="00AC40B3" w:rsidRPr="001B3E6F">
        <w:rPr>
          <w:sz w:val="24"/>
          <w:szCs w:val="24"/>
        </w:rPr>
        <w:t>)</w:t>
      </w:r>
      <w:r w:rsidR="001944C9" w:rsidRPr="001B3E6F">
        <w:rPr>
          <w:sz w:val="24"/>
          <w:szCs w:val="24"/>
        </w:rPr>
        <w:t xml:space="preserve">, </w:t>
      </w:r>
      <w:r w:rsidR="002F0FB5" w:rsidRPr="001B3E6F">
        <w:rPr>
          <w:sz w:val="24"/>
          <w:szCs w:val="24"/>
        </w:rPr>
        <w:t xml:space="preserve">los GORE son </w:t>
      </w:r>
      <w:r w:rsidR="00846F7C" w:rsidRPr="001B3E6F">
        <w:rPr>
          <w:sz w:val="24"/>
          <w:szCs w:val="24"/>
        </w:rPr>
        <w:t xml:space="preserve">mecanismos </w:t>
      </w:r>
      <w:r w:rsidR="001944C9" w:rsidRPr="001B3E6F">
        <w:rPr>
          <w:sz w:val="24"/>
          <w:szCs w:val="24"/>
        </w:rPr>
        <w:t>que agiliza</w:t>
      </w:r>
      <w:r w:rsidR="00846F7C" w:rsidRPr="001B3E6F">
        <w:rPr>
          <w:sz w:val="24"/>
          <w:szCs w:val="24"/>
        </w:rPr>
        <w:t>n</w:t>
      </w:r>
      <w:r w:rsidR="001944C9" w:rsidRPr="001B3E6F">
        <w:rPr>
          <w:sz w:val="24"/>
          <w:szCs w:val="24"/>
        </w:rPr>
        <w:t xml:space="preserve"> y </w:t>
      </w:r>
      <w:r w:rsidR="00846F7C" w:rsidRPr="001B3E6F">
        <w:rPr>
          <w:sz w:val="24"/>
          <w:szCs w:val="24"/>
        </w:rPr>
        <w:t>de los cuales</w:t>
      </w:r>
      <w:r w:rsidR="001944C9" w:rsidRPr="001B3E6F">
        <w:rPr>
          <w:sz w:val="24"/>
          <w:szCs w:val="24"/>
        </w:rPr>
        <w:t xml:space="preserve"> los gobiernos regionales sacan el mayor provecho.</w:t>
      </w:r>
    </w:p>
    <w:p w14:paraId="05697735" w14:textId="3A0BCBEF" w:rsidR="003A360B" w:rsidRPr="001B3E6F" w:rsidRDefault="00846F7C" w:rsidP="00DB60F6">
      <w:pPr>
        <w:ind w:left="-360"/>
        <w:jc w:val="both"/>
        <w:rPr>
          <w:sz w:val="24"/>
          <w:szCs w:val="24"/>
        </w:rPr>
      </w:pPr>
      <w:r w:rsidRPr="001B3E6F">
        <w:rPr>
          <w:sz w:val="24"/>
          <w:szCs w:val="24"/>
        </w:rPr>
        <w:t>Alto en el ranking de pertinencia</w:t>
      </w:r>
      <w:r w:rsidR="00F43225" w:rsidRPr="001B3E6F">
        <w:rPr>
          <w:sz w:val="24"/>
          <w:szCs w:val="24"/>
        </w:rPr>
        <w:t xml:space="preserve"> se encuentra</w:t>
      </w:r>
      <w:r w:rsidRPr="001B3E6F">
        <w:rPr>
          <w:sz w:val="24"/>
          <w:szCs w:val="24"/>
        </w:rPr>
        <w:t>n</w:t>
      </w:r>
      <w:r w:rsidR="008E2933" w:rsidRPr="001B3E6F">
        <w:rPr>
          <w:sz w:val="24"/>
          <w:szCs w:val="24"/>
        </w:rPr>
        <w:t xml:space="preserve"> las </w:t>
      </w:r>
      <w:r w:rsidR="00F43225" w:rsidRPr="001B3E6F">
        <w:rPr>
          <w:sz w:val="24"/>
          <w:szCs w:val="24"/>
        </w:rPr>
        <w:t xml:space="preserve">actividades del componente de modernización. </w:t>
      </w:r>
      <w:r w:rsidR="003A360B" w:rsidRPr="001B3E6F">
        <w:rPr>
          <w:sz w:val="24"/>
          <w:szCs w:val="24"/>
        </w:rPr>
        <w:t xml:space="preserve">Por ejemplo, en lo que toca al sistema </w:t>
      </w:r>
      <w:proofErr w:type="spellStart"/>
      <w:r w:rsidR="003A360B" w:rsidRPr="001B3E6F">
        <w:rPr>
          <w:sz w:val="24"/>
          <w:szCs w:val="24"/>
        </w:rPr>
        <w:t>georeferenciado</w:t>
      </w:r>
      <w:proofErr w:type="spellEnd"/>
      <w:r w:rsidR="003A360B" w:rsidRPr="001B3E6F">
        <w:rPr>
          <w:sz w:val="24"/>
          <w:szCs w:val="24"/>
        </w:rPr>
        <w:t xml:space="preserve"> </w:t>
      </w:r>
      <w:proofErr w:type="spellStart"/>
      <w:r w:rsidR="003A360B" w:rsidRPr="001B3E6F">
        <w:rPr>
          <w:sz w:val="24"/>
          <w:szCs w:val="24"/>
        </w:rPr>
        <w:t>Say</w:t>
      </w:r>
      <w:r w:rsidR="000F6E54" w:rsidRPr="001B3E6F">
        <w:rPr>
          <w:sz w:val="24"/>
          <w:szCs w:val="24"/>
        </w:rPr>
        <w:t>hu</w:t>
      </w:r>
      <w:r w:rsidR="003A360B" w:rsidRPr="001B3E6F">
        <w:rPr>
          <w:sz w:val="24"/>
          <w:szCs w:val="24"/>
        </w:rPr>
        <w:t>ite</w:t>
      </w:r>
      <w:proofErr w:type="spellEnd"/>
      <w:r w:rsidR="003A360B" w:rsidRPr="001B3E6F">
        <w:rPr>
          <w:sz w:val="24"/>
          <w:szCs w:val="24"/>
        </w:rPr>
        <w:t>, hasta 2013 existían 90</w:t>
      </w:r>
      <w:r w:rsidR="00DB60F6" w:rsidRPr="001B3E6F">
        <w:rPr>
          <w:sz w:val="24"/>
          <w:szCs w:val="24"/>
        </w:rPr>
        <w:t xml:space="preserve"> plataformas a nivel de gobierno nacional que </w:t>
      </w:r>
      <w:r w:rsidR="009D1385" w:rsidRPr="001B3E6F">
        <w:rPr>
          <w:sz w:val="24"/>
          <w:szCs w:val="24"/>
        </w:rPr>
        <w:t>incluían</w:t>
      </w:r>
      <w:r w:rsidR="00DB60F6" w:rsidRPr="001B3E6F">
        <w:rPr>
          <w:sz w:val="24"/>
          <w:szCs w:val="24"/>
        </w:rPr>
        <w:t xml:space="preserve"> visores de mapas desactualizados, sin estándar</w:t>
      </w:r>
      <w:r w:rsidR="009D1385" w:rsidRPr="001B3E6F">
        <w:rPr>
          <w:sz w:val="24"/>
          <w:szCs w:val="24"/>
        </w:rPr>
        <w:t>es</w:t>
      </w:r>
      <w:r w:rsidR="00DB60F6" w:rsidRPr="001B3E6F">
        <w:rPr>
          <w:sz w:val="24"/>
          <w:szCs w:val="24"/>
        </w:rPr>
        <w:t xml:space="preserve"> ni política que los dirija. Por ello se </w:t>
      </w:r>
      <w:r w:rsidR="009D1385" w:rsidRPr="001B3E6F">
        <w:rPr>
          <w:sz w:val="24"/>
          <w:szCs w:val="24"/>
        </w:rPr>
        <w:t>apostó</w:t>
      </w:r>
      <w:r w:rsidR="00DB60F6" w:rsidRPr="001B3E6F">
        <w:rPr>
          <w:sz w:val="24"/>
          <w:szCs w:val="24"/>
        </w:rPr>
        <w:t xml:space="preserve"> por </w:t>
      </w:r>
      <w:proofErr w:type="spellStart"/>
      <w:r w:rsidR="00DB60F6" w:rsidRPr="001B3E6F">
        <w:rPr>
          <w:sz w:val="24"/>
          <w:szCs w:val="24"/>
        </w:rPr>
        <w:t>Say</w:t>
      </w:r>
      <w:r w:rsidR="00197181" w:rsidRPr="001B3E6F">
        <w:rPr>
          <w:sz w:val="24"/>
          <w:szCs w:val="24"/>
        </w:rPr>
        <w:t>hu</w:t>
      </w:r>
      <w:r w:rsidR="00DB60F6" w:rsidRPr="001B3E6F">
        <w:rPr>
          <w:sz w:val="24"/>
          <w:szCs w:val="24"/>
        </w:rPr>
        <w:t>ite</w:t>
      </w:r>
      <w:proofErr w:type="spellEnd"/>
      <w:r w:rsidR="00DB60F6" w:rsidRPr="001B3E6F">
        <w:rPr>
          <w:sz w:val="24"/>
          <w:szCs w:val="24"/>
        </w:rPr>
        <w:t xml:space="preserve"> como un sistema integrado.</w:t>
      </w:r>
      <w:r w:rsidR="009259B1" w:rsidRPr="001B3E6F">
        <w:rPr>
          <w:sz w:val="24"/>
          <w:szCs w:val="24"/>
        </w:rPr>
        <w:t xml:space="preserve"> Ello no </w:t>
      </w:r>
      <w:r w:rsidR="009D1385" w:rsidRPr="001B3E6F">
        <w:rPr>
          <w:sz w:val="24"/>
          <w:szCs w:val="24"/>
        </w:rPr>
        <w:t>ha significado</w:t>
      </w:r>
      <w:r w:rsidR="009259B1" w:rsidRPr="001B3E6F">
        <w:rPr>
          <w:sz w:val="24"/>
          <w:szCs w:val="24"/>
        </w:rPr>
        <w:t xml:space="preserve"> que las plataformas hayan desaparecido pero ahora sí existe una que las integra a todas.</w:t>
      </w:r>
    </w:p>
    <w:p w14:paraId="17D16DFC" w14:textId="77777777" w:rsidR="00390EBD" w:rsidRPr="001B3E6F" w:rsidRDefault="00F43225" w:rsidP="00DB60F6">
      <w:pPr>
        <w:ind w:left="-360"/>
        <w:jc w:val="both"/>
        <w:rPr>
          <w:sz w:val="24"/>
          <w:szCs w:val="24"/>
        </w:rPr>
      </w:pPr>
      <w:r w:rsidRPr="001B3E6F">
        <w:rPr>
          <w:sz w:val="24"/>
          <w:szCs w:val="24"/>
        </w:rPr>
        <w:t xml:space="preserve">En lo que toca al componente MAC, </w:t>
      </w:r>
      <w:r w:rsidR="00E510C2" w:rsidRPr="001B3E6F">
        <w:rPr>
          <w:sz w:val="24"/>
          <w:szCs w:val="24"/>
        </w:rPr>
        <w:t>la pertinencia del mismo ha sido fundamentada en</w:t>
      </w:r>
      <w:r w:rsidR="00390EBD" w:rsidRPr="001B3E6F">
        <w:rPr>
          <w:sz w:val="24"/>
          <w:szCs w:val="24"/>
        </w:rPr>
        <w:t>:</w:t>
      </w:r>
    </w:p>
    <w:p w14:paraId="7007DA4D" w14:textId="6604153A" w:rsidR="00390EBD" w:rsidRPr="001B3E6F" w:rsidRDefault="00E510C2" w:rsidP="00390EBD">
      <w:pPr>
        <w:pStyle w:val="ListParagraph"/>
        <w:numPr>
          <w:ilvl w:val="0"/>
          <w:numId w:val="6"/>
        </w:numPr>
        <w:jc w:val="both"/>
        <w:rPr>
          <w:sz w:val="24"/>
          <w:szCs w:val="24"/>
        </w:rPr>
      </w:pPr>
      <w:r w:rsidRPr="001B3E6F">
        <w:rPr>
          <w:sz w:val="24"/>
          <w:szCs w:val="24"/>
        </w:rPr>
        <w:t>sus costos</w:t>
      </w:r>
      <w:r w:rsidR="00822DF7" w:rsidRPr="001B3E6F">
        <w:rPr>
          <w:sz w:val="24"/>
          <w:szCs w:val="24"/>
        </w:rPr>
        <w:t xml:space="preserve">, y los ahorros que se obtienen </w:t>
      </w:r>
      <w:r w:rsidR="00FA575E" w:rsidRPr="001B3E6F">
        <w:rPr>
          <w:sz w:val="24"/>
          <w:szCs w:val="24"/>
        </w:rPr>
        <w:t>entre las entidades participantes en un MAC</w:t>
      </w:r>
      <w:r w:rsidR="002E07C2" w:rsidRPr="001B3E6F">
        <w:rPr>
          <w:rStyle w:val="FootnoteReference"/>
          <w:sz w:val="24"/>
          <w:szCs w:val="24"/>
        </w:rPr>
        <w:footnoteReference w:id="22"/>
      </w:r>
      <w:r w:rsidR="008E2933" w:rsidRPr="001B3E6F">
        <w:rPr>
          <w:sz w:val="24"/>
          <w:szCs w:val="24"/>
        </w:rPr>
        <w:t>.</w:t>
      </w:r>
    </w:p>
    <w:p w14:paraId="0D899CC4" w14:textId="6F70EF6B" w:rsidR="00F43225" w:rsidRPr="001B3E6F" w:rsidRDefault="00327018" w:rsidP="00390EBD">
      <w:pPr>
        <w:pStyle w:val="ListParagraph"/>
        <w:numPr>
          <w:ilvl w:val="0"/>
          <w:numId w:val="6"/>
        </w:numPr>
        <w:jc w:val="both"/>
        <w:rPr>
          <w:sz w:val="24"/>
          <w:szCs w:val="24"/>
        </w:rPr>
      </w:pPr>
      <w:r w:rsidRPr="001B3E6F">
        <w:rPr>
          <w:sz w:val="24"/>
          <w:szCs w:val="24"/>
        </w:rPr>
        <w:lastRenderedPageBreak/>
        <w:t>en su modelo orientado por la demanda: son los</w:t>
      </w:r>
      <w:r w:rsidR="0090796E" w:rsidRPr="001B3E6F">
        <w:rPr>
          <w:sz w:val="24"/>
          <w:szCs w:val="24"/>
        </w:rPr>
        <w:t xml:space="preserve"> propios</w:t>
      </w:r>
      <w:r w:rsidRPr="001B3E6F">
        <w:rPr>
          <w:sz w:val="24"/>
          <w:szCs w:val="24"/>
        </w:rPr>
        <w:t xml:space="preserve"> centros comerciales los que se interesan activamente en implantar</w:t>
      </w:r>
      <w:r w:rsidR="0090796E" w:rsidRPr="001B3E6F">
        <w:rPr>
          <w:sz w:val="24"/>
          <w:szCs w:val="24"/>
        </w:rPr>
        <w:t xml:space="preserve"> los</w:t>
      </w:r>
      <w:r w:rsidRPr="001B3E6F">
        <w:rPr>
          <w:sz w:val="24"/>
          <w:szCs w:val="24"/>
        </w:rPr>
        <w:t xml:space="preserve"> MAC en sus instalaciones, por el “público cautivo” que significa tener </w:t>
      </w:r>
      <w:r w:rsidR="00390EBD" w:rsidRPr="001B3E6F">
        <w:rPr>
          <w:sz w:val="24"/>
          <w:szCs w:val="24"/>
        </w:rPr>
        <w:t>a miles de usuarios pasando por las instalaciones del centro comercial al día.</w:t>
      </w:r>
    </w:p>
    <w:p w14:paraId="64B6C85B" w14:textId="2EA8DFD6" w:rsidR="00390EBD" w:rsidRPr="001B3E6F" w:rsidRDefault="007E2B90" w:rsidP="00390EBD">
      <w:pPr>
        <w:pStyle w:val="ListParagraph"/>
        <w:numPr>
          <w:ilvl w:val="0"/>
          <w:numId w:val="6"/>
        </w:numPr>
        <w:jc w:val="both"/>
        <w:rPr>
          <w:sz w:val="24"/>
          <w:szCs w:val="24"/>
        </w:rPr>
      </w:pPr>
      <w:r w:rsidRPr="001B3E6F">
        <w:rPr>
          <w:sz w:val="24"/>
          <w:szCs w:val="24"/>
        </w:rPr>
        <w:t xml:space="preserve">La cultura de relacionamiento del ciudadano con el Estado: </w:t>
      </w:r>
      <w:r w:rsidR="00647F96" w:rsidRPr="001B3E6F">
        <w:rPr>
          <w:sz w:val="24"/>
          <w:szCs w:val="24"/>
        </w:rPr>
        <w:t>según la secretaría de gestión pública, los ciudadanos aún necesitan mucha interacción personal para entender los requisitos que se les piden</w:t>
      </w:r>
      <w:r w:rsidR="003A3615" w:rsidRPr="001B3E6F">
        <w:rPr>
          <w:sz w:val="24"/>
          <w:szCs w:val="24"/>
        </w:rPr>
        <w:t xml:space="preserve"> desde las oficinas públicas</w:t>
      </w:r>
      <w:r w:rsidR="00647F96" w:rsidRPr="001B3E6F">
        <w:rPr>
          <w:sz w:val="24"/>
          <w:szCs w:val="24"/>
        </w:rPr>
        <w:t xml:space="preserve">. Así, un ciudadano promedio </w:t>
      </w:r>
      <w:r w:rsidR="00607530" w:rsidRPr="001B3E6F">
        <w:rPr>
          <w:sz w:val="24"/>
          <w:szCs w:val="24"/>
        </w:rPr>
        <w:t xml:space="preserve">usuario de la línea Aló MAC </w:t>
      </w:r>
      <w:r w:rsidR="00647F96" w:rsidRPr="001B3E6F">
        <w:rPr>
          <w:sz w:val="24"/>
          <w:szCs w:val="24"/>
        </w:rPr>
        <w:t xml:space="preserve">llama alrededor de </w:t>
      </w:r>
      <w:r w:rsidR="000676B9" w:rsidRPr="001B3E6F">
        <w:rPr>
          <w:sz w:val="24"/>
          <w:szCs w:val="24"/>
        </w:rPr>
        <w:t>20 a 25 minutos</w:t>
      </w:r>
      <w:r w:rsidR="00607530" w:rsidRPr="001B3E6F">
        <w:rPr>
          <w:sz w:val="24"/>
          <w:szCs w:val="24"/>
        </w:rPr>
        <w:t xml:space="preserve"> y se informa alrededor de cuatro veces sobre los requisitos de un procedimiento. Según la prospectiva de la secretaría, el “usuario presencial” todavía será dominante en el Perú hasta dentro de</w:t>
      </w:r>
      <w:r w:rsidR="003A3615" w:rsidRPr="001B3E6F">
        <w:rPr>
          <w:sz w:val="24"/>
          <w:szCs w:val="24"/>
        </w:rPr>
        <w:t xml:space="preserve"> diez a quince años</w:t>
      </w:r>
      <w:r w:rsidR="003A3615" w:rsidRPr="001B3E6F">
        <w:rPr>
          <w:rStyle w:val="FootnoteReference"/>
          <w:sz w:val="24"/>
          <w:szCs w:val="24"/>
        </w:rPr>
        <w:footnoteReference w:id="23"/>
      </w:r>
      <w:r w:rsidR="003A3615" w:rsidRPr="001B3E6F">
        <w:rPr>
          <w:sz w:val="24"/>
          <w:szCs w:val="24"/>
        </w:rPr>
        <w:t>.</w:t>
      </w:r>
    </w:p>
    <w:p w14:paraId="160F4284" w14:textId="77777777" w:rsidR="00C73185" w:rsidRPr="001B3E6F" w:rsidRDefault="00C73185" w:rsidP="00E70362">
      <w:pPr>
        <w:ind w:left="-360"/>
        <w:jc w:val="both"/>
        <w:rPr>
          <w:b/>
          <w:sz w:val="24"/>
          <w:szCs w:val="24"/>
        </w:rPr>
      </w:pPr>
    </w:p>
    <w:p w14:paraId="1A95E1C3" w14:textId="77777777" w:rsidR="006942C8" w:rsidRPr="00F22118" w:rsidRDefault="002E69C4" w:rsidP="00163457">
      <w:pPr>
        <w:pStyle w:val="ListParagraph"/>
        <w:numPr>
          <w:ilvl w:val="1"/>
          <w:numId w:val="10"/>
        </w:numPr>
        <w:ind w:left="720"/>
        <w:jc w:val="both"/>
        <w:outlineLvl w:val="1"/>
        <w:rPr>
          <w:b/>
          <w:sz w:val="28"/>
          <w:szCs w:val="28"/>
        </w:rPr>
      </w:pPr>
      <w:bookmarkStart w:id="13" w:name="_Toc523393992"/>
      <w:r w:rsidRPr="00F22118">
        <w:rPr>
          <w:b/>
          <w:sz w:val="28"/>
          <w:szCs w:val="28"/>
        </w:rPr>
        <w:t>Sostenibilidad</w:t>
      </w:r>
      <w:bookmarkEnd w:id="13"/>
    </w:p>
    <w:p w14:paraId="36451F05" w14:textId="77777777" w:rsidR="00443414" w:rsidRPr="00F22118" w:rsidRDefault="00443414" w:rsidP="006942C8">
      <w:pPr>
        <w:pStyle w:val="ListParagraph"/>
        <w:jc w:val="both"/>
        <w:outlineLvl w:val="1"/>
        <w:rPr>
          <w:sz w:val="24"/>
          <w:szCs w:val="24"/>
        </w:rPr>
      </w:pPr>
    </w:p>
    <w:p w14:paraId="614EDF0A" w14:textId="7A6844E3" w:rsidR="00847FB3" w:rsidRPr="00F22118" w:rsidRDefault="003A06D2" w:rsidP="00847FB3">
      <w:pPr>
        <w:pStyle w:val="ListParagraph"/>
        <w:ind w:left="-360"/>
        <w:jc w:val="both"/>
        <w:rPr>
          <w:sz w:val="24"/>
          <w:szCs w:val="24"/>
        </w:rPr>
      </w:pPr>
      <w:r w:rsidRPr="00F22118">
        <w:rPr>
          <w:sz w:val="24"/>
          <w:szCs w:val="24"/>
        </w:rPr>
        <w:t>Hay componente</w:t>
      </w:r>
      <w:r w:rsidR="009F0DE5" w:rsidRPr="00F22118">
        <w:rPr>
          <w:sz w:val="24"/>
          <w:szCs w:val="24"/>
        </w:rPr>
        <w:t>s</w:t>
      </w:r>
      <w:r w:rsidRPr="00F22118">
        <w:rPr>
          <w:sz w:val="24"/>
          <w:szCs w:val="24"/>
        </w:rPr>
        <w:t xml:space="preserve"> del proyecto que han mostrado poca sostenibilidad. Por ejemplo, el resultado 2 vinculado al trabajo intersectorial en el VRAE fue</w:t>
      </w:r>
      <w:r w:rsidR="001F2329" w:rsidRPr="00F22118">
        <w:rPr>
          <w:sz w:val="24"/>
          <w:szCs w:val="24"/>
        </w:rPr>
        <w:t xml:space="preserve"> tempranamente</w:t>
      </w:r>
      <w:r w:rsidRPr="00F22118">
        <w:rPr>
          <w:sz w:val="24"/>
          <w:szCs w:val="24"/>
        </w:rPr>
        <w:t xml:space="preserve"> </w:t>
      </w:r>
      <w:r w:rsidR="009F0DE5" w:rsidRPr="00F22118">
        <w:rPr>
          <w:sz w:val="24"/>
          <w:szCs w:val="24"/>
        </w:rPr>
        <w:t xml:space="preserve">culminado en 2012, </w:t>
      </w:r>
      <w:r w:rsidR="00685593" w:rsidRPr="00F22118">
        <w:rPr>
          <w:sz w:val="24"/>
          <w:szCs w:val="24"/>
        </w:rPr>
        <w:t>debido a</w:t>
      </w:r>
      <w:r w:rsidR="00AC5307" w:rsidRPr="00F22118">
        <w:rPr>
          <w:sz w:val="24"/>
          <w:szCs w:val="24"/>
        </w:rPr>
        <w:t xml:space="preserve"> la adscripción de estas actividades a</w:t>
      </w:r>
      <w:r w:rsidR="00443414" w:rsidRPr="00F22118">
        <w:rPr>
          <w:sz w:val="24"/>
          <w:szCs w:val="24"/>
        </w:rPr>
        <w:t xml:space="preserve"> CODEVRAEM</w:t>
      </w:r>
      <w:r w:rsidR="00821841" w:rsidRPr="00F22118">
        <w:rPr>
          <w:rStyle w:val="FootnoteReference"/>
          <w:sz w:val="24"/>
          <w:szCs w:val="24"/>
        </w:rPr>
        <w:footnoteReference w:id="24"/>
      </w:r>
      <w:r w:rsidR="00CE261B" w:rsidRPr="00F22118">
        <w:rPr>
          <w:sz w:val="24"/>
          <w:szCs w:val="24"/>
        </w:rPr>
        <w:t xml:space="preserve"> y a</w:t>
      </w:r>
      <w:r w:rsidR="00685593" w:rsidRPr="00F22118">
        <w:rPr>
          <w:sz w:val="24"/>
          <w:szCs w:val="24"/>
        </w:rPr>
        <w:t xml:space="preserve"> los</w:t>
      </w:r>
      <w:r w:rsidR="009F0DE5" w:rsidRPr="00F22118">
        <w:rPr>
          <w:sz w:val="24"/>
          <w:szCs w:val="24"/>
        </w:rPr>
        <w:t xml:space="preserve"> problemas para encontrar contratistas que quisieran trabajar en la zona.</w:t>
      </w:r>
      <w:r w:rsidR="00DD37C5" w:rsidRPr="00F22118">
        <w:rPr>
          <w:sz w:val="24"/>
          <w:szCs w:val="24"/>
        </w:rPr>
        <w:t xml:space="preserve"> </w:t>
      </w:r>
      <w:r w:rsidR="00685593" w:rsidRPr="00F22118">
        <w:rPr>
          <w:sz w:val="24"/>
          <w:szCs w:val="24"/>
        </w:rPr>
        <w:t>De otro lado</w:t>
      </w:r>
      <w:r w:rsidR="00DD37C5" w:rsidRPr="00F22118">
        <w:rPr>
          <w:sz w:val="24"/>
          <w:szCs w:val="24"/>
        </w:rPr>
        <w:t>, en la revisión sustantiva de 2013, se incorporó como parte del proyecto la cooperación entre la</w:t>
      </w:r>
      <w:r w:rsidR="000D67B1" w:rsidRPr="00F22118">
        <w:rPr>
          <w:sz w:val="24"/>
          <w:szCs w:val="24"/>
        </w:rPr>
        <w:t xml:space="preserve"> PCM y la Asamblea Nacional de Rectores</w:t>
      </w:r>
      <w:r w:rsidR="00690C37" w:rsidRPr="00F22118">
        <w:rPr>
          <w:sz w:val="24"/>
          <w:szCs w:val="24"/>
        </w:rPr>
        <w:t xml:space="preserve"> (ANR)</w:t>
      </w:r>
      <w:r w:rsidR="000D67B1" w:rsidRPr="00F22118">
        <w:rPr>
          <w:sz w:val="24"/>
          <w:szCs w:val="24"/>
        </w:rPr>
        <w:t xml:space="preserve"> para impulsar la </w:t>
      </w:r>
      <w:r w:rsidR="0073719A" w:rsidRPr="00F22118">
        <w:rPr>
          <w:sz w:val="24"/>
          <w:szCs w:val="24"/>
        </w:rPr>
        <w:t xml:space="preserve">suscripción de </w:t>
      </w:r>
      <w:r w:rsidR="00876F59" w:rsidRPr="00F22118">
        <w:rPr>
          <w:sz w:val="24"/>
          <w:szCs w:val="24"/>
        </w:rPr>
        <w:t>convenios</w:t>
      </w:r>
      <w:r w:rsidR="0073719A" w:rsidRPr="00F22118">
        <w:rPr>
          <w:sz w:val="24"/>
          <w:szCs w:val="24"/>
        </w:rPr>
        <w:t xml:space="preserve"> entre las municipalidades de menores recursos y las universidades para</w:t>
      </w:r>
      <w:r w:rsidR="007A0EA1" w:rsidRPr="00F22118">
        <w:rPr>
          <w:sz w:val="24"/>
          <w:szCs w:val="24"/>
        </w:rPr>
        <w:t xml:space="preserve"> la elaboración de “estudios</w:t>
      </w:r>
      <w:r w:rsidR="00C77025" w:rsidRPr="00F22118">
        <w:rPr>
          <w:sz w:val="24"/>
          <w:szCs w:val="24"/>
        </w:rPr>
        <w:t>, proyectos, programas y similares”</w:t>
      </w:r>
      <w:r w:rsidR="0099549B" w:rsidRPr="00F22118">
        <w:rPr>
          <w:sz w:val="24"/>
          <w:szCs w:val="24"/>
        </w:rPr>
        <w:t>.</w:t>
      </w:r>
      <w:r w:rsidR="00876723" w:rsidRPr="00F22118">
        <w:rPr>
          <w:sz w:val="24"/>
          <w:szCs w:val="24"/>
        </w:rPr>
        <w:t xml:space="preserve"> Hasta 2013, se llegaron a firmar </w:t>
      </w:r>
      <w:r w:rsidR="00C60129" w:rsidRPr="00F22118">
        <w:rPr>
          <w:sz w:val="24"/>
          <w:szCs w:val="24"/>
        </w:rPr>
        <w:t>99 convenios</w:t>
      </w:r>
      <w:r w:rsidR="0049112F" w:rsidRPr="00F22118">
        <w:rPr>
          <w:sz w:val="24"/>
          <w:szCs w:val="24"/>
        </w:rPr>
        <w:t>,</w:t>
      </w:r>
      <w:r w:rsidR="00C60129" w:rsidRPr="00F22118">
        <w:rPr>
          <w:sz w:val="24"/>
          <w:szCs w:val="24"/>
        </w:rPr>
        <w:t xml:space="preserve"> entre</w:t>
      </w:r>
      <w:r w:rsidR="0049112F" w:rsidRPr="00F22118">
        <w:rPr>
          <w:sz w:val="24"/>
          <w:szCs w:val="24"/>
        </w:rPr>
        <w:t xml:space="preserve"> convenios-</w:t>
      </w:r>
      <w:r w:rsidR="00C60129" w:rsidRPr="00F22118">
        <w:rPr>
          <w:sz w:val="24"/>
          <w:szCs w:val="24"/>
        </w:rPr>
        <w:t>marcos y específicos</w:t>
      </w:r>
      <w:r w:rsidR="00C60129" w:rsidRPr="00F22118">
        <w:rPr>
          <w:rStyle w:val="FootnoteReference"/>
          <w:sz w:val="24"/>
          <w:szCs w:val="24"/>
        </w:rPr>
        <w:footnoteReference w:id="25"/>
      </w:r>
      <w:r w:rsidR="00C60129" w:rsidRPr="00F22118">
        <w:rPr>
          <w:sz w:val="24"/>
          <w:szCs w:val="24"/>
        </w:rPr>
        <w:t>.</w:t>
      </w:r>
      <w:r w:rsidR="0099549B" w:rsidRPr="00F22118">
        <w:rPr>
          <w:sz w:val="24"/>
          <w:szCs w:val="24"/>
        </w:rPr>
        <w:t xml:space="preserve"> Sin embargo, el desmantelamiento de la ANR y el cambio de modelo </w:t>
      </w:r>
      <w:r w:rsidR="00F67C7C" w:rsidRPr="00F22118">
        <w:rPr>
          <w:sz w:val="24"/>
          <w:szCs w:val="24"/>
        </w:rPr>
        <w:t xml:space="preserve">que representó la nueva SUNEDU </w:t>
      </w:r>
      <w:r w:rsidR="00515314" w:rsidRPr="00F22118">
        <w:rPr>
          <w:sz w:val="24"/>
          <w:szCs w:val="24"/>
        </w:rPr>
        <w:t>llevaron</w:t>
      </w:r>
      <w:r w:rsidR="00F67C7C" w:rsidRPr="00F22118">
        <w:rPr>
          <w:sz w:val="24"/>
          <w:szCs w:val="24"/>
        </w:rPr>
        <w:t xml:space="preserve"> a que este componente no se haya materializado</w:t>
      </w:r>
      <w:r w:rsidR="005366CF" w:rsidRPr="00F22118">
        <w:rPr>
          <w:sz w:val="24"/>
          <w:szCs w:val="24"/>
        </w:rPr>
        <w:t xml:space="preserve"> en </w:t>
      </w:r>
      <w:r w:rsidR="00B0642F" w:rsidRPr="00F22118">
        <w:rPr>
          <w:sz w:val="24"/>
          <w:szCs w:val="24"/>
        </w:rPr>
        <w:t>medidas concretas de colaboración</w:t>
      </w:r>
      <w:r w:rsidR="00F67C7C" w:rsidRPr="00F22118">
        <w:rPr>
          <w:sz w:val="24"/>
          <w:szCs w:val="24"/>
        </w:rPr>
        <w:t>.</w:t>
      </w:r>
      <w:r w:rsidR="001748E2" w:rsidRPr="00F22118">
        <w:rPr>
          <w:sz w:val="24"/>
          <w:szCs w:val="24"/>
        </w:rPr>
        <w:t xml:space="preserve"> </w:t>
      </w:r>
    </w:p>
    <w:p w14:paraId="16AA96A3" w14:textId="77777777" w:rsidR="00847FB3" w:rsidRPr="00F22118" w:rsidRDefault="00847FB3" w:rsidP="00847FB3">
      <w:pPr>
        <w:pStyle w:val="ListParagraph"/>
        <w:ind w:left="-360"/>
        <w:jc w:val="both"/>
        <w:rPr>
          <w:sz w:val="24"/>
          <w:szCs w:val="24"/>
        </w:rPr>
      </w:pPr>
    </w:p>
    <w:p w14:paraId="1E9E0F17" w14:textId="553DE8FE" w:rsidR="00B3731D" w:rsidRPr="00F22118" w:rsidRDefault="00B3731D" w:rsidP="00847FB3">
      <w:pPr>
        <w:pStyle w:val="ListParagraph"/>
        <w:ind w:left="-360"/>
        <w:jc w:val="both"/>
        <w:rPr>
          <w:sz w:val="24"/>
          <w:szCs w:val="24"/>
        </w:rPr>
      </w:pPr>
      <w:r w:rsidRPr="00F22118">
        <w:rPr>
          <w:sz w:val="24"/>
          <w:szCs w:val="24"/>
        </w:rPr>
        <w:t>La sostenibilidad</w:t>
      </w:r>
      <w:r w:rsidR="00CD7F30" w:rsidRPr="00F22118">
        <w:rPr>
          <w:sz w:val="24"/>
          <w:szCs w:val="24"/>
        </w:rPr>
        <w:t xml:space="preserve"> de las actividades del componente de</w:t>
      </w:r>
      <w:r w:rsidR="0017546A" w:rsidRPr="00F22118">
        <w:rPr>
          <w:sz w:val="24"/>
          <w:szCs w:val="24"/>
        </w:rPr>
        <w:t xml:space="preserve"> evaluaciones a las transferencias</w:t>
      </w:r>
      <w:r w:rsidR="00CD7F30" w:rsidRPr="00F22118">
        <w:rPr>
          <w:sz w:val="24"/>
          <w:szCs w:val="24"/>
        </w:rPr>
        <w:t xml:space="preserve"> </w:t>
      </w:r>
      <w:r w:rsidR="0017546A" w:rsidRPr="00F22118">
        <w:rPr>
          <w:sz w:val="24"/>
          <w:szCs w:val="24"/>
        </w:rPr>
        <w:t xml:space="preserve">y AMC </w:t>
      </w:r>
      <w:r w:rsidR="00A349AF" w:rsidRPr="00F22118">
        <w:rPr>
          <w:sz w:val="24"/>
          <w:szCs w:val="24"/>
        </w:rPr>
        <w:t xml:space="preserve">es </w:t>
      </w:r>
      <w:r w:rsidR="0089357F" w:rsidRPr="00F22118">
        <w:rPr>
          <w:sz w:val="24"/>
          <w:szCs w:val="24"/>
        </w:rPr>
        <w:t>baja. Las evaluaciones</w:t>
      </w:r>
      <w:r w:rsidR="00B26B17" w:rsidRPr="00F22118">
        <w:rPr>
          <w:sz w:val="24"/>
          <w:szCs w:val="24"/>
        </w:rPr>
        <w:t xml:space="preserve"> a la transferencia de competencias</w:t>
      </w:r>
      <w:r w:rsidR="0089357F" w:rsidRPr="00F22118">
        <w:rPr>
          <w:sz w:val="24"/>
          <w:szCs w:val="24"/>
        </w:rPr>
        <w:t xml:space="preserve"> aportaron un conocimiento muy de corto plazo,</w:t>
      </w:r>
      <w:r w:rsidR="007A2D78" w:rsidRPr="00F22118">
        <w:rPr>
          <w:sz w:val="24"/>
          <w:szCs w:val="24"/>
        </w:rPr>
        <w:t xml:space="preserve"> con una metodología muy descriptiva antes que analítica.</w:t>
      </w:r>
      <w:r w:rsidR="0089357F" w:rsidRPr="00F22118">
        <w:rPr>
          <w:sz w:val="24"/>
          <w:szCs w:val="24"/>
        </w:rPr>
        <w:t xml:space="preserve"> </w:t>
      </w:r>
      <w:r w:rsidR="007A2D78" w:rsidRPr="00F22118">
        <w:rPr>
          <w:sz w:val="24"/>
          <w:szCs w:val="24"/>
        </w:rPr>
        <w:t>La sostenibilidad se vio muy</w:t>
      </w:r>
      <w:r w:rsidR="0089357F" w:rsidRPr="00F22118">
        <w:rPr>
          <w:sz w:val="24"/>
          <w:szCs w:val="24"/>
        </w:rPr>
        <w:t xml:space="preserve"> </w:t>
      </w:r>
      <w:r w:rsidR="00B26B17" w:rsidRPr="00F22118">
        <w:rPr>
          <w:sz w:val="24"/>
          <w:szCs w:val="24"/>
        </w:rPr>
        <w:t>deteriorad</w:t>
      </w:r>
      <w:r w:rsidR="007A2D78" w:rsidRPr="00F22118">
        <w:rPr>
          <w:sz w:val="24"/>
          <w:szCs w:val="24"/>
        </w:rPr>
        <w:t>a</w:t>
      </w:r>
      <w:r w:rsidR="0089357F" w:rsidRPr="00F22118">
        <w:rPr>
          <w:sz w:val="24"/>
          <w:szCs w:val="24"/>
        </w:rPr>
        <w:t xml:space="preserve"> con el cambio de gobierno regional en 2015</w:t>
      </w:r>
      <w:r w:rsidR="007A2D78" w:rsidRPr="00F22118">
        <w:rPr>
          <w:sz w:val="24"/>
          <w:szCs w:val="24"/>
        </w:rPr>
        <w:t xml:space="preserve">, cuando se pierde la memoria institucional </w:t>
      </w:r>
      <w:r w:rsidR="00D4317E" w:rsidRPr="00F22118">
        <w:rPr>
          <w:sz w:val="24"/>
          <w:szCs w:val="24"/>
        </w:rPr>
        <w:t xml:space="preserve">sobre el </w:t>
      </w:r>
      <w:r w:rsidR="000F596C" w:rsidRPr="00F22118">
        <w:rPr>
          <w:sz w:val="24"/>
          <w:szCs w:val="24"/>
        </w:rPr>
        <w:t>porqué</w:t>
      </w:r>
      <w:r w:rsidR="00D4317E" w:rsidRPr="00F22118">
        <w:rPr>
          <w:sz w:val="24"/>
          <w:szCs w:val="24"/>
        </w:rPr>
        <w:t xml:space="preserve"> de las evaluaciones y las acciones de mejora continua</w:t>
      </w:r>
      <w:r w:rsidR="006C7B52" w:rsidRPr="00F22118">
        <w:rPr>
          <w:sz w:val="24"/>
          <w:szCs w:val="24"/>
        </w:rPr>
        <w:t>, algo que se acentuó aún más con el cambio de gobierno de 2016</w:t>
      </w:r>
      <w:r w:rsidR="0089357F" w:rsidRPr="00F22118">
        <w:rPr>
          <w:sz w:val="24"/>
          <w:szCs w:val="24"/>
        </w:rPr>
        <w:t>.</w:t>
      </w:r>
      <w:r w:rsidR="00F22118">
        <w:rPr>
          <w:sz w:val="24"/>
          <w:szCs w:val="24"/>
        </w:rPr>
        <w:t xml:space="preserve"> </w:t>
      </w:r>
      <w:r w:rsidR="0090796E" w:rsidRPr="00F22118">
        <w:rPr>
          <w:sz w:val="24"/>
          <w:szCs w:val="24"/>
        </w:rPr>
        <w:t xml:space="preserve">Sin embargo, en 2017, </w:t>
      </w:r>
      <w:r w:rsidR="006A3D72" w:rsidRPr="00F22118">
        <w:rPr>
          <w:sz w:val="24"/>
          <w:szCs w:val="24"/>
        </w:rPr>
        <w:t xml:space="preserve">bajo </w:t>
      </w:r>
      <w:r w:rsidR="0090796E" w:rsidRPr="00F22118">
        <w:rPr>
          <w:sz w:val="24"/>
          <w:szCs w:val="24"/>
        </w:rPr>
        <w:t xml:space="preserve">el nuevo gobierno nacional, la prioridad de la PCM por mejorar las condiciones </w:t>
      </w:r>
      <w:r w:rsidR="00291FE3" w:rsidRPr="00F22118">
        <w:rPr>
          <w:sz w:val="24"/>
          <w:szCs w:val="24"/>
        </w:rPr>
        <w:t>en que operan</w:t>
      </w:r>
      <w:r w:rsidR="0090796E" w:rsidRPr="00F22118">
        <w:rPr>
          <w:sz w:val="24"/>
          <w:szCs w:val="24"/>
        </w:rPr>
        <w:t xml:space="preserve"> los Gobiernos Regionales </w:t>
      </w:r>
      <w:r w:rsidR="00A90FCE" w:rsidRPr="00F22118">
        <w:rPr>
          <w:sz w:val="24"/>
          <w:szCs w:val="24"/>
        </w:rPr>
        <w:t xml:space="preserve">respecto a </w:t>
      </w:r>
      <w:r w:rsidR="0090796E" w:rsidRPr="00F22118">
        <w:rPr>
          <w:sz w:val="24"/>
          <w:szCs w:val="24"/>
        </w:rPr>
        <w:t>las competencias transferidas toma un nuevo impulso</w:t>
      </w:r>
      <w:r w:rsidR="001E343A" w:rsidRPr="00F22118">
        <w:rPr>
          <w:sz w:val="24"/>
          <w:szCs w:val="24"/>
        </w:rPr>
        <w:t>. Desde ese año se busca</w:t>
      </w:r>
      <w:r w:rsidR="0090796E" w:rsidRPr="00F22118">
        <w:rPr>
          <w:sz w:val="24"/>
          <w:szCs w:val="24"/>
        </w:rPr>
        <w:t xml:space="preserve"> enfrentar la falta de claridad en la delimitación de responsabilidades entre los </w:t>
      </w:r>
      <w:r w:rsidR="000D4496" w:rsidRPr="00F22118">
        <w:rPr>
          <w:sz w:val="24"/>
          <w:szCs w:val="24"/>
        </w:rPr>
        <w:t xml:space="preserve">tres </w:t>
      </w:r>
      <w:r w:rsidR="0090796E" w:rsidRPr="00F22118">
        <w:rPr>
          <w:sz w:val="24"/>
          <w:szCs w:val="24"/>
        </w:rPr>
        <w:t>niveles de gobierno</w:t>
      </w:r>
      <w:r w:rsidR="001E343A" w:rsidRPr="00F22118">
        <w:rPr>
          <w:sz w:val="24"/>
          <w:szCs w:val="24"/>
        </w:rPr>
        <w:t xml:space="preserve"> (algo que apareció como problema en los informes de la evaluación</w:t>
      </w:r>
      <w:r w:rsidR="00D976E5">
        <w:rPr>
          <w:sz w:val="24"/>
          <w:szCs w:val="24"/>
        </w:rPr>
        <w:t xml:space="preserve"> y no había forma de enfrentar</w:t>
      </w:r>
      <w:r w:rsidR="001E343A" w:rsidRPr="00F22118">
        <w:rPr>
          <w:sz w:val="24"/>
          <w:szCs w:val="24"/>
        </w:rPr>
        <w:t>)</w:t>
      </w:r>
      <w:r w:rsidR="0090796E" w:rsidRPr="00F22118">
        <w:rPr>
          <w:sz w:val="24"/>
          <w:szCs w:val="24"/>
        </w:rPr>
        <w:t xml:space="preserve">. Una de las últimas acciones </w:t>
      </w:r>
      <w:r w:rsidR="000D4496" w:rsidRPr="00F22118">
        <w:rPr>
          <w:sz w:val="24"/>
          <w:szCs w:val="24"/>
        </w:rPr>
        <w:t>del proyecto</w:t>
      </w:r>
      <w:r w:rsidR="0090796E" w:rsidRPr="00F22118">
        <w:rPr>
          <w:sz w:val="24"/>
          <w:szCs w:val="24"/>
        </w:rPr>
        <w:t xml:space="preserve"> </w:t>
      </w:r>
      <w:r w:rsidR="008D789E" w:rsidRPr="00F22118">
        <w:rPr>
          <w:sz w:val="24"/>
          <w:szCs w:val="24"/>
        </w:rPr>
        <w:t>fue</w:t>
      </w:r>
      <w:r w:rsidR="0090796E" w:rsidRPr="00F22118">
        <w:rPr>
          <w:sz w:val="24"/>
          <w:szCs w:val="24"/>
        </w:rPr>
        <w:t xml:space="preserve"> la consultoría que analiza los </w:t>
      </w:r>
      <w:r w:rsidR="0090796E" w:rsidRPr="00F22118">
        <w:rPr>
          <w:sz w:val="24"/>
          <w:szCs w:val="24"/>
        </w:rPr>
        <w:lastRenderedPageBreak/>
        <w:t>puntos críticos</w:t>
      </w:r>
      <w:r w:rsidR="00EA7F58" w:rsidRPr="00F22118">
        <w:rPr>
          <w:sz w:val="24"/>
          <w:szCs w:val="24"/>
        </w:rPr>
        <w:t xml:space="preserve"> de este problema</w:t>
      </w:r>
      <w:r w:rsidR="0090796E" w:rsidRPr="00F22118">
        <w:rPr>
          <w:sz w:val="24"/>
          <w:szCs w:val="24"/>
        </w:rPr>
        <w:t xml:space="preserve"> (fases de la cadena de valor público que muestran duplicidad de responsables o fases donde el problema es que ningún nivel de gobierno las asume) en procesos centrales del sector educaci</w:t>
      </w:r>
      <w:r w:rsidR="00206118" w:rsidRPr="00F22118">
        <w:rPr>
          <w:sz w:val="24"/>
          <w:szCs w:val="24"/>
        </w:rPr>
        <w:t>ón. E</w:t>
      </w:r>
      <w:r w:rsidR="001B6A09" w:rsidRPr="00F22118">
        <w:rPr>
          <w:sz w:val="24"/>
          <w:szCs w:val="24"/>
        </w:rPr>
        <w:t>n</w:t>
      </w:r>
      <w:r w:rsidR="00206118" w:rsidRPr="00F22118">
        <w:rPr>
          <w:sz w:val="24"/>
          <w:szCs w:val="24"/>
        </w:rPr>
        <w:t xml:space="preserve"> 2018, esta línea de análisis </w:t>
      </w:r>
      <w:r w:rsidR="001B6A09" w:rsidRPr="00F22118">
        <w:rPr>
          <w:sz w:val="24"/>
          <w:szCs w:val="24"/>
        </w:rPr>
        <w:t xml:space="preserve">y </w:t>
      </w:r>
      <w:r w:rsidR="00206118" w:rsidRPr="00F22118">
        <w:rPr>
          <w:sz w:val="24"/>
          <w:szCs w:val="24"/>
        </w:rPr>
        <w:t xml:space="preserve">propuesta de estrategias de solución se ha ampliado y los aprendizajes fueron incluidos en el discurso presidencial de 28 de julio y son el sustento de una nueva directiva </w:t>
      </w:r>
      <w:r w:rsidR="00D976E5">
        <w:rPr>
          <w:sz w:val="24"/>
          <w:szCs w:val="24"/>
        </w:rPr>
        <w:t xml:space="preserve">sobre lineamientos </w:t>
      </w:r>
      <w:r w:rsidR="00206118" w:rsidRPr="00F22118">
        <w:rPr>
          <w:sz w:val="24"/>
          <w:szCs w:val="24"/>
        </w:rPr>
        <w:t>para la gestión intergubernamental</w:t>
      </w:r>
      <w:r w:rsidR="00907CB7" w:rsidRPr="00F22118">
        <w:rPr>
          <w:sz w:val="24"/>
          <w:szCs w:val="24"/>
        </w:rPr>
        <w:t xml:space="preserve"> actualmente</w:t>
      </w:r>
      <w:r w:rsidR="00206118" w:rsidRPr="00F22118">
        <w:rPr>
          <w:sz w:val="24"/>
          <w:szCs w:val="24"/>
        </w:rPr>
        <w:t xml:space="preserve"> en proceso.</w:t>
      </w:r>
    </w:p>
    <w:p w14:paraId="48BCA981" w14:textId="77777777" w:rsidR="00206118" w:rsidRPr="00F22118" w:rsidRDefault="00206118" w:rsidP="00847FB3">
      <w:pPr>
        <w:pStyle w:val="ListParagraph"/>
        <w:ind w:left="-360"/>
        <w:jc w:val="both"/>
        <w:rPr>
          <w:sz w:val="24"/>
          <w:szCs w:val="24"/>
        </w:rPr>
      </w:pPr>
    </w:p>
    <w:p w14:paraId="0A46FA4B" w14:textId="18E1D183" w:rsidR="0090796E" w:rsidRPr="00F22118" w:rsidRDefault="00907CB7" w:rsidP="00847FB3">
      <w:pPr>
        <w:pStyle w:val="ListParagraph"/>
        <w:ind w:left="-360"/>
        <w:jc w:val="both"/>
        <w:rPr>
          <w:sz w:val="24"/>
          <w:szCs w:val="24"/>
        </w:rPr>
      </w:pPr>
      <w:r w:rsidRPr="00F22118">
        <w:rPr>
          <w:sz w:val="24"/>
          <w:szCs w:val="24"/>
        </w:rPr>
        <w:t xml:space="preserve">De otro lado, la </w:t>
      </w:r>
      <w:r w:rsidR="00206118" w:rsidRPr="00F22118">
        <w:rPr>
          <w:sz w:val="24"/>
          <w:szCs w:val="24"/>
        </w:rPr>
        <w:t>actividad en torno a mancomunidades</w:t>
      </w:r>
      <w:r w:rsidR="00D976E5">
        <w:rPr>
          <w:sz w:val="24"/>
          <w:szCs w:val="24"/>
        </w:rPr>
        <w:t>, que observa una sostenibilidad media,</w:t>
      </w:r>
      <w:r w:rsidR="00206118" w:rsidRPr="00F22118">
        <w:rPr>
          <w:sz w:val="24"/>
          <w:szCs w:val="24"/>
        </w:rPr>
        <w:t xml:space="preserve"> se mantiene y el tener un registro colabora a su permanencia y posibilita su actualización.</w:t>
      </w:r>
      <w:r w:rsidR="0062784B" w:rsidRPr="00F22118">
        <w:rPr>
          <w:sz w:val="24"/>
          <w:szCs w:val="24"/>
        </w:rPr>
        <w:t xml:space="preserve"> Sin embargo, la prohibición de reelección a los alcaldes representa un reto a la sostenibilidad</w:t>
      </w:r>
      <w:r w:rsidR="000C0AEF" w:rsidRPr="00F22118">
        <w:rPr>
          <w:sz w:val="24"/>
          <w:szCs w:val="24"/>
        </w:rPr>
        <w:t xml:space="preserve">, si es que no se </w:t>
      </w:r>
      <w:r w:rsidR="003A1480" w:rsidRPr="00F22118">
        <w:rPr>
          <w:sz w:val="24"/>
          <w:szCs w:val="24"/>
        </w:rPr>
        <w:t>incentiva</w:t>
      </w:r>
      <w:r w:rsidR="000C0AEF" w:rsidRPr="00F22118">
        <w:rPr>
          <w:sz w:val="24"/>
          <w:szCs w:val="24"/>
        </w:rPr>
        <w:t xml:space="preserve"> tempranamente </w:t>
      </w:r>
      <w:r w:rsidR="003A1480" w:rsidRPr="00F22118">
        <w:rPr>
          <w:sz w:val="24"/>
          <w:szCs w:val="24"/>
        </w:rPr>
        <w:t>entre</w:t>
      </w:r>
      <w:r w:rsidR="00F66B05" w:rsidRPr="00F22118">
        <w:rPr>
          <w:sz w:val="24"/>
          <w:szCs w:val="24"/>
        </w:rPr>
        <w:t xml:space="preserve"> las nuevas autoridades </w:t>
      </w:r>
      <w:r w:rsidR="003A1480" w:rsidRPr="00F22118">
        <w:rPr>
          <w:sz w:val="24"/>
          <w:szCs w:val="24"/>
        </w:rPr>
        <w:t>el uso del esquema</w:t>
      </w:r>
      <w:r w:rsidR="00E7609B" w:rsidRPr="00F22118">
        <w:rPr>
          <w:sz w:val="24"/>
          <w:szCs w:val="24"/>
        </w:rPr>
        <w:t xml:space="preserve"> de mancomunidades</w:t>
      </w:r>
      <w:r w:rsidR="00F66B05" w:rsidRPr="00F22118">
        <w:rPr>
          <w:sz w:val="24"/>
          <w:szCs w:val="24"/>
        </w:rPr>
        <w:t>.</w:t>
      </w:r>
      <w:r w:rsidR="00206118" w:rsidRPr="00F22118">
        <w:rPr>
          <w:sz w:val="24"/>
          <w:szCs w:val="24"/>
        </w:rPr>
        <w:t xml:space="preserve"> </w:t>
      </w:r>
      <w:r w:rsidR="0089497E" w:rsidRPr="00F22118">
        <w:rPr>
          <w:sz w:val="24"/>
          <w:szCs w:val="24"/>
        </w:rPr>
        <w:t>La</w:t>
      </w:r>
      <w:r w:rsidR="00206118" w:rsidRPr="00F22118">
        <w:rPr>
          <w:sz w:val="24"/>
          <w:szCs w:val="24"/>
        </w:rPr>
        <w:t xml:space="preserve"> preocupación de</w:t>
      </w:r>
      <w:r w:rsidR="0089497E" w:rsidRPr="00F22118">
        <w:rPr>
          <w:sz w:val="24"/>
          <w:szCs w:val="24"/>
        </w:rPr>
        <w:t>l</w:t>
      </w:r>
      <w:r w:rsidR="00206118" w:rsidRPr="00F22118">
        <w:rPr>
          <w:sz w:val="24"/>
          <w:szCs w:val="24"/>
        </w:rPr>
        <w:t xml:space="preserve"> gobierno por contrarrestar tendencias a la dispersión de</w:t>
      </w:r>
      <w:r w:rsidR="0089497E" w:rsidRPr="00F22118">
        <w:rPr>
          <w:sz w:val="24"/>
          <w:szCs w:val="24"/>
        </w:rPr>
        <w:t xml:space="preserve"> las</w:t>
      </w:r>
      <w:r w:rsidR="00206118" w:rsidRPr="00F22118">
        <w:rPr>
          <w:sz w:val="24"/>
          <w:szCs w:val="24"/>
        </w:rPr>
        <w:t xml:space="preserve"> unidades de gobierno se ha </w:t>
      </w:r>
      <w:r w:rsidR="00AF428D" w:rsidRPr="00F22118">
        <w:rPr>
          <w:sz w:val="24"/>
          <w:szCs w:val="24"/>
        </w:rPr>
        <w:t xml:space="preserve">incrementado </w:t>
      </w:r>
      <w:r w:rsidR="00206118" w:rsidRPr="00F22118">
        <w:rPr>
          <w:sz w:val="24"/>
          <w:szCs w:val="24"/>
        </w:rPr>
        <w:t xml:space="preserve">y </w:t>
      </w:r>
      <w:r w:rsidR="00D976E5">
        <w:rPr>
          <w:sz w:val="24"/>
          <w:szCs w:val="24"/>
        </w:rPr>
        <w:t xml:space="preserve">junto con mantener el registro iniciado con el proyecto, </w:t>
      </w:r>
      <w:r w:rsidR="00206118" w:rsidRPr="00F22118">
        <w:rPr>
          <w:sz w:val="24"/>
          <w:szCs w:val="24"/>
        </w:rPr>
        <w:t>actualmente está en curso la preparación de un decreto legislativo que las fortalezca y potencia su gestión presupuestal.</w:t>
      </w:r>
    </w:p>
    <w:p w14:paraId="4F8D49C5" w14:textId="77777777" w:rsidR="0090796E" w:rsidRPr="00F22118" w:rsidRDefault="0090796E" w:rsidP="00847FB3">
      <w:pPr>
        <w:pStyle w:val="ListParagraph"/>
        <w:ind w:left="-360"/>
        <w:jc w:val="both"/>
        <w:rPr>
          <w:sz w:val="24"/>
          <w:szCs w:val="24"/>
        </w:rPr>
      </w:pPr>
    </w:p>
    <w:p w14:paraId="7C90C557" w14:textId="3D540702" w:rsidR="003A06D2" w:rsidRPr="00F22118" w:rsidRDefault="00E7609B" w:rsidP="00C71EE2">
      <w:pPr>
        <w:ind w:left="-360"/>
        <w:jc w:val="both"/>
        <w:rPr>
          <w:sz w:val="24"/>
          <w:szCs w:val="24"/>
        </w:rPr>
      </w:pPr>
      <w:r w:rsidRPr="00F22118">
        <w:rPr>
          <w:sz w:val="24"/>
          <w:szCs w:val="24"/>
        </w:rPr>
        <w:t>L</w:t>
      </w:r>
      <w:r w:rsidR="00206118" w:rsidRPr="00F22118">
        <w:rPr>
          <w:sz w:val="24"/>
          <w:szCs w:val="24"/>
        </w:rPr>
        <w:t>o que más resalta en términos de sostenibilidad son los productos asociados al</w:t>
      </w:r>
      <w:r w:rsidR="00A454EB" w:rsidRPr="00F22118">
        <w:rPr>
          <w:sz w:val="24"/>
          <w:szCs w:val="24"/>
        </w:rPr>
        <w:t xml:space="preserve"> resultado 3 sobre modernización. Por ejemplo,</w:t>
      </w:r>
      <w:r w:rsidR="00005982" w:rsidRPr="00F22118">
        <w:rPr>
          <w:sz w:val="24"/>
          <w:szCs w:val="24"/>
        </w:rPr>
        <w:t xml:space="preserve"> el trabajo con </w:t>
      </w:r>
      <w:r w:rsidR="00CA68B5" w:rsidRPr="00F22118">
        <w:rPr>
          <w:sz w:val="24"/>
          <w:szCs w:val="24"/>
        </w:rPr>
        <w:t>los MAC</w:t>
      </w:r>
      <w:r w:rsidR="00005982" w:rsidRPr="00F22118">
        <w:rPr>
          <w:sz w:val="24"/>
          <w:szCs w:val="24"/>
        </w:rPr>
        <w:t xml:space="preserve"> muestra visos de </w:t>
      </w:r>
      <w:r w:rsidR="00A454EB" w:rsidRPr="00F22118">
        <w:rPr>
          <w:sz w:val="24"/>
          <w:szCs w:val="24"/>
        </w:rPr>
        <w:t>continuidad</w:t>
      </w:r>
      <w:r w:rsidR="0041301E" w:rsidRPr="00F22118">
        <w:rPr>
          <w:sz w:val="24"/>
          <w:szCs w:val="24"/>
        </w:rPr>
        <w:t>, con apoyo político para su consolidación y expansión al resto del país</w:t>
      </w:r>
      <w:r w:rsidR="00CA68B5" w:rsidRPr="00F22118">
        <w:rPr>
          <w:sz w:val="24"/>
          <w:szCs w:val="24"/>
        </w:rPr>
        <w:t xml:space="preserve"> en asociación con gobiernos regionales y locales</w:t>
      </w:r>
      <w:r w:rsidR="00005982" w:rsidRPr="00F22118">
        <w:rPr>
          <w:sz w:val="24"/>
          <w:szCs w:val="24"/>
        </w:rPr>
        <w:t xml:space="preserve">. </w:t>
      </w:r>
      <w:r w:rsidR="004952CB" w:rsidRPr="00F22118">
        <w:rPr>
          <w:sz w:val="24"/>
          <w:szCs w:val="24"/>
        </w:rPr>
        <w:t xml:space="preserve">Si bien actualmente el MAC Lima Este tiene </w:t>
      </w:r>
      <w:r w:rsidR="00FE008B" w:rsidRPr="00F22118">
        <w:rPr>
          <w:sz w:val="24"/>
          <w:szCs w:val="24"/>
        </w:rPr>
        <w:t>un número de usuarios</w:t>
      </w:r>
      <w:r w:rsidR="00BB056D" w:rsidRPr="00F22118">
        <w:rPr>
          <w:sz w:val="24"/>
          <w:szCs w:val="24"/>
        </w:rPr>
        <w:t xml:space="preserve"> </w:t>
      </w:r>
      <w:r w:rsidR="007D1B15" w:rsidRPr="00F22118">
        <w:rPr>
          <w:sz w:val="24"/>
          <w:szCs w:val="24"/>
        </w:rPr>
        <w:t xml:space="preserve">moderado </w:t>
      </w:r>
      <w:r w:rsidR="00BB056D" w:rsidRPr="00F22118">
        <w:rPr>
          <w:sz w:val="24"/>
          <w:szCs w:val="24"/>
        </w:rPr>
        <w:t>que varía</w:t>
      </w:r>
      <w:r w:rsidR="008548F2" w:rsidRPr="00F22118">
        <w:rPr>
          <w:sz w:val="24"/>
          <w:szCs w:val="24"/>
        </w:rPr>
        <w:t xml:space="preserve"> según las fechas (con alta demanda en algunos días de la semana)</w:t>
      </w:r>
      <w:r w:rsidR="00BB056D" w:rsidRPr="00F22118">
        <w:rPr>
          <w:sz w:val="24"/>
          <w:szCs w:val="24"/>
        </w:rPr>
        <w:t>, la experiencia de implementación de</w:t>
      </w:r>
      <w:r w:rsidR="008548F2" w:rsidRPr="00F22118">
        <w:rPr>
          <w:sz w:val="24"/>
          <w:szCs w:val="24"/>
        </w:rPr>
        <w:t>l MAC Lima Norte promete que la infraestructura cobrará relevancia en los próximos años</w:t>
      </w:r>
      <w:r w:rsidR="00DC5F5A" w:rsidRPr="00F22118">
        <w:rPr>
          <w:sz w:val="24"/>
          <w:szCs w:val="24"/>
        </w:rPr>
        <w:t>, más aún cuando culmine la construcción de la línea 2 del Metro de Lima</w:t>
      </w:r>
      <w:r w:rsidR="004E561B" w:rsidRPr="00F22118">
        <w:rPr>
          <w:sz w:val="24"/>
          <w:szCs w:val="24"/>
        </w:rPr>
        <w:t>.</w:t>
      </w:r>
      <w:r w:rsidR="00AD212C" w:rsidRPr="00F22118">
        <w:rPr>
          <w:sz w:val="24"/>
          <w:szCs w:val="24"/>
        </w:rPr>
        <w:t xml:space="preserve"> </w:t>
      </w:r>
      <w:r w:rsidR="00A34414" w:rsidRPr="00F22118">
        <w:rPr>
          <w:sz w:val="24"/>
          <w:szCs w:val="24"/>
        </w:rPr>
        <w:t>La Secretaría de Gestión Pública se ha comprometido a finalizar</w:t>
      </w:r>
      <w:r w:rsidR="0011077A" w:rsidRPr="00F22118">
        <w:rPr>
          <w:sz w:val="24"/>
          <w:szCs w:val="24"/>
        </w:rPr>
        <w:t xml:space="preserve"> la actual gestión presidencial</w:t>
      </w:r>
      <w:r w:rsidR="00C71EE2" w:rsidRPr="00F22118">
        <w:rPr>
          <w:sz w:val="24"/>
          <w:szCs w:val="24"/>
        </w:rPr>
        <w:t xml:space="preserve"> con once MAC </w:t>
      </w:r>
      <w:r w:rsidR="0011077A" w:rsidRPr="00F22118">
        <w:rPr>
          <w:sz w:val="24"/>
          <w:szCs w:val="24"/>
        </w:rPr>
        <w:t xml:space="preserve">operativos </w:t>
      </w:r>
      <w:r w:rsidR="00C71EE2" w:rsidRPr="00F22118">
        <w:rPr>
          <w:sz w:val="24"/>
          <w:szCs w:val="24"/>
        </w:rPr>
        <w:t xml:space="preserve">en todo el país </w:t>
      </w:r>
      <w:r w:rsidR="0011077A" w:rsidRPr="00F22118">
        <w:rPr>
          <w:sz w:val="24"/>
          <w:szCs w:val="24"/>
        </w:rPr>
        <w:t xml:space="preserve">en </w:t>
      </w:r>
      <w:r w:rsidR="00C71EE2" w:rsidRPr="00F22118">
        <w:rPr>
          <w:sz w:val="24"/>
          <w:szCs w:val="24"/>
        </w:rPr>
        <w:t>2021.</w:t>
      </w:r>
      <w:r w:rsidR="00D976E5">
        <w:rPr>
          <w:sz w:val="24"/>
          <w:szCs w:val="24"/>
        </w:rPr>
        <w:t xml:space="preserve"> La alta sostenibilidad de los MAC se sustenta no solo en la respuesta masiva de los ciudadanos, sino en la continua demanda del sector privado (centros comerciales) por integrar un MAC, y de los gobiernos descentralizados.</w:t>
      </w:r>
    </w:p>
    <w:p w14:paraId="77B46FBE" w14:textId="77777777" w:rsidR="003A06D2" w:rsidRPr="00F22118" w:rsidRDefault="003A06D2" w:rsidP="00E70362">
      <w:pPr>
        <w:pStyle w:val="ListParagraph"/>
        <w:jc w:val="both"/>
        <w:rPr>
          <w:sz w:val="24"/>
          <w:szCs w:val="24"/>
        </w:rPr>
      </w:pPr>
    </w:p>
    <w:p w14:paraId="7D38E172" w14:textId="76C03422" w:rsidR="00716F09" w:rsidRPr="00163457" w:rsidRDefault="00716F09" w:rsidP="00163457">
      <w:pPr>
        <w:pStyle w:val="ListParagraph"/>
        <w:numPr>
          <w:ilvl w:val="0"/>
          <w:numId w:val="10"/>
        </w:numPr>
        <w:jc w:val="both"/>
        <w:outlineLvl w:val="0"/>
        <w:rPr>
          <w:b/>
          <w:sz w:val="28"/>
          <w:szCs w:val="28"/>
        </w:rPr>
      </w:pPr>
      <w:bookmarkStart w:id="14" w:name="_Toc523393993"/>
      <w:r w:rsidRPr="00163457">
        <w:rPr>
          <w:b/>
          <w:sz w:val="28"/>
          <w:szCs w:val="28"/>
        </w:rPr>
        <w:t>Aplicación de enfoques relevantes para PNUD</w:t>
      </w:r>
      <w:bookmarkEnd w:id="14"/>
    </w:p>
    <w:p w14:paraId="469CEF97" w14:textId="0611C169" w:rsidR="00716F09" w:rsidRDefault="00716F09" w:rsidP="00E70362">
      <w:pPr>
        <w:pStyle w:val="ListParagraph"/>
        <w:ind w:left="360"/>
        <w:jc w:val="both"/>
      </w:pPr>
    </w:p>
    <w:p w14:paraId="34BF1C03" w14:textId="0162D401" w:rsidR="007B4301" w:rsidRPr="00D976E5" w:rsidRDefault="00AA65FE" w:rsidP="000052FC">
      <w:pPr>
        <w:pStyle w:val="ListParagraph"/>
        <w:ind w:left="-360"/>
        <w:jc w:val="both"/>
        <w:rPr>
          <w:sz w:val="24"/>
          <w:szCs w:val="24"/>
        </w:rPr>
      </w:pPr>
      <w:r w:rsidRPr="00D976E5">
        <w:rPr>
          <w:sz w:val="24"/>
          <w:szCs w:val="24"/>
        </w:rPr>
        <w:t xml:space="preserve">Para valorar </w:t>
      </w:r>
      <w:r w:rsidR="00A34203" w:rsidRPr="00D976E5">
        <w:rPr>
          <w:sz w:val="24"/>
          <w:szCs w:val="24"/>
        </w:rPr>
        <w:t xml:space="preserve">la aplicación de los enfoques de derechos humanos, género, interculturalidad, y territorialidad, </w:t>
      </w:r>
      <w:r w:rsidRPr="00D976E5">
        <w:rPr>
          <w:sz w:val="24"/>
          <w:szCs w:val="24"/>
        </w:rPr>
        <w:t>diferenciamos</w:t>
      </w:r>
      <w:r w:rsidR="003E57FE" w:rsidRPr="00D976E5">
        <w:rPr>
          <w:sz w:val="24"/>
          <w:szCs w:val="24"/>
        </w:rPr>
        <w:t xml:space="preserve"> entre </w:t>
      </w:r>
      <w:r w:rsidR="00A34203" w:rsidRPr="00D976E5">
        <w:rPr>
          <w:sz w:val="24"/>
          <w:szCs w:val="24"/>
        </w:rPr>
        <w:t>su adopción</w:t>
      </w:r>
      <w:r w:rsidR="003E57FE" w:rsidRPr="00D976E5">
        <w:rPr>
          <w:sz w:val="24"/>
          <w:szCs w:val="24"/>
        </w:rPr>
        <w:t xml:space="preserve"> a raíz del proyecto y </w:t>
      </w:r>
      <w:r w:rsidR="00A34203" w:rsidRPr="00D976E5">
        <w:rPr>
          <w:sz w:val="24"/>
          <w:szCs w:val="24"/>
        </w:rPr>
        <w:t>su adopción por alineamiento con</w:t>
      </w:r>
      <w:r w:rsidR="00876174" w:rsidRPr="00D976E5">
        <w:rPr>
          <w:sz w:val="24"/>
          <w:szCs w:val="24"/>
        </w:rPr>
        <w:t xml:space="preserve"> la normativa general del Estado Peruano.</w:t>
      </w:r>
      <w:r w:rsidR="00A34203" w:rsidRPr="00D976E5">
        <w:rPr>
          <w:sz w:val="24"/>
          <w:szCs w:val="24"/>
        </w:rPr>
        <w:t xml:space="preserve"> </w:t>
      </w:r>
      <w:r w:rsidR="00E1192A" w:rsidRPr="00D976E5">
        <w:rPr>
          <w:sz w:val="24"/>
          <w:szCs w:val="24"/>
        </w:rPr>
        <w:t>Un ejemplo de esto último está</w:t>
      </w:r>
      <w:r w:rsidR="00A34203" w:rsidRPr="00D976E5">
        <w:rPr>
          <w:sz w:val="24"/>
          <w:szCs w:val="24"/>
        </w:rPr>
        <w:t xml:space="preserve"> en los MAC</w:t>
      </w:r>
      <w:r w:rsidR="00E1192A" w:rsidRPr="00D976E5">
        <w:rPr>
          <w:sz w:val="24"/>
          <w:szCs w:val="24"/>
        </w:rPr>
        <w:t>, donde</w:t>
      </w:r>
      <w:r w:rsidR="00A34203" w:rsidRPr="00D976E5">
        <w:rPr>
          <w:sz w:val="24"/>
          <w:szCs w:val="24"/>
        </w:rPr>
        <w:t xml:space="preserve"> hay priorización para personas con discapacidades, </w:t>
      </w:r>
      <w:r w:rsidR="00872E03" w:rsidRPr="00D976E5">
        <w:rPr>
          <w:sz w:val="24"/>
          <w:szCs w:val="24"/>
        </w:rPr>
        <w:t>siguiendo</w:t>
      </w:r>
      <w:r w:rsidR="00A34203" w:rsidRPr="00D976E5">
        <w:rPr>
          <w:sz w:val="24"/>
          <w:szCs w:val="24"/>
        </w:rPr>
        <w:t xml:space="preserve"> </w:t>
      </w:r>
      <w:r w:rsidR="00872E03" w:rsidRPr="00D976E5">
        <w:rPr>
          <w:sz w:val="24"/>
          <w:szCs w:val="24"/>
        </w:rPr>
        <w:t>las pautas exigidas</w:t>
      </w:r>
      <w:r w:rsidR="00A34203" w:rsidRPr="00D976E5">
        <w:rPr>
          <w:sz w:val="24"/>
          <w:szCs w:val="24"/>
        </w:rPr>
        <w:t xml:space="preserve"> por la legislación nacional. </w:t>
      </w:r>
      <w:r w:rsidR="004B2BE5" w:rsidRPr="00D976E5">
        <w:rPr>
          <w:sz w:val="24"/>
          <w:szCs w:val="24"/>
        </w:rPr>
        <w:t>En el otro extr</w:t>
      </w:r>
      <w:r w:rsidR="00CD6B63" w:rsidRPr="00D976E5">
        <w:rPr>
          <w:sz w:val="24"/>
          <w:szCs w:val="24"/>
        </w:rPr>
        <w:t>emo</w:t>
      </w:r>
      <w:r w:rsidR="00D82D95" w:rsidRPr="00D976E5">
        <w:rPr>
          <w:sz w:val="24"/>
          <w:szCs w:val="24"/>
        </w:rPr>
        <w:t xml:space="preserve">, la Línea </w:t>
      </w:r>
      <w:r w:rsidR="00D82D95" w:rsidRPr="00D976E5">
        <w:rPr>
          <w:i/>
          <w:sz w:val="24"/>
          <w:szCs w:val="24"/>
        </w:rPr>
        <w:t>Aló MAC -</w:t>
      </w:r>
      <w:r w:rsidR="00D82D95" w:rsidRPr="00D976E5">
        <w:rPr>
          <w:sz w:val="24"/>
          <w:szCs w:val="24"/>
        </w:rPr>
        <w:t xml:space="preserve">que brinda asesoría sobre los servicios que ofrecen estos centros- ha implementado </w:t>
      </w:r>
      <w:r w:rsidR="00D64987" w:rsidRPr="00D976E5">
        <w:rPr>
          <w:sz w:val="24"/>
          <w:szCs w:val="24"/>
        </w:rPr>
        <w:t>un servicio</w:t>
      </w:r>
      <w:r w:rsidR="00D82D95" w:rsidRPr="00D976E5">
        <w:rPr>
          <w:sz w:val="24"/>
          <w:szCs w:val="24"/>
        </w:rPr>
        <w:t xml:space="preserve"> en quechua</w:t>
      </w:r>
      <w:r w:rsidR="00DD3786" w:rsidRPr="00D976E5">
        <w:rPr>
          <w:sz w:val="24"/>
          <w:szCs w:val="24"/>
        </w:rPr>
        <w:t xml:space="preserve">, </w:t>
      </w:r>
      <w:r w:rsidR="004A6B0F" w:rsidRPr="00D976E5">
        <w:rPr>
          <w:sz w:val="24"/>
          <w:szCs w:val="24"/>
        </w:rPr>
        <w:t xml:space="preserve">en un esfuerzo intencional por </w:t>
      </w:r>
      <w:r w:rsidR="007737FF" w:rsidRPr="00D976E5">
        <w:rPr>
          <w:sz w:val="24"/>
          <w:szCs w:val="24"/>
        </w:rPr>
        <w:t>alcanzar a población migrante</w:t>
      </w:r>
      <w:r w:rsidR="00D976E5">
        <w:rPr>
          <w:sz w:val="24"/>
          <w:szCs w:val="24"/>
        </w:rPr>
        <w:t xml:space="preserve"> </w:t>
      </w:r>
      <w:r w:rsidR="00515314">
        <w:rPr>
          <w:sz w:val="24"/>
          <w:szCs w:val="24"/>
        </w:rPr>
        <w:t>quechua hablante</w:t>
      </w:r>
      <w:r w:rsidR="007737FF" w:rsidRPr="00D976E5">
        <w:rPr>
          <w:sz w:val="24"/>
          <w:szCs w:val="24"/>
        </w:rPr>
        <w:t xml:space="preserve"> residente en Lima</w:t>
      </w:r>
      <w:r w:rsidR="00DD3786" w:rsidRPr="00D976E5">
        <w:rPr>
          <w:sz w:val="24"/>
          <w:szCs w:val="24"/>
        </w:rPr>
        <w:t>.</w:t>
      </w:r>
      <w:r w:rsidR="007B4301" w:rsidRPr="00D976E5">
        <w:rPr>
          <w:sz w:val="24"/>
          <w:szCs w:val="24"/>
        </w:rPr>
        <w:t xml:space="preserve"> Asimismo, la ampliación del diálogo de los GORE a nivel municipal -con los </w:t>
      </w:r>
      <w:proofErr w:type="spellStart"/>
      <w:r w:rsidR="007B4301" w:rsidRPr="00D976E5">
        <w:rPr>
          <w:sz w:val="24"/>
          <w:szCs w:val="24"/>
        </w:rPr>
        <w:t>Munis</w:t>
      </w:r>
      <w:proofErr w:type="spellEnd"/>
      <w:r w:rsidR="007B4301" w:rsidRPr="00D976E5">
        <w:rPr>
          <w:sz w:val="24"/>
          <w:szCs w:val="24"/>
        </w:rPr>
        <w:t xml:space="preserve"> Ejecutivos- indica la presencia de un enfoque de territorialidad</w:t>
      </w:r>
      <w:r w:rsidR="00E1192A" w:rsidRPr="00D976E5">
        <w:rPr>
          <w:sz w:val="24"/>
          <w:szCs w:val="24"/>
        </w:rPr>
        <w:t xml:space="preserve">, enfoque que también está muy presente en </w:t>
      </w:r>
      <w:proofErr w:type="spellStart"/>
      <w:r w:rsidR="00E1192A" w:rsidRPr="00D976E5">
        <w:rPr>
          <w:sz w:val="24"/>
          <w:szCs w:val="24"/>
        </w:rPr>
        <w:t>Sayhuite</w:t>
      </w:r>
      <w:proofErr w:type="spellEnd"/>
      <w:r w:rsidR="00E1192A" w:rsidRPr="00D976E5">
        <w:rPr>
          <w:sz w:val="24"/>
          <w:szCs w:val="24"/>
        </w:rPr>
        <w:t xml:space="preserve"> (por la creación de versiones regionales) y mancomunidades (que promueven también a nivel provincial y distrital)</w:t>
      </w:r>
      <w:r w:rsidR="007B4301" w:rsidRPr="00D976E5">
        <w:rPr>
          <w:sz w:val="24"/>
          <w:szCs w:val="24"/>
        </w:rPr>
        <w:t>.</w:t>
      </w:r>
      <w:r w:rsidR="00506C86" w:rsidRPr="00D976E5">
        <w:rPr>
          <w:sz w:val="24"/>
          <w:szCs w:val="24"/>
        </w:rPr>
        <w:t xml:space="preserve"> </w:t>
      </w:r>
    </w:p>
    <w:p w14:paraId="4BAD4F29" w14:textId="77777777" w:rsidR="007B4301" w:rsidRPr="00D976E5" w:rsidRDefault="007B4301" w:rsidP="000052FC">
      <w:pPr>
        <w:pStyle w:val="ListParagraph"/>
        <w:ind w:left="-360"/>
        <w:jc w:val="both"/>
        <w:rPr>
          <w:sz w:val="24"/>
          <w:szCs w:val="24"/>
        </w:rPr>
      </w:pPr>
    </w:p>
    <w:p w14:paraId="4934D56A" w14:textId="12215C26" w:rsidR="009E5993" w:rsidRPr="00D976E5" w:rsidRDefault="00D976E5" w:rsidP="000052FC">
      <w:pPr>
        <w:pStyle w:val="ListParagraph"/>
        <w:ind w:left="-360"/>
        <w:jc w:val="both"/>
        <w:rPr>
          <w:sz w:val="24"/>
          <w:szCs w:val="24"/>
        </w:rPr>
      </w:pPr>
      <w:r>
        <w:rPr>
          <w:sz w:val="24"/>
          <w:szCs w:val="24"/>
        </w:rPr>
        <w:lastRenderedPageBreak/>
        <w:t xml:space="preserve">El registro de mancomunidades da espacio para la afirmación también de identidades étnicas. Varias de ellas </w:t>
      </w:r>
      <w:r w:rsidR="009E5993" w:rsidRPr="00D976E5">
        <w:rPr>
          <w:sz w:val="24"/>
          <w:szCs w:val="24"/>
        </w:rPr>
        <w:t xml:space="preserve">se han declarado indígenas: por ejemplo, la Mancomunidad Municipal </w:t>
      </w:r>
      <w:proofErr w:type="spellStart"/>
      <w:r w:rsidR="009E5993" w:rsidRPr="00D976E5">
        <w:rPr>
          <w:sz w:val="24"/>
          <w:szCs w:val="24"/>
        </w:rPr>
        <w:t>Awajun</w:t>
      </w:r>
      <w:proofErr w:type="spellEnd"/>
      <w:r w:rsidR="009E5993" w:rsidRPr="00D976E5">
        <w:rPr>
          <w:sz w:val="24"/>
          <w:szCs w:val="24"/>
        </w:rPr>
        <w:t xml:space="preserve"> </w:t>
      </w:r>
      <w:proofErr w:type="spellStart"/>
      <w:r w:rsidR="009E5993" w:rsidRPr="00D976E5">
        <w:rPr>
          <w:sz w:val="24"/>
          <w:szCs w:val="24"/>
        </w:rPr>
        <w:t>Wampis</w:t>
      </w:r>
      <w:proofErr w:type="spellEnd"/>
      <w:r w:rsidR="009E5993" w:rsidRPr="00D976E5">
        <w:rPr>
          <w:sz w:val="24"/>
          <w:szCs w:val="24"/>
        </w:rPr>
        <w:t xml:space="preserve"> – </w:t>
      </w:r>
      <w:proofErr w:type="spellStart"/>
      <w:r w:rsidR="009E5993" w:rsidRPr="00D976E5">
        <w:rPr>
          <w:sz w:val="24"/>
          <w:szCs w:val="24"/>
        </w:rPr>
        <w:t>Mawampi</w:t>
      </w:r>
      <w:proofErr w:type="spellEnd"/>
      <w:r w:rsidR="009E5993" w:rsidRPr="00D976E5">
        <w:rPr>
          <w:sz w:val="24"/>
          <w:szCs w:val="24"/>
        </w:rPr>
        <w:t xml:space="preserve"> (integrada por municipalidades distritales de Condorcanqui y Bagua), Mancomunidad Municipal Distrital Quechuas - Lago Titicaca y la Mancomunidad Municipal Distritos </w:t>
      </w:r>
      <w:r w:rsidR="00515314" w:rsidRPr="00D976E5">
        <w:rPr>
          <w:sz w:val="24"/>
          <w:szCs w:val="24"/>
        </w:rPr>
        <w:t>Aimaras</w:t>
      </w:r>
      <w:r w:rsidR="009E5993" w:rsidRPr="00D976E5">
        <w:rPr>
          <w:sz w:val="24"/>
          <w:szCs w:val="24"/>
        </w:rPr>
        <w:t xml:space="preserve"> - Lago Titicaca (ambas en Puno). Otr</w:t>
      </w:r>
      <w:r>
        <w:rPr>
          <w:sz w:val="24"/>
          <w:szCs w:val="24"/>
        </w:rPr>
        <w:t>o</w:t>
      </w:r>
      <w:r w:rsidR="009E5993" w:rsidRPr="00D976E5">
        <w:rPr>
          <w:sz w:val="24"/>
          <w:szCs w:val="24"/>
        </w:rPr>
        <w:t>s</w:t>
      </w:r>
      <w:r>
        <w:rPr>
          <w:sz w:val="24"/>
          <w:szCs w:val="24"/>
        </w:rPr>
        <w:t xml:space="preserve"> casos</w:t>
      </w:r>
      <w:r w:rsidR="009E5993" w:rsidRPr="00D976E5">
        <w:rPr>
          <w:sz w:val="24"/>
          <w:szCs w:val="24"/>
        </w:rPr>
        <w:t xml:space="preserve"> </w:t>
      </w:r>
      <w:r>
        <w:rPr>
          <w:sz w:val="24"/>
          <w:szCs w:val="24"/>
        </w:rPr>
        <w:t>vertebran</w:t>
      </w:r>
      <w:r w:rsidR="009E5993" w:rsidRPr="00D976E5">
        <w:rPr>
          <w:sz w:val="24"/>
          <w:szCs w:val="24"/>
        </w:rPr>
        <w:t xml:space="preserve"> alrededor de un enfoque de derechos humanos como la “Mancomunidad Municipal Amigas De La Niñez - Aman” en Cusco, esta última auspiciada por UNICEF. En el sistema </w:t>
      </w:r>
      <w:proofErr w:type="spellStart"/>
      <w:r w:rsidR="009E5993" w:rsidRPr="00D976E5">
        <w:rPr>
          <w:sz w:val="24"/>
          <w:szCs w:val="24"/>
        </w:rPr>
        <w:t>Sayhuite</w:t>
      </w:r>
      <w:proofErr w:type="spellEnd"/>
      <w:r w:rsidR="009E5993" w:rsidRPr="00D976E5">
        <w:rPr>
          <w:sz w:val="24"/>
          <w:szCs w:val="24"/>
        </w:rPr>
        <w:t>, la Gerencia de Gobierno Digital ha llevado actividades de apoyo a las alcaldesas mujeres para que puedan utilizar el sistema.</w:t>
      </w:r>
    </w:p>
    <w:p w14:paraId="214F6889" w14:textId="77777777" w:rsidR="009E5993" w:rsidRPr="00D976E5" w:rsidRDefault="009E5993" w:rsidP="000052FC">
      <w:pPr>
        <w:pStyle w:val="ListParagraph"/>
        <w:ind w:left="-360"/>
        <w:jc w:val="both"/>
        <w:rPr>
          <w:sz w:val="24"/>
          <w:szCs w:val="24"/>
        </w:rPr>
      </w:pPr>
    </w:p>
    <w:p w14:paraId="4D70D5F4" w14:textId="140E6F13" w:rsidR="00CD6B63" w:rsidRPr="00D976E5" w:rsidRDefault="009E5993" w:rsidP="000052FC">
      <w:pPr>
        <w:pStyle w:val="ListParagraph"/>
        <w:ind w:left="-360"/>
        <w:jc w:val="both"/>
        <w:rPr>
          <w:sz w:val="24"/>
          <w:szCs w:val="24"/>
        </w:rPr>
      </w:pPr>
      <w:r w:rsidRPr="00D976E5">
        <w:rPr>
          <w:sz w:val="24"/>
          <w:szCs w:val="24"/>
        </w:rPr>
        <w:t>Como parte del trabajo administrativo de PNUD, e</w:t>
      </w:r>
      <w:r w:rsidR="00CD6B63" w:rsidRPr="00D976E5">
        <w:rPr>
          <w:sz w:val="24"/>
          <w:szCs w:val="24"/>
        </w:rPr>
        <w:t>n</w:t>
      </w:r>
      <w:r w:rsidR="00956CB4" w:rsidRPr="00D976E5">
        <w:rPr>
          <w:sz w:val="24"/>
          <w:szCs w:val="24"/>
        </w:rPr>
        <w:t xml:space="preserve"> la revisión sustantiva de 2015 y en</w:t>
      </w:r>
      <w:r w:rsidR="00CD6B63" w:rsidRPr="00D976E5">
        <w:rPr>
          <w:sz w:val="24"/>
          <w:szCs w:val="24"/>
        </w:rPr>
        <w:t xml:space="preserve"> el plan de trabajo de 2016 se señal</w:t>
      </w:r>
      <w:r w:rsidR="00D71095" w:rsidRPr="00D976E5">
        <w:rPr>
          <w:sz w:val="24"/>
          <w:szCs w:val="24"/>
        </w:rPr>
        <w:t>ó</w:t>
      </w:r>
      <w:r w:rsidR="00CD6B63" w:rsidRPr="00D976E5">
        <w:rPr>
          <w:sz w:val="24"/>
          <w:szCs w:val="24"/>
        </w:rPr>
        <w:t xml:space="preserve"> que para los estudios de </w:t>
      </w:r>
      <w:r w:rsidR="00515314" w:rsidRPr="00D976E5">
        <w:rPr>
          <w:sz w:val="24"/>
          <w:szCs w:val="24"/>
        </w:rPr>
        <w:t>pre inversión</w:t>
      </w:r>
      <w:r w:rsidR="00CD6B63" w:rsidRPr="00D976E5">
        <w:rPr>
          <w:sz w:val="24"/>
          <w:szCs w:val="24"/>
        </w:rPr>
        <w:t xml:space="preserve"> del MAC se plantear</w:t>
      </w:r>
      <w:r w:rsidR="003B5475" w:rsidRPr="00D976E5">
        <w:rPr>
          <w:sz w:val="24"/>
          <w:szCs w:val="24"/>
        </w:rPr>
        <w:t>ía</w:t>
      </w:r>
      <w:r w:rsidR="00CD6B63" w:rsidRPr="00D976E5">
        <w:rPr>
          <w:sz w:val="24"/>
          <w:szCs w:val="24"/>
        </w:rPr>
        <w:t>n indicadores de género</w:t>
      </w:r>
      <w:r w:rsidR="00D71095" w:rsidRPr="00D976E5">
        <w:rPr>
          <w:sz w:val="24"/>
          <w:szCs w:val="24"/>
        </w:rPr>
        <w:t xml:space="preserve"> y medioambiente</w:t>
      </w:r>
      <w:r w:rsidR="00CD6B63" w:rsidRPr="00D976E5">
        <w:rPr>
          <w:sz w:val="24"/>
          <w:szCs w:val="24"/>
        </w:rPr>
        <w:t xml:space="preserve">. </w:t>
      </w:r>
      <w:r w:rsidR="00691B91" w:rsidRPr="00D976E5">
        <w:rPr>
          <w:sz w:val="24"/>
          <w:szCs w:val="24"/>
        </w:rPr>
        <w:t xml:space="preserve">Asimismo, </w:t>
      </w:r>
      <w:r w:rsidR="001A7324" w:rsidRPr="00D976E5">
        <w:rPr>
          <w:sz w:val="24"/>
          <w:szCs w:val="24"/>
        </w:rPr>
        <w:t>en el Anexo V sobre modelo de diagnóstico social y ambiental</w:t>
      </w:r>
      <w:r w:rsidR="00D71095" w:rsidRPr="00D976E5">
        <w:rPr>
          <w:sz w:val="24"/>
          <w:szCs w:val="24"/>
        </w:rPr>
        <w:t xml:space="preserve"> de ambos documentos</w:t>
      </w:r>
      <w:r w:rsidR="001A7324" w:rsidRPr="00D976E5">
        <w:rPr>
          <w:sz w:val="24"/>
          <w:szCs w:val="24"/>
        </w:rPr>
        <w:t xml:space="preserve">, se señala que </w:t>
      </w:r>
      <w:proofErr w:type="spellStart"/>
      <w:r w:rsidR="0079765F" w:rsidRPr="00D976E5">
        <w:rPr>
          <w:sz w:val="24"/>
          <w:szCs w:val="24"/>
        </w:rPr>
        <w:t>Sayhuite</w:t>
      </w:r>
      <w:proofErr w:type="spellEnd"/>
      <w:r w:rsidR="0079765F" w:rsidRPr="00D976E5">
        <w:rPr>
          <w:sz w:val="24"/>
          <w:szCs w:val="24"/>
        </w:rPr>
        <w:t xml:space="preserve"> y MAC Lima Este contribuirán a</w:t>
      </w:r>
      <w:r w:rsidR="00B6087E" w:rsidRPr="00D976E5">
        <w:rPr>
          <w:sz w:val="24"/>
          <w:szCs w:val="24"/>
        </w:rPr>
        <w:t>l enfoque de derechos</w:t>
      </w:r>
      <w:r w:rsidR="00913BED" w:rsidRPr="00D976E5">
        <w:rPr>
          <w:sz w:val="24"/>
          <w:szCs w:val="24"/>
        </w:rPr>
        <w:t xml:space="preserve"> humanos</w:t>
      </w:r>
      <w:r w:rsidR="00B6087E" w:rsidRPr="00D976E5">
        <w:rPr>
          <w:sz w:val="24"/>
          <w:szCs w:val="24"/>
        </w:rPr>
        <w:t xml:space="preserve"> / ciudadanía, </w:t>
      </w:r>
      <w:r w:rsidR="002E0A2D" w:rsidRPr="00D976E5">
        <w:rPr>
          <w:sz w:val="24"/>
          <w:szCs w:val="24"/>
        </w:rPr>
        <w:t xml:space="preserve">a través </w:t>
      </w:r>
      <w:r w:rsidR="00D976E5" w:rsidRPr="00D976E5">
        <w:rPr>
          <w:sz w:val="24"/>
          <w:szCs w:val="24"/>
        </w:rPr>
        <w:t>de la</w:t>
      </w:r>
      <w:r w:rsidR="00B6087E" w:rsidRPr="00D976E5">
        <w:rPr>
          <w:sz w:val="24"/>
          <w:szCs w:val="24"/>
        </w:rPr>
        <w:t xml:space="preserve"> mejora de los servicios que los gobiernos regionales </w:t>
      </w:r>
      <w:r w:rsidR="00DD12E4" w:rsidRPr="00D976E5">
        <w:rPr>
          <w:sz w:val="24"/>
          <w:szCs w:val="24"/>
        </w:rPr>
        <w:t>y las agencias estatales brindan a</w:t>
      </w:r>
      <w:r w:rsidR="00956CB4" w:rsidRPr="00D976E5">
        <w:rPr>
          <w:sz w:val="24"/>
          <w:szCs w:val="24"/>
        </w:rPr>
        <w:t>l ciudadano</w:t>
      </w:r>
      <w:r w:rsidR="00DD12E4" w:rsidRPr="00D976E5">
        <w:rPr>
          <w:sz w:val="24"/>
          <w:szCs w:val="24"/>
        </w:rPr>
        <w:t xml:space="preserve"> </w:t>
      </w:r>
      <w:r w:rsidRPr="00D976E5">
        <w:rPr>
          <w:sz w:val="24"/>
          <w:szCs w:val="24"/>
        </w:rPr>
        <w:t>mediante</w:t>
      </w:r>
      <w:r w:rsidR="00DD12E4" w:rsidRPr="00D976E5">
        <w:rPr>
          <w:sz w:val="24"/>
          <w:szCs w:val="24"/>
        </w:rPr>
        <w:t xml:space="preserve"> estas plataformas. </w:t>
      </w:r>
      <w:r w:rsidR="0056545C" w:rsidRPr="00D976E5">
        <w:rPr>
          <w:sz w:val="24"/>
          <w:szCs w:val="24"/>
        </w:rPr>
        <w:t xml:space="preserve">También se señala que </w:t>
      </w:r>
      <w:proofErr w:type="spellStart"/>
      <w:r w:rsidR="0056545C" w:rsidRPr="00D976E5">
        <w:rPr>
          <w:sz w:val="24"/>
          <w:szCs w:val="24"/>
        </w:rPr>
        <w:t>Sayhuite</w:t>
      </w:r>
      <w:proofErr w:type="spellEnd"/>
      <w:r w:rsidR="0056545C" w:rsidRPr="00D976E5">
        <w:rPr>
          <w:sz w:val="24"/>
          <w:szCs w:val="24"/>
        </w:rPr>
        <w:t xml:space="preserve"> incluir</w:t>
      </w:r>
      <w:r w:rsidR="001E72DA" w:rsidRPr="00D976E5">
        <w:rPr>
          <w:sz w:val="24"/>
          <w:szCs w:val="24"/>
        </w:rPr>
        <w:t>ía</w:t>
      </w:r>
      <w:r w:rsidR="0056545C" w:rsidRPr="00D976E5">
        <w:rPr>
          <w:sz w:val="24"/>
          <w:szCs w:val="24"/>
        </w:rPr>
        <w:t xml:space="preserve"> indicadores sobre género y niñez, sin embargo, </w:t>
      </w:r>
      <w:r w:rsidR="005440C9" w:rsidRPr="00D976E5">
        <w:rPr>
          <w:sz w:val="24"/>
          <w:szCs w:val="24"/>
        </w:rPr>
        <w:t xml:space="preserve">ello todavía no se </w:t>
      </w:r>
      <w:r w:rsidR="001E72DA" w:rsidRPr="00D976E5">
        <w:rPr>
          <w:sz w:val="24"/>
          <w:szCs w:val="24"/>
        </w:rPr>
        <w:t>ha integrado</w:t>
      </w:r>
      <w:r w:rsidR="005440C9" w:rsidRPr="00D976E5">
        <w:rPr>
          <w:sz w:val="24"/>
          <w:szCs w:val="24"/>
        </w:rPr>
        <w:t xml:space="preserve"> </w:t>
      </w:r>
      <w:r w:rsidR="001E72DA" w:rsidRPr="00D976E5">
        <w:rPr>
          <w:sz w:val="24"/>
          <w:szCs w:val="24"/>
        </w:rPr>
        <w:t>a</w:t>
      </w:r>
      <w:r w:rsidR="005440C9" w:rsidRPr="00D976E5">
        <w:rPr>
          <w:sz w:val="24"/>
          <w:szCs w:val="24"/>
        </w:rPr>
        <w:t xml:space="preserve">l sistema. </w:t>
      </w:r>
    </w:p>
    <w:p w14:paraId="6F8EE3E2" w14:textId="77777777" w:rsidR="00CD6B63" w:rsidRPr="00D976E5" w:rsidRDefault="00CD6B63" w:rsidP="000052FC">
      <w:pPr>
        <w:pStyle w:val="ListParagraph"/>
        <w:ind w:left="-360"/>
        <w:jc w:val="both"/>
        <w:rPr>
          <w:sz w:val="24"/>
          <w:szCs w:val="24"/>
          <w:highlight w:val="yellow"/>
        </w:rPr>
      </w:pPr>
    </w:p>
    <w:p w14:paraId="46F77A13" w14:textId="7EE1565C" w:rsidR="007421D8" w:rsidRDefault="001B4B52" w:rsidP="007421D8">
      <w:pPr>
        <w:pStyle w:val="ListParagraph"/>
        <w:ind w:left="-360"/>
        <w:jc w:val="both"/>
        <w:rPr>
          <w:sz w:val="24"/>
          <w:szCs w:val="24"/>
        </w:rPr>
      </w:pPr>
      <w:r w:rsidRPr="00D976E5">
        <w:rPr>
          <w:sz w:val="24"/>
          <w:szCs w:val="24"/>
        </w:rPr>
        <w:t>Pese a estos avances, h</w:t>
      </w:r>
      <w:r w:rsidR="007421D8" w:rsidRPr="00D976E5">
        <w:rPr>
          <w:sz w:val="24"/>
          <w:szCs w:val="24"/>
        </w:rPr>
        <w:t>ubiese sido deseable que el proyecto generase guías más explícitas para la inclusión de los enfoques en las acciones programadas. Estas se pudieron haber elaborado a través de consultorías específicas temáticas dentro del marco presupuestal del proyecto.</w:t>
      </w:r>
    </w:p>
    <w:p w14:paraId="0391ABDB" w14:textId="77777777" w:rsidR="00D976E5" w:rsidRPr="00D976E5" w:rsidRDefault="00D976E5" w:rsidP="007421D8">
      <w:pPr>
        <w:pStyle w:val="ListParagraph"/>
        <w:ind w:left="-360"/>
        <w:jc w:val="both"/>
        <w:rPr>
          <w:sz w:val="24"/>
          <w:szCs w:val="24"/>
        </w:rPr>
      </w:pPr>
    </w:p>
    <w:p w14:paraId="65BA5AFE" w14:textId="77777777" w:rsidR="007421D8" w:rsidRPr="00D976E5" w:rsidRDefault="007421D8" w:rsidP="00E70362">
      <w:pPr>
        <w:pStyle w:val="ListParagraph"/>
        <w:ind w:left="360"/>
        <w:jc w:val="both"/>
        <w:rPr>
          <w:sz w:val="24"/>
          <w:szCs w:val="24"/>
        </w:rPr>
      </w:pPr>
    </w:p>
    <w:p w14:paraId="5B80FEE6" w14:textId="71204AFC" w:rsidR="00831FB6" w:rsidRPr="00163457" w:rsidRDefault="00831FB6" w:rsidP="00163457">
      <w:pPr>
        <w:pStyle w:val="ListParagraph"/>
        <w:numPr>
          <w:ilvl w:val="0"/>
          <w:numId w:val="10"/>
        </w:numPr>
        <w:jc w:val="both"/>
        <w:outlineLvl w:val="0"/>
        <w:rPr>
          <w:b/>
          <w:sz w:val="28"/>
          <w:szCs w:val="28"/>
        </w:rPr>
      </w:pPr>
      <w:bookmarkStart w:id="15" w:name="_Toc523393994"/>
      <w:r w:rsidRPr="00163457">
        <w:rPr>
          <w:b/>
          <w:sz w:val="28"/>
          <w:szCs w:val="28"/>
        </w:rPr>
        <w:t>Determinación de buenas prácticas</w:t>
      </w:r>
      <w:bookmarkEnd w:id="15"/>
    </w:p>
    <w:p w14:paraId="7EE989CC" w14:textId="55F31878" w:rsidR="00831FB6" w:rsidRDefault="00831FB6" w:rsidP="00831FB6">
      <w:pPr>
        <w:pStyle w:val="ListParagraph"/>
        <w:ind w:left="360"/>
        <w:jc w:val="both"/>
        <w:outlineLvl w:val="0"/>
        <w:rPr>
          <w:b/>
        </w:rPr>
      </w:pPr>
    </w:p>
    <w:p w14:paraId="211D5904" w14:textId="77777777" w:rsidR="002D2349" w:rsidRPr="00D976E5" w:rsidRDefault="00456F6B" w:rsidP="002D2349">
      <w:pPr>
        <w:pStyle w:val="ListParagraph"/>
        <w:ind w:left="-270"/>
        <w:jc w:val="both"/>
        <w:rPr>
          <w:sz w:val="24"/>
          <w:szCs w:val="24"/>
        </w:rPr>
      </w:pPr>
      <w:r w:rsidRPr="00D976E5">
        <w:rPr>
          <w:sz w:val="24"/>
          <w:szCs w:val="24"/>
        </w:rPr>
        <w:t xml:space="preserve">La determinación de buenas prácticas está asociada a buenos desempeños en los cuatro criterios de evaluación </w:t>
      </w:r>
      <w:r w:rsidR="00E37A41" w:rsidRPr="00D976E5">
        <w:rPr>
          <w:sz w:val="24"/>
          <w:szCs w:val="24"/>
        </w:rPr>
        <w:t xml:space="preserve">priorizados por PNUD, así como en la inclusión de los enfoques de derechos humanos, territorialidad, </w:t>
      </w:r>
      <w:r w:rsidR="001A75AB" w:rsidRPr="00D976E5">
        <w:rPr>
          <w:sz w:val="24"/>
          <w:szCs w:val="24"/>
        </w:rPr>
        <w:t>género e interculturalidad.</w:t>
      </w:r>
    </w:p>
    <w:p w14:paraId="7E8505A8" w14:textId="77777777" w:rsidR="002D2349" w:rsidRPr="00D976E5" w:rsidRDefault="002D2349" w:rsidP="002D2349">
      <w:pPr>
        <w:pStyle w:val="ListParagraph"/>
        <w:ind w:left="-270"/>
        <w:jc w:val="both"/>
        <w:rPr>
          <w:sz w:val="24"/>
          <w:szCs w:val="24"/>
        </w:rPr>
      </w:pPr>
    </w:p>
    <w:p w14:paraId="5DA1BAFB" w14:textId="154CCD86" w:rsidR="00BC4CE3" w:rsidRDefault="00A10C18" w:rsidP="002D2349">
      <w:pPr>
        <w:pStyle w:val="ListParagraph"/>
        <w:ind w:left="-270"/>
        <w:jc w:val="both"/>
        <w:rPr>
          <w:sz w:val="24"/>
          <w:szCs w:val="24"/>
        </w:rPr>
      </w:pPr>
      <w:r w:rsidRPr="00D976E5">
        <w:rPr>
          <w:sz w:val="24"/>
          <w:szCs w:val="24"/>
        </w:rPr>
        <w:t xml:space="preserve">En la </w:t>
      </w:r>
      <w:r w:rsidR="008057F9" w:rsidRPr="00D976E5">
        <w:rPr>
          <w:sz w:val="24"/>
          <w:szCs w:val="24"/>
        </w:rPr>
        <w:t>siguiente tabla</w:t>
      </w:r>
      <w:r w:rsidRPr="00D976E5">
        <w:rPr>
          <w:sz w:val="24"/>
          <w:szCs w:val="24"/>
        </w:rPr>
        <w:t xml:space="preserve"> se presentan los principales hallazgos según la metodología propuesta a PNUD.</w:t>
      </w:r>
      <w:r w:rsidR="0032177D" w:rsidRPr="00D976E5">
        <w:rPr>
          <w:sz w:val="24"/>
          <w:szCs w:val="24"/>
        </w:rPr>
        <w:t xml:space="preserve"> Se ha otorgado un</w:t>
      </w:r>
      <w:r w:rsidR="00C7629D" w:rsidRPr="00D976E5">
        <w:rPr>
          <w:sz w:val="24"/>
          <w:szCs w:val="24"/>
        </w:rPr>
        <w:t xml:space="preserve"> (1)</w:t>
      </w:r>
      <w:r w:rsidR="0032177D" w:rsidRPr="00D976E5">
        <w:rPr>
          <w:sz w:val="24"/>
          <w:szCs w:val="24"/>
        </w:rPr>
        <w:t xml:space="preserve"> punto por el cumplimiento </w:t>
      </w:r>
      <w:r w:rsidR="001A06DF" w:rsidRPr="00D976E5">
        <w:rPr>
          <w:sz w:val="24"/>
          <w:szCs w:val="24"/>
        </w:rPr>
        <w:t>de cada indicador. En el caso de efectividad, se ha dividido en dos sub</w:t>
      </w:r>
      <w:r w:rsidR="00C7629D" w:rsidRPr="00D976E5">
        <w:rPr>
          <w:sz w:val="24"/>
          <w:szCs w:val="24"/>
        </w:rPr>
        <w:t>-</w:t>
      </w:r>
      <w:r w:rsidR="001A06DF" w:rsidRPr="00D976E5">
        <w:rPr>
          <w:sz w:val="24"/>
          <w:szCs w:val="24"/>
        </w:rPr>
        <w:t>indicadores (cumplimiento</w:t>
      </w:r>
      <w:r w:rsidR="00C7629D" w:rsidRPr="00D976E5">
        <w:rPr>
          <w:sz w:val="24"/>
          <w:szCs w:val="24"/>
        </w:rPr>
        <w:t>,</w:t>
      </w:r>
      <w:r w:rsidR="001A06DF" w:rsidRPr="00D976E5">
        <w:rPr>
          <w:sz w:val="24"/>
          <w:szCs w:val="24"/>
        </w:rPr>
        <w:t xml:space="preserve"> y relación entre resultado y actividad). En el caso de sostenibilidad, se ha otorgado un doble puntaje</w:t>
      </w:r>
      <w:r w:rsidR="000B5204" w:rsidRPr="00D976E5">
        <w:rPr>
          <w:sz w:val="24"/>
          <w:szCs w:val="24"/>
        </w:rPr>
        <w:t xml:space="preserve"> (2 puntos)</w:t>
      </w:r>
      <w:r w:rsidR="00C10206" w:rsidRPr="00D976E5">
        <w:rPr>
          <w:sz w:val="24"/>
          <w:szCs w:val="24"/>
        </w:rPr>
        <w:t xml:space="preserve"> sólo</w:t>
      </w:r>
      <w:r w:rsidR="00495E3F" w:rsidRPr="00D976E5">
        <w:rPr>
          <w:sz w:val="24"/>
          <w:szCs w:val="24"/>
        </w:rPr>
        <w:t xml:space="preserve"> a las acciones consideradas de alta sostenibilidad.</w:t>
      </w:r>
      <w:r w:rsidR="00EC6782" w:rsidRPr="00D976E5">
        <w:rPr>
          <w:sz w:val="24"/>
          <w:szCs w:val="24"/>
        </w:rPr>
        <w:t xml:space="preserve"> Para el caso de los enfoques priorizados</w:t>
      </w:r>
      <w:r w:rsidR="000B5204" w:rsidRPr="00D976E5">
        <w:rPr>
          <w:sz w:val="24"/>
          <w:szCs w:val="24"/>
        </w:rPr>
        <w:t>,</w:t>
      </w:r>
      <w:r w:rsidR="00EC6782" w:rsidRPr="00D976E5">
        <w:rPr>
          <w:sz w:val="24"/>
          <w:szCs w:val="24"/>
        </w:rPr>
        <w:t xml:space="preserve"> se ha otorgado </w:t>
      </w:r>
      <w:r w:rsidR="00305101" w:rsidRPr="00D976E5">
        <w:rPr>
          <w:sz w:val="24"/>
          <w:szCs w:val="24"/>
        </w:rPr>
        <w:t>un (1) punto a la presencia</w:t>
      </w:r>
      <w:r w:rsidR="000B5204" w:rsidRPr="00D976E5">
        <w:rPr>
          <w:sz w:val="24"/>
          <w:szCs w:val="24"/>
        </w:rPr>
        <w:t xml:space="preserve"> de al menos un enfoque por actividad.</w:t>
      </w:r>
    </w:p>
    <w:p w14:paraId="067AA384" w14:textId="77777777" w:rsidR="00D976E5" w:rsidRDefault="00D976E5" w:rsidP="002D2349">
      <w:pPr>
        <w:pStyle w:val="ListParagraph"/>
        <w:ind w:left="-270"/>
        <w:jc w:val="both"/>
        <w:rPr>
          <w:sz w:val="24"/>
          <w:szCs w:val="24"/>
        </w:rPr>
      </w:pPr>
    </w:p>
    <w:p w14:paraId="29DF9FD9" w14:textId="77777777" w:rsidR="00D976E5" w:rsidRDefault="00D976E5" w:rsidP="002D2349">
      <w:pPr>
        <w:pStyle w:val="ListParagraph"/>
        <w:ind w:left="-270"/>
        <w:jc w:val="both"/>
        <w:rPr>
          <w:sz w:val="24"/>
          <w:szCs w:val="24"/>
        </w:rPr>
      </w:pPr>
    </w:p>
    <w:p w14:paraId="030417B6" w14:textId="77777777" w:rsidR="00D976E5" w:rsidRPr="00D976E5" w:rsidRDefault="00D976E5" w:rsidP="002D2349">
      <w:pPr>
        <w:pStyle w:val="ListParagraph"/>
        <w:ind w:left="-270"/>
        <w:jc w:val="both"/>
        <w:rPr>
          <w:sz w:val="24"/>
          <w:szCs w:val="24"/>
        </w:rPr>
      </w:pPr>
    </w:p>
    <w:p w14:paraId="01469198" w14:textId="6F360080" w:rsidR="00163457" w:rsidRPr="00D976E5" w:rsidRDefault="00163457" w:rsidP="00D0794F">
      <w:pPr>
        <w:pStyle w:val="ListParagraph"/>
        <w:ind w:left="360"/>
        <w:jc w:val="center"/>
        <w:rPr>
          <w:sz w:val="24"/>
          <w:szCs w:val="24"/>
          <w:u w:val="single"/>
        </w:rPr>
      </w:pPr>
    </w:p>
    <w:p w14:paraId="05BE2E68" w14:textId="77777777" w:rsidR="00BA1760" w:rsidRPr="00D976E5" w:rsidRDefault="00BA1760" w:rsidP="00D0794F">
      <w:pPr>
        <w:pStyle w:val="ListParagraph"/>
        <w:ind w:left="360"/>
        <w:jc w:val="center"/>
        <w:rPr>
          <w:sz w:val="24"/>
          <w:szCs w:val="24"/>
          <w:u w:val="single"/>
        </w:rPr>
      </w:pPr>
    </w:p>
    <w:p w14:paraId="5FE647F1" w14:textId="12C654A3" w:rsidR="00D0794F" w:rsidRPr="00D976E5" w:rsidRDefault="00D0794F" w:rsidP="00D0794F">
      <w:pPr>
        <w:pStyle w:val="ListParagraph"/>
        <w:ind w:left="360"/>
        <w:jc w:val="center"/>
        <w:rPr>
          <w:sz w:val="24"/>
          <w:szCs w:val="24"/>
          <w:u w:val="single"/>
        </w:rPr>
      </w:pPr>
      <w:r w:rsidRPr="00D976E5">
        <w:rPr>
          <w:sz w:val="24"/>
          <w:szCs w:val="24"/>
          <w:u w:val="single"/>
        </w:rPr>
        <w:t xml:space="preserve">Tabla 1: </w:t>
      </w:r>
      <w:r w:rsidR="001E7D58" w:rsidRPr="00D976E5">
        <w:rPr>
          <w:sz w:val="24"/>
          <w:szCs w:val="24"/>
          <w:u w:val="single"/>
        </w:rPr>
        <w:t>Principales c</w:t>
      </w:r>
      <w:r w:rsidRPr="00D976E5">
        <w:rPr>
          <w:sz w:val="24"/>
          <w:szCs w:val="24"/>
          <w:u w:val="single"/>
        </w:rPr>
        <w:t>omponentes del proyecto según indicadores y enfoques</w:t>
      </w:r>
    </w:p>
    <w:p w14:paraId="6EC48FC4" w14:textId="05CC32A4" w:rsidR="001A75AB" w:rsidRPr="00D976E5" w:rsidRDefault="001A75AB" w:rsidP="00FA309D">
      <w:pPr>
        <w:pStyle w:val="ListParagraph"/>
        <w:ind w:left="360"/>
        <w:jc w:val="both"/>
        <w:rPr>
          <w:sz w:val="24"/>
          <w:szCs w:val="24"/>
        </w:rPr>
      </w:pPr>
    </w:p>
    <w:tbl>
      <w:tblPr>
        <w:tblStyle w:val="TableGrid"/>
        <w:tblW w:w="5508" w:type="pct"/>
        <w:tblLayout w:type="fixed"/>
        <w:tblLook w:val="04A0" w:firstRow="1" w:lastRow="0" w:firstColumn="1" w:lastColumn="0" w:noHBand="0" w:noVBand="1"/>
      </w:tblPr>
      <w:tblGrid>
        <w:gridCol w:w="1453"/>
        <w:gridCol w:w="1018"/>
        <w:gridCol w:w="1183"/>
        <w:gridCol w:w="1276"/>
        <w:gridCol w:w="993"/>
        <w:gridCol w:w="1558"/>
        <w:gridCol w:w="1416"/>
        <w:gridCol w:w="709"/>
      </w:tblGrid>
      <w:tr w:rsidR="00107660" w:rsidRPr="00D976E5" w14:paraId="79F55286" w14:textId="63912532" w:rsidTr="00D976E5">
        <w:tc>
          <w:tcPr>
            <w:tcW w:w="756" w:type="pct"/>
          </w:tcPr>
          <w:p w14:paraId="35264C06" w14:textId="77777777" w:rsidR="000B613E" w:rsidRPr="00D976E5" w:rsidRDefault="000B613E" w:rsidP="00FA309D">
            <w:pPr>
              <w:pStyle w:val="ListParagraph"/>
              <w:ind w:left="0"/>
              <w:jc w:val="both"/>
              <w:rPr>
                <w:sz w:val="20"/>
                <w:szCs w:val="20"/>
              </w:rPr>
            </w:pPr>
          </w:p>
        </w:tc>
        <w:tc>
          <w:tcPr>
            <w:tcW w:w="1146" w:type="pct"/>
            <w:gridSpan w:val="2"/>
          </w:tcPr>
          <w:p w14:paraId="3C900636" w14:textId="0314779C" w:rsidR="000B613E" w:rsidRPr="00D976E5" w:rsidRDefault="000B613E" w:rsidP="00FA309D">
            <w:pPr>
              <w:pStyle w:val="ListParagraph"/>
              <w:ind w:left="0"/>
              <w:jc w:val="both"/>
              <w:rPr>
                <w:b/>
                <w:sz w:val="20"/>
                <w:szCs w:val="20"/>
              </w:rPr>
            </w:pPr>
            <w:r w:rsidRPr="00D976E5">
              <w:rPr>
                <w:b/>
                <w:sz w:val="20"/>
                <w:szCs w:val="20"/>
              </w:rPr>
              <w:t xml:space="preserve">Efectividad </w:t>
            </w:r>
          </w:p>
        </w:tc>
        <w:tc>
          <w:tcPr>
            <w:tcW w:w="664" w:type="pct"/>
          </w:tcPr>
          <w:p w14:paraId="2B44A552" w14:textId="4F243EF4" w:rsidR="000B613E" w:rsidRPr="00D976E5" w:rsidRDefault="000B613E" w:rsidP="00FA309D">
            <w:pPr>
              <w:pStyle w:val="ListParagraph"/>
              <w:ind w:left="0"/>
              <w:jc w:val="both"/>
              <w:rPr>
                <w:b/>
                <w:sz w:val="20"/>
                <w:szCs w:val="20"/>
              </w:rPr>
            </w:pPr>
            <w:r w:rsidRPr="00D976E5">
              <w:rPr>
                <w:b/>
                <w:sz w:val="20"/>
                <w:szCs w:val="20"/>
              </w:rPr>
              <w:t xml:space="preserve">Eficiencia </w:t>
            </w:r>
          </w:p>
        </w:tc>
        <w:tc>
          <w:tcPr>
            <w:tcW w:w="517" w:type="pct"/>
          </w:tcPr>
          <w:p w14:paraId="0387177B" w14:textId="60E0ED0B" w:rsidR="000B613E" w:rsidRPr="00D976E5" w:rsidRDefault="000B613E" w:rsidP="00FA309D">
            <w:pPr>
              <w:pStyle w:val="ListParagraph"/>
              <w:ind w:left="0"/>
              <w:jc w:val="both"/>
              <w:rPr>
                <w:b/>
                <w:sz w:val="20"/>
                <w:szCs w:val="20"/>
              </w:rPr>
            </w:pPr>
            <w:r w:rsidRPr="00D976E5">
              <w:rPr>
                <w:b/>
                <w:sz w:val="20"/>
                <w:szCs w:val="20"/>
              </w:rPr>
              <w:t xml:space="preserve">Pertinencia </w:t>
            </w:r>
          </w:p>
        </w:tc>
        <w:tc>
          <w:tcPr>
            <w:tcW w:w="811" w:type="pct"/>
          </w:tcPr>
          <w:p w14:paraId="709C713E" w14:textId="17DC6F2B" w:rsidR="000B613E" w:rsidRPr="00D976E5" w:rsidRDefault="000B613E" w:rsidP="00FA309D">
            <w:pPr>
              <w:pStyle w:val="ListParagraph"/>
              <w:ind w:left="0"/>
              <w:jc w:val="both"/>
              <w:rPr>
                <w:b/>
                <w:sz w:val="20"/>
                <w:szCs w:val="20"/>
              </w:rPr>
            </w:pPr>
            <w:r w:rsidRPr="00D976E5">
              <w:rPr>
                <w:b/>
                <w:sz w:val="20"/>
                <w:szCs w:val="20"/>
              </w:rPr>
              <w:t>Sostenibilidad</w:t>
            </w:r>
          </w:p>
        </w:tc>
        <w:tc>
          <w:tcPr>
            <w:tcW w:w="737" w:type="pct"/>
          </w:tcPr>
          <w:p w14:paraId="3CB15421" w14:textId="1461D86A" w:rsidR="000B613E" w:rsidRPr="00D976E5" w:rsidRDefault="000B613E" w:rsidP="00FA309D">
            <w:pPr>
              <w:pStyle w:val="ListParagraph"/>
              <w:ind w:left="0"/>
              <w:jc w:val="both"/>
              <w:rPr>
                <w:b/>
                <w:sz w:val="20"/>
                <w:szCs w:val="20"/>
              </w:rPr>
            </w:pPr>
            <w:r w:rsidRPr="00D976E5">
              <w:rPr>
                <w:b/>
                <w:sz w:val="20"/>
                <w:szCs w:val="20"/>
              </w:rPr>
              <w:t>Presencia de enfoques</w:t>
            </w:r>
          </w:p>
        </w:tc>
        <w:tc>
          <w:tcPr>
            <w:tcW w:w="369" w:type="pct"/>
          </w:tcPr>
          <w:p w14:paraId="524CD584" w14:textId="4A99F8BD" w:rsidR="000B613E" w:rsidRPr="00D976E5" w:rsidRDefault="000B613E" w:rsidP="00FA309D">
            <w:pPr>
              <w:pStyle w:val="ListParagraph"/>
              <w:ind w:left="0"/>
              <w:jc w:val="both"/>
              <w:rPr>
                <w:b/>
                <w:sz w:val="20"/>
                <w:szCs w:val="20"/>
              </w:rPr>
            </w:pPr>
            <w:r w:rsidRPr="00D976E5">
              <w:rPr>
                <w:b/>
                <w:sz w:val="20"/>
                <w:szCs w:val="20"/>
              </w:rPr>
              <w:t>Total</w:t>
            </w:r>
          </w:p>
        </w:tc>
      </w:tr>
      <w:tr w:rsidR="00107660" w:rsidRPr="00D976E5" w14:paraId="0BB2FCD8" w14:textId="4D51427B" w:rsidTr="00D976E5">
        <w:tc>
          <w:tcPr>
            <w:tcW w:w="756" w:type="pct"/>
          </w:tcPr>
          <w:p w14:paraId="536BC508" w14:textId="0609FCAF" w:rsidR="000B613E" w:rsidRPr="00D976E5" w:rsidRDefault="000B613E" w:rsidP="00FA309D">
            <w:pPr>
              <w:pStyle w:val="ListParagraph"/>
              <w:ind w:left="0"/>
              <w:jc w:val="both"/>
              <w:rPr>
                <w:b/>
                <w:sz w:val="20"/>
                <w:szCs w:val="20"/>
              </w:rPr>
            </w:pPr>
          </w:p>
        </w:tc>
        <w:tc>
          <w:tcPr>
            <w:tcW w:w="530" w:type="pct"/>
          </w:tcPr>
          <w:p w14:paraId="6872A28A" w14:textId="0C984CED" w:rsidR="000B613E" w:rsidRPr="00D976E5" w:rsidRDefault="000B613E" w:rsidP="00FA309D">
            <w:pPr>
              <w:pStyle w:val="ListParagraph"/>
              <w:ind w:left="0"/>
              <w:jc w:val="both"/>
              <w:rPr>
                <w:i/>
                <w:sz w:val="20"/>
                <w:szCs w:val="20"/>
              </w:rPr>
            </w:pPr>
            <w:r w:rsidRPr="00D976E5">
              <w:rPr>
                <w:i/>
                <w:sz w:val="20"/>
                <w:szCs w:val="20"/>
              </w:rPr>
              <w:t xml:space="preserve">Cumplimiento </w:t>
            </w:r>
          </w:p>
        </w:tc>
        <w:tc>
          <w:tcPr>
            <w:tcW w:w="616" w:type="pct"/>
          </w:tcPr>
          <w:p w14:paraId="52AFF8FF" w14:textId="7731E62D" w:rsidR="000B613E" w:rsidRPr="00D976E5" w:rsidRDefault="000B613E" w:rsidP="00107660">
            <w:pPr>
              <w:pStyle w:val="ListParagraph"/>
              <w:ind w:left="0"/>
              <w:jc w:val="both"/>
              <w:rPr>
                <w:i/>
                <w:sz w:val="20"/>
                <w:szCs w:val="20"/>
              </w:rPr>
            </w:pPr>
            <w:r w:rsidRPr="00D976E5">
              <w:rPr>
                <w:i/>
                <w:sz w:val="20"/>
                <w:szCs w:val="20"/>
              </w:rPr>
              <w:t xml:space="preserve">Relación </w:t>
            </w:r>
            <w:r w:rsidR="003276C8" w:rsidRPr="00D976E5">
              <w:rPr>
                <w:i/>
                <w:sz w:val="20"/>
                <w:szCs w:val="20"/>
              </w:rPr>
              <w:t xml:space="preserve"> </w:t>
            </w:r>
            <w:r w:rsidRPr="00D976E5">
              <w:rPr>
                <w:i/>
                <w:sz w:val="20"/>
                <w:szCs w:val="20"/>
              </w:rPr>
              <w:t>actividad</w:t>
            </w:r>
            <w:r w:rsidR="00107660" w:rsidRPr="00D976E5">
              <w:rPr>
                <w:i/>
                <w:sz w:val="20"/>
                <w:szCs w:val="20"/>
              </w:rPr>
              <w:t>/</w:t>
            </w:r>
            <w:r w:rsidRPr="00D976E5">
              <w:rPr>
                <w:i/>
                <w:sz w:val="20"/>
                <w:szCs w:val="20"/>
              </w:rPr>
              <w:t xml:space="preserve"> resultado</w:t>
            </w:r>
          </w:p>
        </w:tc>
        <w:tc>
          <w:tcPr>
            <w:tcW w:w="664" w:type="pct"/>
          </w:tcPr>
          <w:p w14:paraId="10D271C9" w14:textId="7AE9EEF4" w:rsidR="000B613E" w:rsidRPr="00D976E5" w:rsidRDefault="0096371D" w:rsidP="00107660">
            <w:pPr>
              <w:pStyle w:val="ListParagraph"/>
              <w:ind w:left="0"/>
              <w:jc w:val="both"/>
              <w:rPr>
                <w:i/>
                <w:sz w:val="20"/>
                <w:szCs w:val="20"/>
              </w:rPr>
            </w:pPr>
            <w:r w:rsidRPr="00D976E5">
              <w:rPr>
                <w:i/>
                <w:sz w:val="20"/>
                <w:szCs w:val="20"/>
              </w:rPr>
              <w:t>Tiempo y cumplimiento de normas</w:t>
            </w:r>
          </w:p>
        </w:tc>
        <w:tc>
          <w:tcPr>
            <w:tcW w:w="517" w:type="pct"/>
          </w:tcPr>
          <w:p w14:paraId="7463E3D7" w14:textId="36202DC4" w:rsidR="000B613E" w:rsidRPr="00D976E5" w:rsidRDefault="0096371D" w:rsidP="00FA309D">
            <w:pPr>
              <w:pStyle w:val="ListParagraph"/>
              <w:ind w:left="0"/>
              <w:jc w:val="both"/>
              <w:rPr>
                <w:i/>
                <w:sz w:val="20"/>
                <w:szCs w:val="20"/>
              </w:rPr>
            </w:pPr>
            <w:r w:rsidRPr="00D976E5">
              <w:rPr>
                <w:i/>
                <w:sz w:val="20"/>
                <w:szCs w:val="20"/>
              </w:rPr>
              <w:t>Relevancia para PCM</w:t>
            </w:r>
          </w:p>
        </w:tc>
        <w:tc>
          <w:tcPr>
            <w:tcW w:w="811" w:type="pct"/>
          </w:tcPr>
          <w:p w14:paraId="3728954F" w14:textId="2C09326E" w:rsidR="000B613E" w:rsidRPr="00D976E5" w:rsidRDefault="0096371D" w:rsidP="00FA309D">
            <w:pPr>
              <w:pStyle w:val="ListParagraph"/>
              <w:ind w:left="0"/>
              <w:jc w:val="both"/>
              <w:rPr>
                <w:i/>
                <w:sz w:val="20"/>
                <w:szCs w:val="20"/>
              </w:rPr>
            </w:pPr>
            <w:r w:rsidRPr="00D976E5">
              <w:rPr>
                <w:i/>
                <w:sz w:val="20"/>
                <w:szCs w:val="20"/>
              </w:rPr>
              <w:t xml:space="preserve">Perspectivas de apropiación por </w:t>
            </w:r>
            <w:proofErr w:type="spellStart"/>
            <w:r w:rsidRPr="00D976E5">
              <w:rPr>
                <w:i/>
                <w:sz w:val="20"/>
                <w:szCs w:val="20"/>
              </w:rPr>
              <w:t>stakeholders</w:t>
            </w:r>
            <w:proofErr w:type="spellEnd"/>
          </w:p>
        </w:tc>
        <w:tc>
          <w:tcPr>
            <w:tcW w:w="737" w:type="pct"/>
          </w:tcPr>
          <w:p w14:paraId="2AF4C840" w14:textId="1EDD541F" w:rsidR="000B613E" w:rsidRPr="00D976E5" w:rsidRDefault="00107660" w:rsidP="00107660">
            <w:pPr>
              <w:pStyle w:val="ListParagraph"/>
              <w:ind w:left="0"/>
              <w:jc w:val="both"/>
              <w:rPr>
                <w:i/>
                <w:sz w:val="20"/>
                <w:szCs w:val="20"/>
                <w:lang w:val="pt-BR"/>
              </w:rPr>
            </w:pPr>
            <w:r w:rsidRPr="00D976E5">
              <w:rPr>
                <w:i/>
                <w:sz w:val="20"/>
                <w:szCs w:val="20"/>
                <w:lang w:val="pt-BR"/>
              </w:rPr>
              <w:t>DDHH</w:t>
            </w:r>
            <w:r w:rsidR="008568AB" w:rsidRPr="00D976E5">
              <w:rPr>
                <w:i/>
                <w:sz w:val="20"/>
                <w:szCs w:val="20"/>
                <w:lang w:val="pt-BR"/>
              </w:rPr>
              <w:t xml:space="preserve">, </w:t>
            </w:r>
            <w:r w:rsidRPr="00D976E5">
              <w:rPr>
                <w:i/>
                <w:sz w:val="20"/>
                <w:szCs w:val="20"/>
                <w:lang w:val="pt-BR"/>
              </w:rPr>
              <w:t xml:space="preserve">género territorialidad </w:t>
            </w:r>
            <w:r w:rsidR="008568AB" w:rsidRPr="00D976E5">
              <w:rPr>
                <w:i/>
                <w:sz w:val="20"/>
                <w:szCs w:val="20"/>
                <w:lang w:val="pt-BR"/>
              </w:rPr>
              <w:t>e intercultur</w:t>
            </w:r>
            <w:r w:rsidRPr="00D976E5">
              <w:rPr>
                <w:i/>
                <w:sz w:val="20"/>
                <w:szCs w:val="20"/>
                <w:lang w:val="pt-BR"/>
              </w:rPr>
              <w:t>.</w:t>
            </w:r>
          </w:p>
        </w:tc>
        <w:tc>
          <w:tcPr>
            <w:tcW w:w="369" w:type="pct"/>
          </w:tcPr>
          <w:p w14:paraId="41704E23" w14:textId="50583805" w:rsidR="000B613E" w:rsidRPr="00D976E5" w:rsidRDefault="008568AB" w:rsidP="00107660">
            <w:pPr>
              <w:pStyle w:val="ListParagraph"/>
              <w:ind w:left="0"/>
              <w:jc w:val="both"/>
              <w:rPr>
                <w:i/>
                <w:sz w:val="20"/>
                <w:szCs w:val="20"/>
              </w:rPr>
            </w:pPr>
            <w:r w:rsidRPr="00D976E5">
              <w:rPr>
                <w:i/>
                <w:sz w:val="20"/>
                <w:szCs w:val="20"/>
              </w:rPr>
              <w:t>Máximo: 7</w:t>
            </w:r>
          </w:p>
        </w:tc>
      </w:tr>
      <w:tr w:rsidR="00107660" w:rsidRPr="00D976E5" w14:paraId="44C9AD48" w14:textId="6CFDC7A5" w:rsidTr="00D976E5">
        <w:tc>
          <w:tcPr>
            <w:tcW w:w="756" w:type="pct"/>
          </w:tcPr>
          <w:p w14:paraId="6C9AA9C8" w14:textId="2CEF0965" w:rsidR="000B613E" w:rsidRPr="00D976E5" w:rsidRDefault="000B613E" w:rsidP="009357A7">
            <w:pPr>
              <w:pStyle w:val="ListParagraph"/>
              <w:ind w:left="0"/>
              <w:jc w:val="both"/>
              <w:rPr>
                <w:b/>
                <w:sz w:val="20"/>
                <w:szCs w:val="20"/>
              </w:rPr>
            </w:pPr>
            <w:r w:rsidRPr="00D976E5">
              <w:rPr>
                <w:b/>
                <w:sz w:val="20"/>
                <w:szCs w:val="20"/>
              </w:rPr>
              <w:t>Evaluaciones / AMC</w:t>
            </w:r>
          </w:p>
        </w:tc>
        <w:tc>
          <w:tcPr>
            <w:tcW w:w="530" w:type="pct"/>
          </w:tcPr>
          <w:p w14:paraId="04704A28" w14:textId="58964C15" w:rsidR="000B613E" w:rsidRPr="00D976E5" w:rsidRDefault="000B613E" w:rsidP="009357A7">
            <w:pPr>
              <w:pStyle w:val="ListParagraph"/>
              <w:ind w:left="0"/>
              <w:jc w:val="both"/>
              <w:rPr>
                <w:sz w:val="20"/>
                <w:szCs w:val="20"/>
              </w:rPr>
            </w:pPr>
            <w:r w:rsidRPr="00D976E5">
              <w:rPr>
                <w:sz w:val="20"/>
                <w:szCs w:val="20"/>
              </w:rPr>
              <w:t>Alta (1)</w:t>
            </w:r>
          </w:p>
        </w:tc>
        <w:tc>
          <w:tcPr>
            <w:tcW w:w="616" w:type="pct"/>
          </w:tcPr>
          <w:p w14:paraId="58DE5E21" w14:textId="50ACAB24" w:rsidR="000B613E" w:rsidRPr="00D976E5" w:rsidRDefault="000B613E" w:rsidP="009357A7">
            <w:pPr>
              <w:pStyle w:val="ListParagraph"/>
              <w:ind w:left="0"/>
              <w:jc w:val="both"/>
              <w:rPr>
                <w:sz w:val="20"/>
                <w:szCs w:val="20"/>
              </w:rPr>
            </w:pPr>
            <w:r w:rsidRPr="00D976E5">
              <w:rPr>
                <w:sz w:val="20"/>
                <w:szCs w:val="20"/>
              </w:rPr>
              <w:t>Media (0.5)</w:t>
            </w:r>
          </w:p>
        </w:tc>
        <w:tc>
          <w:tcPr>
            <w:tcW w:w="664" w:type="pct"/>
          </w:tcPr>
          <w:p w14:paraId="62D9949B" w14:textId="5F90371F" w:rsidR="000B613E" w:rsidRPr="00D976E5" w:rsidRDefault="000B613E" w:rsidP="009357A7">
            <w:pPr>
              <w:pStyle w:val="ListParagraph"/>
              <w:ind w:left="0"/>
              <w:jc w:val="both"/>
              <w:rPr>
                <w:sz w:val="20"/>
                <w:szCs w:val="20"/>
              </w:rPr>
            </w:pPr>
            <w:r w:rsidRPr="00D976E5">
              <w:rPr>
                <w:sz w:val="20"/>
                <w:szCs w:val="20"/>
              </w:rPr>
              <w:t>Media (0.5)</w:t>
            </w:r>
          </w:p>
        </w:tc>
        <w:tc>
          <w:tcPr>
            <w:tcW w:w="517" w:type="pct"/>
          </w:tcPr>
          <w:p w14:paraId="5026E15D" w14:textId="125BDA48" w:rsidR="000B613E" w:rsidRPr="00D976E5" w:rsidRDefault="000B613E" w:rsidP="009357A7">
            <w:pPr>
              <w:pStyle w:val="ListParagraph"/>
              <w:ind w:left="0"/>
              <w:jc w:val="both"/>
              <w:rPr>
                <w:sz w:val="20"/>
                <w:szCs w:val="20"/>
              </w:rPr>
            </w:pPr>
            <w:r w:rsidRPr="00D976E5">
              <w:rPr>
                <w:sz w:val="20"/>
                <w:szCs w:val="20"/>
              </w:rPr>
              <w:t>Alta (1)</w:t>
            </w:r>
          </w:p>
        </w:tc>
        <w:tc>
          <w:tcPr>
            <w:tcW w:w="811" w:type="pct"/>
          </w:tcPr>
          <w:p w14:paraId="7EA08B91" w14:textId="2DB15AF5" w:rsidR="000B613E" w:rsidRPr="00D976E5" w:rsidRDefault="000B613E" w:rsidP="009357A7">
            <w:pPr>
              <w:pStyle w:val="ListParagraph"/>
              <w:ind w:left="0"/>
              <w:jc w:val="both"/>
              <w:rPr>
                <w:sz w:val="20"/>
                <w:szCs w:val="20"/>
              </w:rPr>
            </w:pPr>
            <w:r w:rsidRPr="00D976E5">
              <w:rPr>
                <w:sz w:val="20"/>
                <w:szCs w:val="20"/>
              </w:rPr>
              <w:t>Baja (0)</w:t>
            </w:r>
          </w:p>
        </w:tc>
        <w:tc>
          <w:tcPr>
            <w:tcW w:w="737" w:type="pct"/>
          </w:tcPr>
          <w:p w14:paraId="70173142" w14:textId="65F01EF7" w:rsidR="000B613E" w:rsidRPr="00D976E5" w:rsidRDefault="000B613E" w:rsidP="009357A7">
            <w:pPr>
              <w:pStyle w:val="ListParagraph"/>
              <w:ind w:left="0"/>
              <w:jc w:val="both"/>
              <w:rPr>
                <w:sz w:val="20"/>
                <w:szCs w:val="20"/>
              </w:rPr>
            </w:pPr>
            <w:r w:rsidRPr="00D976E5">
              <w:rPr>
                <w:sz w:val="20"/>
                <w:szCs w:val="20"/>
              </w:rPr>
              <w:t>Ninguno</w:t>
            </w:r>
            <w:r w:rsidR="0096371D" w:rsidRPr="00D976E5">
              <w:rPr>
                <w:sz w:val="20"/>
                <w:szCs w:val="20"/>
              </w:rPr>
              <w:t xml:space="preserve"> (0)</w:t>
            </w:r>
          </w:p>
        </w:tc>
        <w:tc>
          <w:tcPr>
            <w:tcW w:w="369" w:type="pct"/>
          </w:tcPr>
          <w:p w14:paraId="5EE0EE4A" w14:textId="0FE851FD" w:rsidR="000B613E" w:rsidRPr="00D976E5" w:rsidRDefault="000B613E" w:rsidP="00107660">
            <w:pPr>
              <w:pStyle w:val="ListParagraph"/>
              <w:ind w:left="0"/>
              <w:jc w:val="center"/>
              <w:rPr>
                <w:sz w:val="20"/>
                <w:szCs w:val="20"/>
              </w:rPr>
            </w:pPr>
            <w:r w:rsidRPr="00D976E5">
              <w:rPr>
                <w:sz w:val="20"/>
                <w:szCs w:val="20"/>
              </w:rPr>
              <w:t>3</w:t>
            </w:r>
          </w:p>
        </w:tc>
      </w:tr>
      <w:tr w:rsidR="00107660" w:rsidRPr="00D976E5" w14:paraId="705AD888" w14:textId="64B78369" w:rsidTr="00D976E5">
        <w:tc>
          <w:tcPr>
            <w:tcW w:w="756" w:type="pct"/>
          </w:tcPr>
          <w:p w14:paraId="08098A30" w14:textId="733CD288" w:rsidR="000B613E" w:rsidRPr="00D976E5" w:rsidRDefault="000B613E" w:rsidP="009357A7">
            <w:pPr>
              <w:pStyle w:val="ListParagraph"/>
              <w:ind w:left="0"/>
              <w:jc w:val="both"/>
              <w:rPr>
                <w:b/>
                <w:sz w:val="20"/>
                <w:szCs w:val="20"/>
              </w:rPr>
            </w:pPr>
            <w:proofErr w:type="spellStart"/>
            <w:r w:rsidRPr="00D976E5">
              <w:rPr>
                <w:b/>
                <w:sz w:val="20"/>
                <w:szCs w:val="20"/>
              </w:rPr>
              <w:t>Sayhuite</w:t>
            </w:r>
            <w:proofErr w:type="spellEnd"/>
          </w:p>
        </w:tc>
        <w:tc>
          <w:tcPr>
            <w:tcW w:w="530" w:type="pct"/>
          </w:tcPr>
          <w:p w14:paraId="7106FD8B" w14:textId="25096CB0" w:rsidR="000B613E" w:rsidRPr="00D976E5" w:rsidRDefault="000B613E" w:rsidP="009357A7">
            <w:pPr>
              <w:pStyle w:val="ListParagraph"/>
              <w:ind w:left="0"/>
              <w:jc w:val="both"/>
              <w:rPr>
                <w:sz w:val="20"/>
                <w:szCs w:val="20"/>
              </w:rPr>
            </w:pPr>
            <w:r w:rsidRPr="00D976E5">
              <w:rPr>
                <w:sz w:val="20"/>
                <w:szCs w:val="20"/>
              </w:rPr>
              <w:t>Alta (1)</w:t>
            </w:r>
          </w:p>
        </w:tc>
        <w:tc>
          <w:tcPr>
            <w:tcW w:w="616" w:type="pct"/>
          </w:tcPr>
          <w:p w14:paraId="353F9C8A" w14:textId="0B2E59E0" w:rsidR="000B613E" w:rsidRPr="00D976E5" w:rsidRDefault="000B613E" w:rsidP="009357A7">
            <w:pPr>
              <w:pStyle w:val="ListParagraph"/>
              <w:ind w:left="0"/>
              <w:jc w:val="both"/>
              <w:rPr>
                <w:sz w:val="20"/>
                <w:szCs w:val="20"/>
              </w:rPr>
            </w:pPr>
            <w:r w:rsidRPr="00D976E5">
              <w:rPr>
                <w:sz w:val="20"/>
                <w:szCs w:val="20"/>
              </w:rPr>
              <w:t>Alta (1)</w:t>
            </w:r>
          </w:p>
        </w:tc>
        <w:tc>
          <w:tcPr>
            <w:tcW w:w="664" w:type="pct"/>
          </w:tcPr>
          <w:p w14:paraId="3439C0D9" w14:textId="67D25848" w:rsidR="000B613E" w:rsidRPr="00D976E5" w:rsidRDefault="000B613E" w:rsidP="009357A7">
            <w:pPr>
              <w:pStyle w:val="ListParagraph"/>
              <w:ind w:left="0"/>
              <w:jc w:val="both"/>
              <w:rPr>
                <w:sz w:val="20"/>
                <w:szCs w:val="20"/>
              </w:rPr>
            </w:pPr>
            <w:r w:rsidRPr="00D976E5">
              <w:rPr>
                <w:sz w:val="20"/>
                <w:szCs w:val="20"/>
              </w:rPr>
              <w:t>Alta (1)</w:t>
            </w:r>
          </w:p>
        </w:tc>
        <w:tc>
          <w:tcPr>
            <w:tcW w:w="517" w:type="pct"/>
          </w:tcPr>
          <w:p w14:paraId="26A80858" w14:textId="3AC5282A" w:rsidR="000B613E" w:rsidRPr="00D976E5" w:rsidRDefault="000B613E" w:rsidP="009357A7">
            <w:pPr>
              <w:pStyle w:val="ListParagraph"/>
              <w:ind w:left="0"/>
              <w:jc w:val="both"/>
              <w:rPr>
                <w:sz w:val="20"/>
                <w:szCs w:val="20"/>
              </w:rPr>
            </w:pPr>
            <w:r w:rsidRPr="00D976E5">
              <w:rPr>
                <w:sz w:val="20"/>
                <w:szCs w:val="20"/>
              </w:rPr>
              <w:t>Alta (1)</w:t>
            </w:r>
          </w:p>
        </w:tc>
        <w:tc>
          <w:tcPr>
            <w:tcW w:w="811" w:type="pct"/>
          </w:tcPr>
          <w:p w14:paraId="1754E4B3" w14:textId="7301D598" w:rsidR="000B613E" w:rsidRPr="00D976E5" w:rsidRDefault="000B613E" w:rsidP="009357A7">
            <w:pPr>
              <w:pStyle w:val="ListParagraph"/>
              <w:ind w:left="0"/>
              <w:jc w:val="both"/>
              <w:rPr>
                <w:sz w:val="20"/>
                <w:szCs w:val="20"/>
              </w:rPr>
            </w:pPr>
            <w:r w:rsidRPr="00D976E5">
              <w:rPr>
                <w:sz w:val="20"/>
                <w:szCs w:val="20"/>
              </w:rPr>
              <w:t>Media (</w:t>
            </w:r>
            <w:r w:rsidR="00C10206" w:rsidRPr="00D976E5">
              <w:rPr>
                <w:sz w:val="20"/>
                <w:szCs w:val="20"/>
              </w:rPr>
              <w:t>0.5</w:t>
            </w:r>
            <w:r w:rsidRPr="00D976E5">
              <w:rPr>
                <w:sz w:val="20"/>
                <w:szCs w:val="20"/>
              </w:rPr>
              <w:t>)</w:t>
            </w:r>
          </w:p>
        </w:tc>
        <w:tc>
          <w:tcPr>
            <w:tcW w:w="737" w:type="pct"/>
          </w:tcPr>
          <w:p w14:paraId="2ED65A81" w14:textId="3ACD35C9" w:rsidR="000B613E" w:rsidRPr="00D976E5" w:rsidRDefault="00262D13" w:rsidP="009357A7">
            <w:pPr>
              <w:pStyle w:val="ListParagraph"/>
              <w:ind w:left="0"/>
              <w:jc w:val="both"/>
              <w:rPr>
                <w:sz w:val="20"/>
                <w:szCs w:val="20"/>
              </w:rPr>
            </w:pPr>
            <w:r w:rsidRPr="00D976E5">
              <w:rPr>
                <w:sz w:val="20"/>
                <w:szCs w:val="20"/>
              </w:rPr>
              <w:t>T</w:t>
            </w:r>
            <w:r w:rsidR="000B613E" w:rsidRPr="00D976E5">
              <w:rPr>
                <w:sz w:val="20"/>
                <w:szCs w:val="20"/>
              </w:rPr>
              <w:t>erritorialidad</w:t>
            </w:r>
            <w:r w:rsidRPr="00D976E5">
              <w:rPr>
                <w:sz w:val="20"/>
                <w:szCs w:val="20"/>
              </w:rPr>
              <w:t>, género</w:t>
            </w:r>
            <w:r w:rsidR="0065008B" w:rsidRPr="00D976E5">
              <w:rPr>
                <w:sz w:val="20"/>
                <w:szCs w:val="20"/>
              </w:rPr>
              <w:t xml:space="preserve"> (1)</w:t>
            </w:r>
          </w:p>
        </w:tc>
        <w:tc>
          <w:tcPr>
            <w:tcW w:w="369" w:type="pct"/>
          </w:tcPr>
          <w:p w14:paraId="6F392D81" w14:textId="7BFCF64E" w:rsidR="000B613E" w:rsidRPr="00D976E5" w:rsidRDefault="00C10206" w:rsidP="00107660">
            <w:pPr>
              <w:pStyle w:val="ListParagraph"/>
              <w:ind w:left="0"/>
              <w:jc w:val="center"/>
              <w:rPr>
                <w:sz w:val="20"/>
                <w:szCs w:val="20"/>
              </w:rPr>
            </w:pPr>
            <w:r w:rsidRPr="00D976E5">
              <w:rPr>
                <w:sz w:val="20"/>
                <w:szCs w:val="20"/>
              </w:rPr>
              <w:t>5.5</w:t>
            </w:r>
          </w:p>
        </w:tc>
      </w:tr>
      <w:tr w:rsidR="00107660" w:rsidRPr="00D976E5" w14:paraId="1D75CA76" w14:textId="283D0DE4" w:rsidTr="00D976E5">
        <w:tc>
          <w:tcPr>
            <w:tcW w:w="756" w:type="pct"/>
          </w:tcPr>
          <w:p w14:paraId="6831D928" w14:textId="55942E47" w:rsidR="000B613E" w:rsidRPr="00D976E5" w:rsidRDefault="000B613E" w:rsidP="009357A7">
            <w:pPr>
              <w:pStyle w:val="ListParagraph"/>
              <w:ind w:left="0"/>
              <w:jc w:val="both"/>
              <w:rPr>
                <w:b/>
                <w:sz w:val="20"/>
                <w:szCs w:val="20"/>
              </w:rPr>
            </w:pPr>
            <w:r w:rsidRPr="00D976E5">
              <w:rPr>
                <w:b/>
                <w:sz w:val="20"/>
                <w:szCs w:val="20"/>
              </w:rPr>
              <w:t>MAC</w:t>
            </w:r>
          </w:p>
        </w:tc>
        <w:tc>
          <w:tcPr>
            <w:tcW w:w="530" w:type="pct"/>
          </w:tcPr>
          <w:p w14:paraId="5B64C831" w14:textId="658F8128" w:rsidR="000B613E" w:rsidRPr="00D976E5" w:rsidRDefault="000B613E" w:rsidP="009357A7">
            <w:pPr>
              <w:pStyle w:val="ListParagraph"/>
              <w:ind w:left="0"/>
              <w:jc w:val="both"/>
              <w:rPr>
                <w:sz w:val="20"/>
                <w:szCs w:val="20"/>
              </w:rPr>
            </w:pPr>
            <w:r w:rsidRPr="00D976E5">
              <w:rPr>
                <w:sz w:val="20"/>
                <w:szCs w:val="20"/>
              </w:rPr>
              <w:t>Alta (1)</w:t>
            </w:r>
          </w:p>
        </w:tc>
        <w:tc>
          <w:tcPr>
            <w:tcW w:w="616" w:type="pct"/>
          </w:tcPr>
          <w:p w14:paraId="4B3D4E02" w14:textId="0C3A9908" w:rsidR="000B613E" w:rsidRPr="00D976E5" w:rsidRDefault="000B613E" w:rsidP="009357A7">
            <w:pPr>
              <w:pStyle w:val="ListParagraph"/>
              <w:ind w:left="0"/>
              <w:jc w:val="both"/>
              <w:rPr>
                <w:sz w:val="20"/>
                <w:szCs w:val="20"/>
              </w:rPr>
            </w:pPr>
            <w:r w:rsidRPr="00D976E5">
              <w:rPr>
                <w:sz w:val="20"/>
                <w:szCs w:val="20"/>
              </w:rPr>
              <w:t>Alta (1)</w:t>
            </w:r>
          </w:p>
        </w:tc>
        <w:tc>
          <w:tcPr>
            <w:tcW w:w="664" w:type="pct"/>
          </w:tcPr>
          <w:p w14:paraId="4460F8E3" w14:textId="1C478141" w:rsidR="000B613E" w:rsidRPr="00D976E5" w:rsidRDefault="000B613E" w:rsidP="009357A7">
            <w:pPr>
              <w:pStyle w:val="ListParagraph"/>
              <w:ind w:left="0"/>
              <w:jc w:val="both"/>
              <w:rPr>
                <w:sz w:val="20"/>
                <w:szCs w:val="20"/>
              </w:rPr>
            </w:pPr>
            <w:r w:rsidRPr="00D976E5">
              <w:rPr>
                <w:sz w:val="20"/>
                <w:szCs w:val="20"/>
              </w:rPr>
              <w:t>Media (0.5)</w:t>
            </w:r>
          </w:p>
        </w:tc>
        <w:tc>
          <w:tcPr>
            <w:tcW w:w="517" w:type="pct"/>
          </w:tcPr>
          <w:p w14:paraId="5738E452" w14:textId="705D1C92" w:rsidR="000B613E" w:rsidRPr="00D976E5" w:rsidRDefault="000B613E" w:rsidP="009357A7">
            <w:pPr>
              <w:pStyle w:val="ListParagraph"/>
              <w:ind w:left="0"/>
              <w:jc w:val="both"/>
              <w:rPr>
                <w:sz w:val="20"/>
                <w:szCs w:val="20"/>
              </w:rPr>
            </w:pPr>
            <w:r w:rsidRPr="00D976E5">
              <w:rPr>
                <w:sz w:val="20"/>
                <w:szCs w:val="20"/>
              </w:rPr>
              <w:t>Alta (1)</w:t>
            </w:r>
          </w:p>
        </w:tc>
        <w:tc>
          <w:tcPr>
            <w:tcW w:w="811" w:type="pct"/>
          </w:tcPr>
          <w:p w14:paraId="3C9BFF0C" w14:textId="2671328B" w:rsidR="000B613E" w:rsidRPr="00D976E5" w:rsidRDefault="000B613E" w:rsidP="009357A7">
            <w:pPr>
              <w:pStyle w:val="ListParagraph"/>
              <w:ind w:left="0"/>
              <w:jc w:val="both"/>
              <w:rPr>
                <w:sz w:val="20"/>
                <w:szCs w:val="20"/>
              </w:rPr>
            </w:pPr>
            <w:r w:rsidRPr="00D976E5">
              <w:rPr>
                <w:sz w:val="20"/>
                <w:szCs w:val="20"/>
              </w:rPr>
              <w:t>Alta (2)</w:t>
            </w:r>
          </w:p>
        </w:tc>
        <w:tc>
          <w:tcPr>
            <w:tcW w:w="737" w:type="pct"/>
          </w:tcPr>
          <w:p w14:paraId="4794405B" w14:textId="231E17C6" w:rsidR="000B613E" w:rsidRPr="00D976E5" w:rsidRDefault="00107660" w:rsidP="00107660">
            <w:pPr>
              <w:pStyle w:val="ListParagraph"/>
              <w:ind w:left="0"/>
              <w:jc w:val="both"/>
              <w:rPr>
                <w:sz w:val="20"/>
                <w:szCs w:val="20"/>
              </w:rPr>
            </w:pPr>
            <w:r w:rsidRPr="00D976E5">
              <w:rPr>
                <w:sz w:val="20"/>
                <w:szCs w:val="20"/>
              </w:rPr>
              <w:t>DDHH</w:t>
            </w:r>
            <w:r w:rsidR="002E0A2D" w:rsidRPr="00D976E5">
              <w:rPr>
                <w:sz w:val="20"/>
                <w:szCs w:val="20"/>
              </w:rPr>
              <w:t xml:space="preserve">, </w:t>
            </w:r>
            <w:proofErr w:type="spellStart"/>
            <w:r w:rsidR="00262D13" w:rsidRPr="00D976E5">
              <w:rPr>
                <w:sz w:val="20"/>
                <w:szCs w:val="20"/>
              </w:rPr>
              <w:t>Intercultur</w:t>
            </w:r>
            <w:proofErr w:type="spellEnd"/>
            <w:r w:rsidRPr="00D976E5">
              <w:rPr>
                <w:sz w:val="20"/>
                <w:szCs w:val="20"/>
              </w:rPr>
              <w:t>.</w:t>
            </w:r>
            <w:r w:rsidR="00DA20D8" w:rsidRPr="00D976E5">
              <w:rPr>
                <w:sz w:val="20"/>
                <w:szCs w:val="20"/>
              </w:rPr>
              <w:t>, género</w:t>
            </w:r>
            <w:r w:rsidR="002E0A2D" w:rsidRPr="00D976E5">
              <w:rPr>
                <w:sz w:val="20"/>
                <w:szCs w:val="20"/>
              </w:rPr>
              <w:t xml:space="preserve"> </w:t>
            </w:r>
            <w:r w:rsidR="0065008B" w:rsidRPr="00D976E5">
              <w:rPr>
                <w:sz w:val="20"/>
                <w:szCs w:val="20"/>
              </w:rPr>
              <w:t>(1)</w:t>
            </w:r>
          </w:p>
        </w:tc>
        <w:tc>
          <w:tcPr>
            <w:tcW w:w="369" w:type="pct"/>
          </w:tcPr>
          <w:p w14:paraId="494A99C7" w14:textId="7E6F6B71" w:rsidR="000B613E" w:rsidRPr="00D976E5" w:rsidRDefault="0065008B" w:rsidP="00107660">
            <w:pPr>
              <w:pStyle w:val="ListParagraph"/>
              <w:ind w:left="0"/>
              <w:jc w:val="center"/>
              <w:rPr>
                <w:sz w:val="20"/>
                <w:szCs w:val="20"/>
              </w:rPr>
            </w:pPr>
            <w:r w:rsidRPr="00D976E5">
              <w:rPr>
                <w:sz w:val="20"/>
                <w:szCs w:val="20"/>
              </w:rPr>
              <w:t>6.5</w:t>
            </w:r>
          </w:p>
        </w:tc>
      </w:tr>
      <w:tr w:rsidR="00107660" w:rsidRPr="00D976E5" w14:paraId="74F8E95A" w14:textId="54F776D0" w:rsidTr="00D976E5">
        <w:tc>
          <w:tcPr>
            <w:tcW w:w="756" w:type="pct"/>
          </w:tcPr>
          <w:p w14:paraId="4AE4DDD1" w14:textId="219D204B" w:rsidR="000B613E" w:rsidRPr="00D976E5" w:rsidRDefault="000B613E" w:rsidP="00777682">
            <w:pPr>
              <w:pStyle w:val="ListParagraph"/>
              <w:ind w:left="0"/>
              <w:jc w:val="both"/>
              <w:rPr>
                <w:b/>
                <w:sz w:val="20"/>
                <w:szCs w:val="20"/>
              </w:rPr>
            </w:pPr>
            <w:r w:rsidRPr="00D976E5">
              <w:rPr>
                <w:b/>
                <w:sz w:val="20"/>
                <w:szCs w:val="20"/>
              </w:rPr>
              <w:t>GORE</w:t>
            </w:r>
            <w:r w:rsidR="005D7C54" w:rsidRPr="00D976E5">
              <w:rPr>
                <w:b/>
                <w:sz w:val="20"/>
                <w:szCs w:val="20"/>
              </w:rPr>
              <w:t>/</w:t>
            </w:r>
            <w:proofErr w:type="spellStart"/>
            <w:r w:rsidR="005D7C54" w:rsidRPr="00D976E5">
              <w:rPr>
                <w:b/>
                <w:sz w:val="20"/>
                <w:szCs w:val="20"/>
              </w:rPr>
              <w:t>Muni</w:t>
            </w:r>
            <w:proofErr w:type="spellEnd"/>
            <w:r w:rsidR="005D7C54" w:rsidRPr="00D976E5">
              <w:rPr>
                <w:b/>
                <w:sz w:val="20"/>
                <w:szCs w:val="20"/>
              </w:rPr>
              <w:t xml:space="preserve"> Ejecutivo</w:t>
            </w:r>
          </w:p>
        </w:tc>
        <w:tc>
          <w:tcPr>
            <w:tcW w:w="530" w:type="pct"/>
          </w:tcPr>
          <w:p w14:paraId="491E89AB" w14:textId="2E42B449" w:rsidR="000B613E" w:rsidRPr="00D976E5" w:rsidRDefault="000B613E" w:rsidP="00777682">
            <w:pPr>
              <w:pStyle w:val="ListParagraph"/>
              <w:ind w:left="0"/>
              <w:jc w:val="both"/>
              <w:rPr>
                <w:sz w:val="20"/>
                <w:szCs w:val="20"/>
              </w:rPr>
            </w:pPr>
            <w:r w:rsidRPr="00D976E5">
              <w:rPr>
                <w:sz w:val="20"/>
                <w:szCs w:val="20"/>
              </w:rPr>
              <w:t>Alta (1)</w:t>
            </w:r>
          </w:p>
        </w:tc>
        <w:tc>
          <w:tcPr>
            <w:tcW w:w="616" w:type="pct"/>
          </w:tcPr>
          <w:p w14:paraId="0AFE8942" w14:textId="3F0D734A" w:rsidR="000B613E" w:rsidRPr="00D976E5" w:rsidRDefault="000B613E" w:rsidP="00777682">
            <w:pPr>
              <w:pStyle w:val="ListParagraph"/>
              <w:ind w:left="0"/>
              <w:jc w:val="both"/>
              <w:rPr>
                <w:sz w:val="20"/>
                <w:szCs w:val="20"/>
              </w:rPr>
            </w:pPr>
            <w:r w:rsidRPr="00D976E5">
              <w:rPr>
                <w:sz w:val="20"/>
                <w:szCs w:val="20"/>
              </w:rPr>
              <w:t>Alta (1)</w:t>
            </w:r>
          </w:p>
        </w:tc>
        <w:tc>
          <w:tcPr>
            <w:tcW w:w="664" w:type="pct"/>
          </w:tcPr>
          <w:p w14:paraId="339450CB" w14:textId="40368597" w:rsidR="000B613E" w:rsidRPr="00D976E5" w:rsidRDefault="000B613E" w:rsidP="00777682">
            <w:pPr>
              <w:pStyle w:val="ListParagraph"/>
              <w:ind w:left="0"/>
              <w:jc w:val="both"/>
              <w:rPr>
                <w:sz w:val="20"/>
                <w:szCs w:val="20"/>
              </w:rPr>
            </w:pPr>
            <w:r w:rsidRPr="00D976E5">
              <w:rPr>
                <w:sz w:val="20"/>
                <w:szCs w:val="20"/>
              </w:rPr>
              <w:t>Alta (1)</w:t>
            </w:r>
          </w:p>
        </w:tc>
        <w:tc>
          <w:tcPr>
            <w:tcW w:w="517" w:type="pct"/>
          </w:tcPr>
          <w:p w14:paraId="5BEC5642" w14:textId="60F65718" w:rsidR="000B613E" w:rsidRPr="00D976E5" w:rsidRDefault="000B613E" w:rsidP="00777682">
            <w:pPr>
              <w:pStyle w:val="ListParagraph"/>
              <w:ind w:left="0"/>
              <w:jc w:val="both"/>
              <w:rPr>
                <w:sz w:val="20"/>
                <w:szCs w:val="20"/>
              </w:rPr>
            </w:pPr>
            <w:r w:rsidRPr="00D976E5">
              <w:rPr>
                <w:sz w:val="20"/>
                <w:szCs w:val="20"/>
              </w:rPr>
              <w:t>Alta (1)</w:t>
            </w:r>
          </w:p>
        </w:tc>
        <w:tc>
          <w:tcPr>
            <w:tcW w:w="811" w:type="pct"/>
          </w:tcPr>
          <w:p w14:paraId="14B60C01" w14:textId="355D1B29" w:rsidR="000B613E" w:rsidRPr="00D976E5" w:rsidRDefault="000B613E" w:rsidP="00777682">
            <w:pPr>
              <w:pStyle w:val="ListParagraph"/>
              <w:ind w:left="0"/>
              <w:jc w:val="both"/>
              <w:rPr>
                <w:sz w:val="20"/>
                <w:szCs w:val="20"/>
              </w:rPr>
            </w:pPr>
            <w:r w:rsidRPr="00D976E5">
              <w:rPr>
                <w:sz w:val="20"/>
                <w:szCs w:val="20"/>
              </w:rPr>
              <w:t>Alta (2)</w:t>
            </w:r>
          </w:p>
        </w:tc>
        <w:tc>
          <w:tcPr>
            <w:tcW w:w="737" w:type="pct"/>
          </w:tcPr>
          <w:p w14:paraId="26F736AA" w14:textId="234715B9" w:rsidR="000B613E" w:rsidRPr="00D976E5" w:rsidRDefault="000B613E" w:rsidP="00777682">
            <w:pPr>
              <w:pStyle w:val="ListParagraph"/>
              <w:ind w:left="0"/>
              <w:jc w:val="both"/>
              <w:rPr>
                <w:sz w:val="20"/>
                <w:szCs w:val="20"/>
              </w:rPr>
            </w:pPr>
            <w:r w:rsidRPr="00D976E5">
              <w:rPr>
                <w:sz w:val="20"/>
                <w:szCs w:val="20"/>
              </w:rPr>
              <w:t>Territorialidad</w:t>
            </w:r>
            <w:r w:rsidR="0065008B" w:rsidRPr="00D976E5">
              <w:rPr>
                <w:sz w:val="20"/>
                <w:szCs w:val="20"/>
              </w:rPr>
              <w:t xml:space="preserve"> (1)</w:t>
            </w:r>
          </w:p>
        </w:tc>
        <w:tc>
          <w:tcPr>
            <w:tcW w:w="369" w:type="pct"/>
          </w:tcPr>
          <w:p w14:paraId="3495FA8E" w14:textId="56C390F8" w:rsidR="000B613E" w:rsidRPr="00D976E5" w:rsidRDefault="00346925" w:rsidP="00107660">
            <w:pPr>
              <w:pStyle w:val="ListParagraph"/>
              <w:ind w:left="0"/>
              <w:jc w:val="center"/>
              <w:rPr>
                <w:sz w:val="20"/>
                <w:szCs w:val="20"/>
              </w:rPr>
            </w:pPr>
            <w:r w:rsidRPr="00D976E5">
              <w:rPr>
                <w:sz w:val="20"/>
                <w:szCs w:val="20"/>
              </w:rPr>
              <w:t>7</w:t>
            </w:r>
          </w:p>
        </w:tc>
      </w:tr>
      <w:tr w:rsidR="00107660" w:rsidRPr="00D976E5" w14:paraId="3FF4524E" w14:textId="33C4F36B" w:rsidTr="00D976E5">
        <w:tc>
          <w:tcPr>
            <w:tcW w:w="756" w:type="pct"/>
          </w:tcPr>
          <w:p w14:paraId="0C1D1A7C" w14:textId="3D09287F" w:rsidR="000B613E" w:rsidRPr="00D976E5" w:rsidRDefault="000B613E" w:rsidP="009357A7">
            <w:pPr>
              <w:pStyle w:val="ListParagraph"/>
              <w:ind w:left="0"/>
              <w:jc w:val="both"/>
              <w:rPr>
                <w:sz w:val="20"/>
                <w:szCs w:val="20"/>
              </w:rPr>
            </w:pPr>
            <w:r w:rsidRPr="00D976E5">
              <w:rPr>
                <w:b/>
                <w:sz w:val="20"/>
                <w:szCs w:val="20"/>
              </w:rPr>
              <w:t>Mancomunidades</w:t>
            </w:r>
          </w:p>
        </w:tc>
        <w:tc>
          <w:tcPr>
            <w:tcW w:w="530" w:type="pct"/>
          </w:tcPr>
          <w:p w14:paraId="538DB307" w14:textId="55F328A1" w:rsidR="000B613E" w:rsidRPr="00D976E5" w:rsidRDefault="000B613E" w:rsidP="009357A7">
            <w:pPr>
              <w:pStyle w:val="ListParagraph"/>
              <w:ind w:left="0"/>
              <w:jc w:val="both"/>
              <w:rPr>
                <w:sz w:val="20"/>
                <w:szCs w:val="20"/>
              </w:rPr>
            </w:pPr>
            <w:r w:rsidRPr="00D976E5">
              <w:rPr>
                <w:sz w:val="20"/>
                <w:szCs w:val="20"/>
              </w:rPr>
              <w:t>Alta (1)</w:t>
            </w:r>
          </w:p>
        </w:tc>
        <w:tc>
          <w:tcPr>
            <w:tcW w:w="616" w:type="pct"/>
          </w:tcPr>
          <w:p w14:paraId="7CF25CE7" w14:textId="48B95BE5" w:rsidR="000B613E" w:rsidRPr="00D976E5" w:rsidRDefault="00D0441A" w:rsidP="009357A7">
            <w:pPr>
              <w:pStyle w:val="ListParagraph"/>
              <w:ind w:left="0"/>
              <w:jc w:val="both"/>
              <w:rPr>
                <w:sz w:val="20"/>
                <w:szCs w:val="20"/>
              </w:rPr>
            </w:pPr>
            <w:r w:rsidRPr="00D976E5">
              <w:rPr>
                <w:sz w:val="20"/>
                <w:szCs w:val="20"/>
              </w:rPr>
              <w:t>Alta</w:t>
            </w:r>
            <w:r w:rsidR="000B613E" w:rsidRPr="00D976E5">
              <w:rPr>
                <w:sz w:val="20"/>
                <w:szCs w:val="20"/>
              </w:rPr>
              <w:t xml:space="preserve"> (</w:t>
            </w:r>
            <w:r w:rsidRPr="00D976E5">
              <w:rPr>
                <w:sz w:val="20"/>
                <w:szCs w:val="20"/>
              </w:rPr>
              <w:t>1</w:t>
            </w:r>
            <w:r w:rsidR="000B613E" w:rsidRPr="00D976E5">
              <w:rPr>
                <w:sz w:val="20"/>
                <w:szCs w:val="20"/>
              </w:rPr>
              <w:t>)</w:t>
            </w:r>
          </w:p>
        </w:tc>
        <w:tc>
          <w:tcPr>
            <w:tcW w:w="664" w:type="pct"/>
          </w:tcPr>
          <w:p w14:paraId="7E1A0548" w14:textId="16EB7729" w:rsidR="000B613E" w:rsidRPr="00D976E5" w:rsidRDefault="000B613E" w:rsidP="009357A7">
            <w:pPr>
              <w:pStyle w:val="ListParagraph"/>
              <w:ind w:left="0"/>
              <w:jc w:val="both"/>
              <w:rPr>
                <w:sz w:val="20"/>
                <w:szCs w:val="20"/>
              </w:rPr>
            </w:pPr>
            <w:r w:rsidRPr="00D976E5">
              <w:rPr>
                <w:sz w:val="20"/>
                <w:szCs w:val="20"/>
              </w:rPr>
              <w:t>Media (0.5)</w:t>
            </w:r>
          </w:p>
        </w:tc>
        <w:tc>
          <w:tcPr>
            <w:tcW w:w="517" w:type="pct"/>
          </w:tcPr>
          <w:p w14:paraId="47499105" w14:textId="5A5D4317" w:rsidR="000B613E" w:rsidRPr="00D976E5" w:rsidRDefault="000B613E" w:rsidP="009357A7">
            <w:pPr>
              <w:pStyle w:val="ListParagraph"/>
              <w:ind w:left="0"/>
              <w:jc w:val="both"/>
              <w:rPr>
                <w:sz w:val="20"/>
                <w:szCs w:val="20"/>
              </w:rPr>
            </w:pPr>
            <w:r w:rsidRPr="00D976E5">
              <w:rPr>
                <w:sz w:val="20"/>
                <w:szCs w:val="20"/>
              </w:rPr>
              <w:t>Alta (1)</w:t>
            </w:r>
          </w:p>
        </w:tc>
        <w:tc>
          <w:tcPr>
            <w:tcW w:w="811" w:type="pct"/>
          </w:tcPr>
          <w:p w14:paraId="6C4D3C03" w14:textId="22D89BB2" w:rsidR="000B613E" w:rsidRPr="00D976E5" w:rsidRDefault="000B613E" w:rsidP="009357A7">
            <w:pPr>
              <w:pStyle w:val="ListParagraph"/>
              <w:ind w:left="0"/>
              <w:jc w:val="both"/>
              <w:rPr>
                <w:sz w:val="20"/>
                <w:szCs w:val="20"/>
              </w:rPr>
            </w:pPr>
            <w:r w:rsidRPr="00D976E5">
              <w:rPr>
                <w:sz w:val="20"/>
                <w:szCs w:val="20"/>
              </w:rPr>
              <w:t>Media (</w:t>
            </w:r>
            <w:r w:rsidR="00C10206" w:rsidRPr="00D976E5">
              <w:rPr>
                <w:sz w:val="20"/>
                <w:szCs w:val="20"/>
              </w:rPr>
              <w:t>0.5</w:t>
            </w:r>
            <w:r w:rsidRPr="00D976E5">
              <w:rPr>
                <w:sz w:val="20"/>
                <w:szCs w:val="20"/>
              </w:rPr>
              <w:t>)</w:t>
            </w:r>
          </w:p>
        </w:tc>
        <w:tc>
          <w:tcPr>
            <w:tcW w:w="737" w:type="pct"/>
          </w:tcPr>
          <w:p w14:paraId="6A043F11" w14:textId="7E8474AF" w:rsidR="000B613E" w:rsidRPr="00D976E5" w:rsidRDefault="00107660" w:rsidP="00107660">
            <w:pPr>
              <w:pStyle w:val="ListParagraph"/>
              <w:ind w:left="0"/>
              <w:jc w:val="both"/>
              <w:rPr>
                <w:sz w:val="20"/>
                <w:szCs w:val="20"/>
              </w:rPr>
            </w:pPr>
            <w:proofErr w:type="spellStart"/>
            <w:r w:rsidRPr="00D976E5">
              <w:rPr>
                <w:sz w:val="20"/>
                <w:szCs w:val="20"/>
              </w:rPr>
              <w:t>Territorialidad</w:t>
            </w:r>
            <w:r w:rsidR="000B613E" w:rsidRPr="00D976E5">
              <w:rPr>
                <w:sz w:val="20"/>
                <w:szCs w:val="20"/>
              </w:rPr>
              <w:t>Intercultur</w:t>
            </w:r>
            <w:proofErr w:type="spellEnd"/>
            <w:r w:rsidR="0065008B" w:rsidRPr="00D976E5">
              <w:rPr>
                <w:sz w:val="20"/>
                <w:szCs w:val="20"/>
              </w:rPr>
              <w:t xml:space="preserve"> (1)</w:t>
            </w:r>
          </w:p>
        </w:tc>
        <w:tc>
          <w:tcPr>
            <w:tcW w:w="369" w:type="pct"/>
          </w:tcPr>
          <w:p w14:paraId="25BB1B8D" w14:textId="686B2BE3" w:rsidR="000B613E" w:rsidRPr="00D976E5" w:rsidRDefault="00D0441A" w:rsidP="00107660">
            <w:pPr>
              <w:pStyle w:val="ListParagraph"/>
              <w:ind w:left="0"/>
              <w:jc w:val="center"/>
              <w:rPr>
                <w:sz w:val="20"/>
                <w:szCs w:val="20"/>
              </w:rPr>
            </w:pPr>
            <w:r w:rsidRPr="00D976E5">
              <w:rPr>
                <w:sz w:val="20"/>
                <w:szCs w:val="20"/>
              </w:rPr>
              <w:t>5</w:t>
            </w:r>
          </w:p>
        </w:tc>
      </w:tr>
    </w:tbl>
    <w:p w14:paraId="48775F2C" w14:textId="093CE65A" w:rsidR="00284FBD" w:rsidRDefault="00470574" w:rsidP="00107660">
      <w:r>
        <w:t xml:space="preserve">Elaboración </w:t>
      </w:r>
      <w:r w:rsidR="00C07812">
        <w:t>Nuestra</w:t>
      </w:r>
    </w:p>
    <w:p w14:paraId="3C06D42C" w14:textId="77777777" w:rsidR="00D976E5" w:rsidRPr="00D976E5" w:rsidRDefault="00D976E5" w:rsidP="00E0673E">
      <w:pPr>
        <w:pStyle w:val="ListParagraph"/>
        <w:ind w:left="360"/>
        <w:jc w:val="both"/>
        <w:rPr>
          <w:sz w:val="24"/>
          <w:szCs w:val="24"/>
        </w:rPr>
      </w:pPr>
    </w:p>
    <w:p w14:paraId="7BB947D8" w14:textId="64489442" w:rsidR="00BC4CE3" w:rsidRPr="00D976E5" w:rsidRDefault="00BC4CE3" w:rsidP="00E0673E">
      <w:pPr>
        <w:pStyle w:val="ListParagraph"/>
        <w:ind w:left="360"/>
        <w:jc w:val="both"/>
        <w:rPr>
          <w:sz w:val="24"/>
          <w:szCs w:val="24"/>
        </w:rPr>
      </w:pPr>
      <w:r w:rsidRPr="00D976E5">
        <w:rPr>
          <w:sz w:val="24"/>
          <w:szCs w:val="24"/>
        </w:rPr>
        <w:t xml:space="preserve">Por orden de puntaje de mayor a menor tenemos </w:t>
      </w:r>
      <w:r w:rsidR="00A57078" w:rsidRPr="00D976E5">
        <w:rPr>
          <w:sz w:val="24"/>
          <w:szCs w:val="24"/>
        </w:rPr>
        <w:t>a</w:t>
      </w:r>
      <w:r w:rsidRPr="00D976E5">
        <w:rPr>
          <w:sz w:val="24"/>
          <w:szCs w:val="24"/>
        </w:rPr>
        <w:t>:</w:t>
      </w:r>
    </w:p>
    <w:p w14:paraId="5B0FE889" w14:textId="4E78246A" w:rsidR="005478DF" w:rsidRPr="00D976E5" w:rsidRDefault="005478DF" w:rsidP="005478DF">
      <w:pPr>
        <w:jc w:val="both"/>
        <w:rPr>
          <w:sz w:val="24"/>
          <w:szCs w:val="24"/>
        </w:rPr>
      </w:pPr>
      <w:r w:rsidRPr="00D976E5">
        <w:rPr>
          <w:sz w:val="24"/>
          <w:szCs w:val="24"/>
        </w:rPr>
        <w:t>5.</w:t>
      </w:r>
      <w:r w:rsidR="003A607E" w:rsidRPr="00D976E5">
        <w:rPr>
          <w:sz w:val="24"/>
          <w:szCs w:val="24"/>
        </w:rPr>
        <w:t>1</w:t>
      </w:r>
      <w:r w:rsidRPr="00D976E5">
        <w:rPr>
          <w:sz w:val="24"/>
          <w:szCs w:val="24"/>
        </w:rPr>
        <w:t xml:space="preserve">. </w:t>
      </w:r>
      <w:r w:rsidRPr="00D976E5">
        <w:rPr>
          <w:sz w:val="24"/>
          <w:szCs w:val="24"/>
          <w:u w:val="single"/>
        </w:rPr>
        <w:t>GORE / MUNI Ejecutivo (7/7)</w:t>
      </w:r>
      <w:r w:rsidRPr="00D976E5">
        <w:rPr>
          <w:sz w:val="24"/>
          <w:szCs w:val="24"/>
        </w:rPr>
        <w:t>: las acciones incluidas en la actividad se cumplieron y mostraban una alta relación con el objetivo de articulación intergubernamental. La eficiencia de las actividades ha sido alta (el proyecto apoyó el primer GORE realizado en 2016, apenas empezado el nuevo gobierno), a la par que su pertinencia y sostenibilidad también es alta</w:t>
      </w:r>
      <w:r w:rsidR="000D542B" w:rsidRPr="00D976E5">
        <w:rPr>
          <w:sz w:val="24"/>
          <w:szCs w:val="24"/>
        </w:rPr>
        <w:t xml:space="preserve"> según lo que manifiestan los representantes de los gobiernos regionales </w:t>
      </w:r>
      <w:r w:rsidR="0049590A" w:rsidRPr="00D976E5">
        <w:rPr>
          <w:sz w:val="24"/>
          <w:szCs w:val="24"/>
        </w:rPr>
        <w:t xml:space="preserve">entrevistados. </w:t>
      </w:r>
      <w:r w:rsidRPr="00D976E5">
        <w:rPr>
          <w:sz w:val="24"/>
          <w:szCs w:val="24"/>
        </w:rPr>
        <w:t xml:space="preserve">Su ampliación a los </w:t>
      </w:r>
      <w:proofErr w:type="spellStart"/>
      <w:r w:rsidRPr="00D976E5">
        <w:rPr>
          <w:sz w:val="24"/>
          <w:szCs w:val="24"/>
        </w:rPr>
        <w:t>Munis</w:t>
      </w:r>
      <w:proofErr w:type="spellEnd"/>
      <w:r w:rsidRPr="00D976E5">
        <w:rPr>
          <w:sz w:val="24"/>
          <w:szCs w:val="24"/>
        </w:rPr>
        <w:t xml:space="preserve"> Ejecutivos demuestra que maneja un enfoque territorial.</w:t>
      </w:r>
    </w:p>
    <w:p w14:paraId="6CE285C7" w14:textId="012B4D7F" w:rsidR="00BC4CE3" w:rsidRPr="00D976E5" w:rsidRDefault="005B3ACC" w:rsidP="00BC4CE3">
      <w:pPr>
        <w:jc w:val="both"/>
        <w:rPr>
          <w:sz w:val="24"/>
          <w:szCs w:val="24"/>
        </w:rPr>
      </w:pPr>
      <w:r w:rsidRPr="00D976E5">
        <w:rPr>
          <w:sz w:val="24"/>
          <w:szCs w:val="24"/>
        </w:rPr>
        <w:t>5.</w:t>
      </w:r>
      <w:r w:rsidR="00A57078" w:rsidRPr="00D976E5">
        <w:rPr>
          <w:sz w:val="24"/>
          <w:szCs w:val="24"/>
        </w:rPr>
        <w:t>2</w:t>
      </w:r>
      <w:r w:rsidRPr="00D976E5">
        <w:rPr>
          <w:sz w:val="24"/>
          <w:szCs w:val="24"/>
        </w:rPr>
        <w:t xml:space="preserve">. </w:t>
      </w:r>
      <w:r w:rsidRPr="00D976E5">
        <w:rPr>
          <w:sz w:val="24"/>
          <w:szCs w:val="24"/>
          <w:u w:val="single"/>
        </w:rPr>
        <w:t>Componente MAC</w:t>
      </w:r>
      <w:r w:rsidR="00B9412C" w:rsidRPr="00D976E5">
        <w:rPr>
          <w:sz w:val="24"/>
          <w:szCs w:val="24"/>
          <w:u w:val="single"/>
        </w:rPr>
        <w:t xml:space="preserve"> (6.5/7)</w:t>
      </w:r>
      <w:r w:rsidRPr="00D976E5">
        <w:rPr>
          <w:sz w:val="24"/>
          <w:szCs w:val="24"/>
        </w:rPr>
        <w:t xml:space="preserve">: </w:t>
      </w:r>
      <w:r w:rsidR="00B0755E" w:rsidRPr="00D976E5">
        <w:rPr>
          <w:sz w:val="24"/>
          <w:szCs w:val="24"/>
        </w:rPr>
        <w:t>las acciones incluidas en la actividad se cumplieron y mostraban una alta relación con el resultado 3 sobre modernización. La eficiencia de la actividad fue media</w:t>
      </w:r>
      <w:r w:rsidR="00056614" w:rsidRPr="00D976E5">
        <w:rPr>
          <w:sz w:val="24"/>
          <w:szCs w:val="24"/>
        </w:rPr>
        <w:t xml:space="preserve">: </w:t>
      </w:r>
      <w:r w:rsidR="00B0755E" w:rsidRPr="00D976E5">
        <w:rPr>
          <w:sz w:val="24"/>
          <w:szCs w:val="24"/>
        </w:rPr>
        <w:t>los plazos administrativos no se cumplieron en su totalidad</w:t>
      </w:r>
      <w:r w:rsidR="00056614" w:rsidRPr="00D976E5">
        <w:rPr>
          <w:sz w:val="24"/>
          <w:szCs w:val="24"/>
        </w:rPr>
        <w:t xml:space="preserve"> y hubo </w:t>
      </w:r>
      <w:r w:rsidR="005478DF" w:rsidRPr="00D976E5">
        <w:rPr>
          <w:sz w:val="24"/>
          <w:szCs w:val="24"/>
        </w:rPr>
        <w:t>distintas interpretaciones</w:t>
      </w:r>
      <w:r w:rsidR="00056614" w:rsidRPr="00D976E5">
        <w:rPr>
          <w:sz w:val="24"/>
          <w:szCs w:val="24"/>
        </w:rPr>
        <w:t xml:space="preserve"> sobre la normativa que regía la construcción del MAC Lima Este</w:t>
      </w:r>
      <w:r w:rsidR="00FB54FD" w:rsidRPr="00D976E5">
        <w:rPr>
          <w:sz w:val="24"/>
          <w:szCs w:val="24"/>
        </w:rPr>
        <w:t>. La pertinencia es considerada alta para varios funcionarios de la actual gestión de PCM</w:t>
      </w:r>
      <w:r w:rsidR="00CC3FB0" w:rsidRPr="00D976E5">
        <w:rPr>
          <w:sz w:val="24"/>
          <w:szCs w:val="24"/>
        </w:rPr>
        <w:t xml:space="preserve"> (respondía a un objetivo de políticas claro del Estado Peruano)</w:t>
      </w:r>
      <w:r w:rsidR="00FB54FD" w:rsidRPr="00D976E5">
        <w:rPr>
          <w:sz w:val="24"/>
          <w:szCs w:val="24"/>
        </w:rPr>
        <w:t xml:space="preserve"> y la sostenibilidad de la actividad es</w:t>
      </w:r>
      <w:r w:rsidR="00CC3FB0" w:rsidRPr="00D976E5">
        <w:rPr>
          <w:sz w:val="24"/>
          <w:szCs w:val="24"/>
        </w:rPr>
        <w:t>,</w:t>
      </w:r>
      <w:r w:rsidR="00FB54FD" w:rsidRPr="00D976E5">
        <w:rPr>
          <w:sz w:val="24"/>
          <w:szCs w:val="24"/>
        </w:rPr>
        <w:t xml:space="preserve"> sin duda</w:t>
      </w:r>
      <w:r w:rsidR="00CC3FB0" w:rsidRPr="00D976E5">
        <w:rPr>
          <w:sz w:val="24"/>
          <w:szCs w:val="24"/>
        </w:rPr>
        <w:t>,</w:t>
      </w:r>
      <w:r w:rsidR="00FB54FD" w:rsidRPr="00D976E5">
        <w:rPr>
          <w:sz w:val="24"/>
          <w:szCs w:val="24"/>
        </w:rPr>
        <w:t xml:space="preserve"> la más alta</w:t>
      </w:r>
      <w:r w:rsidR="00CC3FB0" w:rsidRPr="00D976E5">
        <w:rPr>
          <w:sz w:val="24"/>
          <w:szCs w:val="24"/>
        </w:rPr>
        <w:t xml:space="preserve"> entre las actividades del proyecto</w:t>
      </w:r>
      <w:r w:rsidR="00E0673E" w:rsidRPr="00D976E5">
        <w:rPr>
          <w:sz w:val="24"/>
          <w:szCs w:val="24"/>
        </w:rPr>
        <w:t xml:space="preserve"> por el alto respaldo político con el que cuenta. El componente MAC </w:t>
      </w:r>
      <w:r w:rsidR="00CC3FB0" w:rsidRPr="00D976E5">
        <w:rPr>
          <w:sz w:val="24"/>
          <w:szCs w:val="24"/>
        </w:rPr>
        <w:t>exhibe</w:t>
      </w:r>
      <w:r w:rsidR="005D7C54" w:rsidRPr="00D976E5">
        <w:rPr>
          <w:sz w:val="24"/>
          <w:szCs w:val="24"/>
        </w:rPr>
        <w:t xml:space="preserve"> el uso de enfoques de interculturalidad (a través del </w:t>
      </w:r>
      <w:r w:rsidR="005D7C54" w:rsidRPr="00D976E5">
        <w:rPr>
          <w:i/>
          <w:sz w:val="24"/>
          <w:szCs w:val="24"/>
        </w:rPr>
        <w:t xml:space="preserve">Aló </w:t>
      </w:r>
      <w:r w:rsidR="00265D6B" w:rsidRPr="00D976E5">
        <w:rPr>
          <w:i/>
          <w:sz w:val="24"/>
          <w:szCs w:val="24"/>
        </w:rPr>
        <w:t>MAC</w:t>
      </w:r>
      <w:r w:rsidR="005D7C54" w:rsidRPr="00D976E5">
        <w:rPr>
          <w:sz w:val="24"/>
          <w:szCs w:val="24"/>
        </w:rPr>
        <w:t xml:space="preserve"> en quechua)</w:t>
      </w:r>
      <w:r w:rsidR="00B70D57" w:rsidRPr="00D976E5">
        <w:rPr>
          <w:sz w:val="24"/>
          <w:szCs w:val="24"/>
        </w:rPr>
        <w:t xml:space="preserve"> y, en menor medida, de género</w:t>
      </w:r>
      <w:r w:rsidR="00F71DFA" w:rsidRPr="00D976E5">
        <w:rPr>
          <w:sz w:val="24"/>
          <w:szCs w:val="24"/>
        </w:rPr>
        <w:t>.</w:t>
      </w:r>
    </w:p>
    <w:p w14:paraId="1E1ADEAF" w14:textId="7548BECD" w:rsidR="005D7C54" w:rsidRPr="00D976E5" w:rsidRDefault="005D7C54" w:rsidP="00BC4CE3">
      <w:pPr>
        <w:jc w:val="both"/>
        <w:rPr>
          <w:sz w:val="24"/>
          <w:szCs w:val="24"/>
        </w:rPr>
      </w:pPr>
      <w:r w:rsidRPr="00D976E5">
        <w:rPr>
          <w:sz w:val="24"/>
          <w:szCs w:val="24"/>
        </w:rPr>
        <w:t xml:space="preserve">5.3. </w:t>
      </w:r>
      <w:r w:rsidRPr="00D976E5">
        <w:rPr>
          <w:sz w:val="24"/>
          <w:szCs w:val="24"/>
          <w:u w:val="single"/>
        </w:rPr>
        <w:t xml:space="preserve">Sistema </w:t>
      </w:r>
      <w:proofErr w:type="spellStart"/>
      <w:r w:rsidRPr="00D976E5">
        <w:rPr>
          <w:sz w:val="24"/>
          <w:szCs w:val="24"/>
          <w:u w:val="single"/>
        </w:rPr>
        <w:t>Sayhuite</w:t>
      </w:r>
      <w:proofErr w:type="spellEnd"/>
      <w:r w:rsidR="00B9412C" w:rsidRPr="00D976E5">
        <w:rPr>
          <w:sz w:val="24"/>
          <w:szCs w:val="24"/>
          <w:u w:val="single"/>
        </w:rPr>
        <w:t xml:space="preserve"> (5.5/7)</w:t>
      </w:r>
      <w:r w:rsidRPr="00D976E5">
        <w:rPr>
          <w:sz w:val="24"/>
          <w:szCs w:val="24"/>
        </w:rPr>
        <w:t>:</w:t>
      </w:r>
      <w:r w:rsidR="000311C7" w:rsidRPr="00D976E5">
        <w:rPr>
          <w:sz w:val="24"/>
          <w:szCs w:val="24"/>
        </w:rPr>
        <w:t xml:space="preserve"> las acciones incluidas en la actividad se cumplieron y mostraban una alta relación con el objetivo de modernización del Estado y articulación intersectorial e </w:t>
      </w:r>
      <w:r w:rsidR="00F176DB" w:rsidRPr="00D976E5">
        <w:rPr>
          <w:sz w:val="24"/>
          <w:szCs w:val="24"/>
        </w:rPr>
        <w:t>intergubernamental</w:t>
      </w:r>
      <w:r w:rsidR="000311C7" w:rsidRPr="00D976E5">
        <w:rPr>
          <w:sz w:val="24"/>
          <w:szCs w:val="24"/>
        </w:rPr>
        <w:t>.</w:t>
      </w:r>
      <w:r w:rsidR="00F176DB" w:rsidRPr="00D976E5">
        <w:rPr>
          <w:sz w:val="24"/>
          <w:szCs w:val="24"/>
        </w:rPr>
        <w:t xml:space="preserve"> La eficiencia de la herramienta es alta</w:t>
      </w:r>
      <w:r w:rsidR="009C1811" w:rsidRPr="00D976E5">
        <w:rPr>
          <w:sz w:val="24"/>
          <w:szCs w:val="24"/>
        </w:rPr>
        <w:t xml:space="preserve"> (se ha podido culminar la versión nacional y </w:t>
      </w:r>
      <w:r w:rsidR="009206C5" w:rsidRPr="00D976E5">
        <w:rPr>
          <w:sz w:val="24"/>
          <w:szCs w:val="24"/>
        </w:rPr>
        <w:t>versiones regionales</w:t>
      </w:r>
      <w:r w:rsidR="009C1811" w:rsidRPr="00D976E5">
        <w:rPr>
          <w:sz w:val="24"/>
          <w:szCs w:val="24"/>
        </w:rPr>
        <w:t xml:space="preserve"> en c</w:t>
      </w:r>
      <w:r w:rsidR="009206C5" w:rsidRPr="00D976E5">
        <w:rPr>
          <w:sz w:val="24"/>
          <w:szCs w:val="24"/>
        </w:rPr>
        <w:t>inco años) y su pertinencia</w:t>
      </w:r>
      <w:r w:rsidR="006F167B" w:rsidRPr="00D976E5">
        <w:rPr>
          <w:sz w:val="24"/>
          <w:szCs w:val="24"/>
        </w:rPr>
        <w:t xml:space="preserve"> como solución al problema de la dispersión de información</w:t>
      </w:r>
      <w:r w:rsidR="009206C5" w:rsidRPr="00D976E5">
        <w:rPr>
          <w:sz w:val="24"/>
          <w:szCs w:val="24"/>
        </w:rPr>
        <w:t xml:space="preserve"> es alta. </w:t>
      </w:r>
      <w:r w:rsidR="00D10A93" w:rsidRPr="00D976E5">
        <w:rPr>
          <w:sz w:val="24"/>
          <w:szCs w:val="24"/>
        </w:rPr>
        <w:t xml:space="preserve">Su sostenibilidad es media, no obstante: de nuestras conversaciones con gobiernos regionales pudimos notar que hay conocimiento de su existencia pero no se manifiesta </w:t>
      </w:r>
      <w:r w:rsidR="00D10A93" w:rsidRPr="00D976E5">
        <w:rPr>
          <w:sz w:val="24"/>
          <w:szCs w:val="24"/>
        </w:rPr>
        <w:lastRenderedPageBreak/>
        <w:t xml:space="preserve">un interés </w:t>
      </w:r>
      <w:r w:rsidR="00262D13" w:rsidRPr="00D976E5">
        <w:rPr>
          <w:sz w:val="24"/>
          <w:szCs w:val="24"/>
        </w:rPr>
        <w:t xml:space="preserve">por </w:t>
      </w:r>
      <w:r w:rsidR="00D113D5" w:rsidRPr="00D976E5">
        <w:rPr>
          <w:sz w:val="24"/>
          <w:szCs w:val="24"/>
        </w:rPr>
        <w:t xml:space="preserve">utilizarlo </w:t>
      </w:r>
      <w:r w:rsidR="00262D13" w:rsidRPr="00D976E5">
        <w:rPr>
          <w:sz w:val="24"/>
          <w:szCs w:val="24"/>
        </w:rPr>
        <w:t>sistemáticamente. Maneja claramente un enfoque de territorialidad y, en menor medida, de género.</w:t>
      </w:r>
    </w:p>
    <w:p w14:paraId="746483C6" w14:textId="695FB254" w:rsidR="008568AB" w:rsidRPr="00D976E5" w:rsidRDefault="008568AB" w:rsidP="00BC4CE3">
      <w:pPr>
        <w:jc w:val="both"/>
        <w:rPr>
          <w:sz w:val="24"/>
          <w:szCs w:val="24"/>
        </w:rPr>
      </w:pPr>
      <w:r w:rsidRPr="00D976E5">
        <w:rPr>
          <w:sz w:val="24"/>
          <w:szCs w:val="24"/>
        </w:rPr>
        <w:t xml:space="preserve">5.4. </w:t>
      </w:r>
      <w:r w:rsidRPr="00D976E5">
        <w:rPr>
          <w:sz w:val="24"/>
          <w:szCs w:val="24"/>
          <w:u w:val="single"/>
        </w:rPr>
        <w:t>Mancomunidades</w:t>
      </w:r>
      <w:r w:rsidR="00B9412C" w:rsidRPr="00D976E5">
        <w:rPr>
          <w:sz w:val="24"/>
          <w:szCs w:val="24"/>
          <w:u w:val="single"/>
        </w:rPr>
        <w:t xml:space="preserve"> (5/7)</w:t>
      </w:r>
      <w:r w:rsidRPr="00D976E5">
        <w:rPr>
          <w:sz w:val="24"/>
          <w:szCs w:val="24"/>
        </w:rPr>
        <w:t>:</w:t>
      </w:r>
      <w:r w:rsidR="00423246" w:rsidRPr="00D976E5">
        <w:rPr>
          <w:sz w:val="24"/>
          <w:szCs w:val="24"/>
        </w:rPr>
        <w:t xml:space="preserve"> las acciones incluidas en la actividad se cumplieron y mostraban una alta relación con el objetivo de mejora de las capacidades de inversión de los gobiernos subnacionales. </w:t>
      </w:r>
      <w:r w:rsidR="000E34D9" w:rsidRPr="00D976E5">
        <w:rPr>
          <w:sz w:val="24"/>
          <w:szCs w:val="24"/>
        </w:rPr>
        <w:t>La eficiencia de</w:t>
      </w:r>
      <w:r w:rsidR="009B074C" w:rsidRPr="00D976E5">
        <w:rPr>
          <w:sz w:val="24"/>
          <w:szCs w:val="24"/>
        </w:rPr>
        <w:t>l trabajo con</w:t>
      </w:r>
      <w:r w:rsidR="000E34D9" w:rsidRPr="00D976E5">
        <w:rPr>
          <w:sz w:val="24"/>
          <w:szCs w:val="24"/>
        </w:rPr>
        <w:t xml:space="preserve"> las mancomunidades, no obstante, es media: pese al trabajo continuado por cinco años, sólo una minoría </w:t>
      </w:r>
      <w:r w:rsidR="009B074C" w:rsidRPr="00D976E5">
        <w:rPr>
          <w:sz w:val="24"/>
          <w:szCs w:val="24"/>
        </w:rPr>
        <w:t>de mancomunidades puede presentarse</w:t>
      </w:r>
      <w:r w:rsidR="005A640B" w:rsidRPr="00D976E5">
        <w:rPr>
          <w:sz w:val="24"/>
          <w:szCs w:val="24"/>
        </w:rPr>
        <w:t xml:space="preserve"> exitosamente</w:t>
      </w:r>
      <w:r w:rsidR="009B074C" w:rsidRPr="00D976E5">
        <w:rPr>
          <w:sz w:val="24"/>
          <w:szCs w:val="24"/>
        </w:rPr>
        <w:t xml:space="preserve"> a concursos como el FONIPREL.</w:t>
      </w:r>
      <w:r w:rsidR="009C7D1D" w:rsidRPr="00D976E5">
        <w:rPr>
          <w:sz w:val="24"/>
          <w:szCs w:val="24"/>
        </w:rPr>
        <w:t xml:space="preserve"> La pertinencia del trabajo con mancomunidades es alta</w:t>
      </w:r>
      <w:r w:rsidR="00C54E1A" w:rsidRPr="00D976E5">
        <w:rPr>
          <w:sz w:val="24"/>
          <w:szCs w:val="24"/>
        </w:rPr>
        <w:t>: para los funcionarios, la presentación de proyectos a través de mancomunidades garantiza inversiones de mayor importancia e impacto</w:t>
      </w:r>
      <w:r w:rsidR="00A24537" w:rsidRPr="00D976E5">
        <w:rPr>
          <w:sz w:val="24"/>
          <w:szCs w:val="24"/>
        </w:rPr>
        <w:t xml:space="preserve">. No </w:t>
      </w:r>
      <w:r w:rsidR="009C7D1D" w:rsidRPr="00D976E5">
        <w:rPr>
          <w:sz w:val="24"/>
          <w:szCs w:val="24"/>
        </w:rPr>
        <w:t>obstante, su sostenibilidad es media si tomamos en cuenta</w:t>
      </w:r>
      <w:r w:rsidR="0024612C" w:rsidRPr="00D976E5">
        <w:rPr>
          <w:sz w:val="24"/>
          <w:szCs w:val="24"/>
        </w:rPr>
        <w:t xml:space="preserve"> -además de que muchas</w:t>
      </w:r>
      <w:r w:rsidR="00821F71" w:rsidRPr="00D976E5">
        <w:rPr>
          <w:sz w:val="24"/>
          <w:szCs w:val="24"/>
        </w:rPr>
        <w:t xml:space="preserve"> sólo</w:t>
      </w:r>
      <w:r w:rsidR="0024612C" w:rsidRPr="00D976E5">
        <w:rPr>
          <w:sz w:val="24"/>
          <w:szCs w:val="24"/>
        </w:rPr>
        <w:t xml:space="preserve"> existen formalmente- </w:t>
      </w:r>
      <w:r w:rsidR="00821F71" w:rsidRPr="00D976E5">
        <w:rPr>
          <w:sz w:val="24"/>
          <w:szCs w:val="24"/>
        </w:rPr>
        <w:t>que</w:t>
      </w:r>
      <w:r w:rsidR="0024612C" w:rsidRPr="00D976E5">
        <w:rPr>
          <w:sz w:val="24"/>
          <w:szCs w:val="24"/>
        </w:rPr>
        <w:t xml:space="preserve"> el próximo cambio de autoridades puede significar el quiebre de la memoria institucional sobre </w:t>
      </w:r>
      <w:r w:rsidR="00821F71" w:rsidRPr="00D976E5">
        <w:rPr>
          <w:sz w:val="24"/>
          <w:szCs w:val="24"/>
        </w:rPr>
        <w:t>lo avanzado en los últimos años</w:t>
      </w:r>
      <w:r w:rsidR="0024612C" w:rsidRPr="00D976E5">
        <w:rPr>
          <w:sz w:val="24"/>
          <w:szCs w:val="24"/>
        </w:rPr>
        <w:t>. Las mancomunidades manejan un enfoque de territorialidad y, en menor medida, de interculturalidad.</w:t>
      </w:r>
    </w:p>
    <w:p w14:paraId="0C3822A3" w14:textId="7ED9DAA7" w:rsidR="00FA2CFE" w:rsidRPr="00D976E5" w:rsidRDefault="00FA2CFE" w:rsidP="00BC4CE3">
      <w:pPr>
        <w:jc w:val="both"/>
        <w:rPr>
          <w:sz w:val="24"/>
          <w:szCs w:val="24"/>
        </w:rPr>
      </w:pPr>
      <w:r w:rsidRPr="00D976E5">
        <w:rPr>
          <w:sz w:val="24"/>
          <w:szCs w:val="24"/>
        </w:rPr>
        <w:t xml:space="preserve">5.5. </w:t>
      </w:r>
      <w:r w:rsidRPr="00D976E5">
        <w:rPr>
          <w:sz w:val="24"/>
          <w:szCs w:val="24"/>
          <w:u w:val="single"/>
        </w:rPr>
        <w:t>Evaluación de competencias transferidas</w:t>
      </w:r>
      <w:r w:rsidR="00731176" w:rsidRPr="00D976E5">
        <w:rPr>
          <w:sz w:val="24"/>
          <w:szCs w:val="24"/>
          <w:u w:val="single"/>
        </w:rPr>
        <w:t xml:space="preserve"> / AMC</w:t>
      </w:r>
      <w:r w:rsidR="00B9412C" w:rsidRPr="00D976E5">
        <w:rPr>
          <w:sz w:val="24"/>
          <w:szCs w:val="24"/>
          <w:u w:val="single"/>
        </w:rPr>
        <w:t xml:space="preserve"> (3/7)</w:t>
      </w:r>
      <w:r w:rsidRPr="00D976E5">
        <w:rPr>
          <w:sz w:val="24"/>
          <w:szCs w:val="24"/>
        </w:rPr>
        <w:t>:</w:t>
      </w:r>
      <w:r w:rsidR="00AD30B4" w:rsidRPr="00D976E5">
        <w:rPr>
          <w:sz w:val="24"/>
          <w:szCs w:val="24"/>
        </w:rPr>
        <w:t xml:space="preserve"> las acciones incluidas en la actividad se cumplieron; no obstante, mostraban una relación media con el resultado 1 del proyecto (</w:t>
      </w:r>
      <w:r w:rsidR="00C45C3F" w:rsidRPr="00D976E5">
        <w:rPr>
          <w:sz w:val="24"/>
          <w:szCs w:val="24"/>
        </w:rPr>
        <w:t>“Competencias de gestión de los funcionarios públicos fortalecidas, a nivel regional y local”</w:t>
      </w:r>
      <w:r w:rsidR="00AD30B4" w:rsidRPr="00D976E5">
        <w:rPr>
          <w:sz w:val="24"/>
          <w:szCs w:val="24"/>
        </w:rPr>
        <w:t>).</w:t>
      </w:r>
      <w:r w:rsidR="00591FE7" w:rsidRPr="00D976E5">
        <w:rPr>
          <w:sz w:val="24"/>
          <w:szCs w:val="24"/>
        </w:rPr>
        <w:t xml:space="preserve"> De la evidencia aportada no queda claro que haya </w:t>
      </w:r>
      <w:r w:rsidR="00107C68" w:rsidRPr="00D976E5">
        <w:rPr>
          <w:sz w:val="24"/>
          <w:szCs w:val="24"/>
        </w:rPr>
        <w:t>operado</w:t>
      </w:r>
      <w:r w:rsidR="00591FE7" w:rsidRPr="00D976E5">
        <w:rPr>
          <w:sz w:val="24"/>
          <w:szCs w:val="24"/>
        </w:rPr>
        <w:t xml:space="preserve"> un fortalecimiento de las competencias</w:t>
      </w:r>
      <w:r w:rsidR="00107C68" w:rsidRPr="00D976E5">
        <w:rPr>
          <w:sz w:val="24"/>
          <w:szCs w:val="24"/>
        </w:rPr>
        <w:t xml:space="preserve"> de gestión de los</w:t>
      </w:r>
      <w:r w:rsidR="006721A8" w:rsidRPr="00D976E5">
        <w:rPr>
          <w:sz w:val="24"/>
          <w:szCs w:val="24"/>
        </w:rPr>
        <w:t xml:space="preserve"> funcionarios de</w:t>
      </w:r>
      <w:r w:rsidR="00107C68" w:rsidRPr="00D976E5">
        <w:rPr>
          <w:sz w:val="24"/>
          <w:szCs w:val="24"/>
        </w:rPr>
        <w:t xml:space="preserve"> gobiernos regionales, más aún con el cambio de gobierno de 2015.</w:t>
      </w:r>
      <w:r w:rsidR="00EE1ACC" w:rsidRPr="00D976E5">
        <w:rPr>
          <w:sz w:val="24"/>
          <w:szCs w:val="24"/>
        </w:rPr>
        <w:t xml:space="preserve"> La eficiencia de la actividad es media: las evaluaciones tomaron mucho tiempo</w:t>
      </w:r>
      <w:r w:rsidR="00DA4B3C" w:rsidRPr="00D976E5">
        <w:rPr>
          <w:sz w:val="24"/>
          <w:szCs w:val="24"/>
        </w:rPr>
        <w:t xml:space="preserve"> (tres años) pero no han contado con una metodología analítica ni han sido sólidamente sistematizadas</w:t>
      </w:r>
      <w:r w:rsidR="00A22E9B" w:rsidRPr="00D976E5">
        <w:rPr>
          <w:sz w:val="24"/>
          <w:szCs w:val="24"/>
        </w:rPr>
        <w:t xml:space="preserve"> como para que el conocimiento acumulado sea más y mejor utilizado</w:t>
      </w:r>
      <w:r w:rsidR="00DA4B3C" w:rsidRPr="00D976E5">
        <w:rPr>
          <w:sz w:val="24"/>
          <w:szCs w:val="24"/>
        </w:rPr>
        <w:t>. Mientras que la pertinencia de la evaluación es alta</w:t>
      </w:r>
      <w:r w:rsidR="00A22E9B" w:rsidRPr="00D976E5">
        <w:rPr>
          <w:sz w:val="24"/>
          <w:szCs w:val="24"/>
        </w:rPr>
        <w:t xml:space="preserve"> (a la luz de los avances en la trasferencia desde la década pasada)</w:t>
      </w:r>
      <w:r w:rsidR="00DA4B3C" w:rsidRPr="00D976E5">
        <w:rPr>
          <w:sz w:val="24"/>
          <w:szCs w:val="24"/>
        </w:rPr>
        <w:t xml:space="preserve">, su sostenibilidad ha sido baja: </w:t>
      </w:r>
      <w:r w:rsidR="009951FB" w:rsidRPr="00D976E5">
        <w:rPr>
          <w:sz w:val="24"/>
          <w:szCs w:val="24"/>
        </w:rPr>
        <w:t>ninguno de los gobiernos regionales entrevistados pudo dar una opinión informada sobre las mismas ni sobre las acciones de mejora continua. Asimismo, las evaluaciones no mostraron la aplicación de ninguno de los enfoques priorizados por PNUD.</w:t>
      </w:r>
    </w:p>
    <w:p w14:paraId="69FEB038" w14:textId="77777777" w:rsidR="00BC4CE3" w:rsidRPr="005B3ACC" w:rsidRDefault="00BC4CE3" w:rsidP="00BC4CE3">
      <w:pPr>
        <w:pStyle w:val="ListParagraph"/>
        <w:ind w:left="360"/>
        <w:jc w:val="both"/>
      </w:pPr>
    </w:p>
    <w:p w14:paraId="31567E15" w14:textId="47A3FD08" w:rsidR="002E1E77" w:rsidRDefault="00716F09" w:rsidP="00163457">
      <w:pPr>
        <w:pStyle w:val="ListParagraph"/>
        <w:numPr>
          <w:ilvl w:val="0"/>
          <w:numId w:val="10"/>
        </w:numPr>
        <w:jc w:val="both"/>
        <w:outlineLvl w:val="0"/>
        <w:rPr>
          <w:b/>
          <w:sz w:val="28"/>
          <w:szCs w:val="28"/>
        </w:rPr>
      </w:pPr>
      <w:bookmarkStart w:id="16" w:name="_Toc523393995"/>
      <w:r w:rsidRPr="00163457">
        <w:rPr>
          <w:b/>
          <w:sz w:val="28"/>
          <w:szCs w:val="28"/>
        </w:rPr>
        <w:t>Conclusiones</w:t>
      </w:r>
      <w:r w:rsidR="009124C2" w:rsidRPr="00163457">
        <w:rPr>
          <w:b/>
          <w:sz w:val="28"/>
          <w:szCs w:val="28"/>
        </w:rPr>
        <w:t xml:space="preserve"> y </w:t>
      </w:r>
      <w:r w:rsidR="00F4324F">
        <w:rPr>
          <w:b/>
          <w:sz w:val="28"/>
          <w:szCs w:val="28"/>
        </w:rPr>
        <w:t>R</w:t>
      </w:r>
      <w:r w:rsidR="009124C2" w:rsidRPr="00163457">
        <w:rPr>
          <w:b/>
          <w:sz w:val="28"/>
          <w:szCs w:val="28"/>
        </w:rPr>
        <w:t>ecomendacione</w:t>
      </w:r>
      <w:r w:rsidR="002E1E77" w:rsidRPr="00163457">
        <w:rPr>
          <w:b/>
          <w:sz w:val="28"/>
          <w:szCs w:val="28"/>
        </w:rPr>
        <w:t>s</w:t>
      </w:r>
      <w:bookmarkEnd w:id="16"/>
      <w:r w:rsidR="00DC419E">
        <w:rPr>
          <w:b/>
          <w:sz w:val="28"/>
          <w:szCs w:val="28"/>
        </w:rPr>
        <w:t xml:space="preserve"> </w:t>
      </w:r>
    </w:p>
    <w:p w14:paraId="54817B68" w14:textId="77777777" w:rsidR="00FB7ED4" w:rsidRPr="00FB7ED4" w:rsidRDefault="00FB7ED4" w:rsidP="00FB7ED4">
      <w:pPr>
        <w:jc w:val="both"/>
        <w:outlineLvl w:val="0"/>
        <w:rPr>
          <w:b/>
          <w:sz w:val="28"/>
          <w:szCs w:val="28"/>
        </w:rPr>
      </w:pPr>
    </w:p>
    <w:p w14:paraId="6511FD31" w14:textId="2002BEA2" w:rsidR="00FB7ED4" w:rsidRPr="00FB7ED4" w:rsidRDefault="00FB7ED4" w:rsidP="000A38A0">
      <w:pPr>
        <w:pStyle w:val="ListParagraph"/>
        <w:numPr>
          <w:ilvl w:val="1"/>
          <w:numId w:val="10"/>
        </w:numPr>
        <w:ind w:left="437" w:hanging="437"/>
        <w:jc w:val="both"/>
        <w:rPr>
          <w:b/>
          <w:sz w:val="28"/>
          <w:szCs w:val="28"/>
        </w:rPr>
      </w:pPr>
      <w:r w:rsidRPr="00F4324F">
        <w:rPr>
          <w:b/>
          <w:sz w:val="24"/>
          <w:szCs w:val="24"/>
        </w:rPr>
        <w:t xml:space="preserve">El proyecto funciona bien como apoyo a la iniciativa política de GOBIERNO a nivel de dos prioridades de ESTADO: descentralización y modernización. </w:t>
      </w:r>
      <w:r w:rsidRPr="00F4324F">
        <w:rPr>
          <w:sz w:val="24"/>
          <w:szCs w:val="24"/>
        </w:rPr>
        <w:t xml:space="preserve">Por ello, </w:t>
      </w:r>
      <w:r>
        <w:rPr>
          <w:sz w:val="24"/>
          <w:szCs w:val="24"/>
        </w:rPr>
        <w:t xml:space="preserve">está </w:t>
      </w:r>
      <w:r w:rsidRPr="00F4324F">
        <w:rPr>
          <w:sz w:val="24"/>
          <w:szCs w:val="24"/>
        </w:rPr>
        <w:t>sujeto a cambios de paquetes de actividades (a la forma como un gobierno desarrolla prioridades de Estado) asociados a cambio de gobierno</w:t>
      </w:r>
    </w:p>
    <w:p w14:paraId="616FECE6" w14:textId="30CD7154" w:rsidR="00FB7ED4" w:rsidRPr="00FB7ED4" w:rsidRDefault="00FB7ED4" w:rsidP="000A38A0">
      <w:pPr>
        <w:ind w:left="437"/>
        <w:jc w:val="both"/>
        <w:rPr>
          <w:b/>
          <w:sz w:val="28"/>
          <w:szCs w:val="28"/>
        </w:rPr>
      </w:pPr>
      <w:r w:rsidRPr="00F4324F">
        <w:rPr>
          <w:b/>
          <w:sz w:val="24"/>
          <w:szCs w:val="24"/>
        </w:rPr>
        <w:t>Recomendamos</w:t>
      </w:r>
      <w:r w:rsidRPr="00F4324F">
        <w:rPr>
          <w:sz w:val="24"/>
          <w:szCs w:val="24"/>
        </w:rPr>
        <w:t xml:space="preserve"> que</w:t>
      </w:r>
      <w:r>
        <w:rPr>
          <w:sz w:val="24"/>
          <w:szCs w:val="24"/>
        </w:rPr>
        <w:t>, en futuras versiones del mecanismo de relación PNUD/PCM como el que sustenta el proyecto, cuando eventualmente se presenten cambios en la orientación de Gobierno que inducen cambios en líneas de actividad, será</w:t>
      </w:r>
      <w:r w:rsidRPr="00F4324F">
        <w:rPr>
          <w:sz w:val="24"/>
          <w:szCs w:val="24"/>
        </w:rPr>
        <w:t xml:space="preserve"> importante sustentar por escrito a través de una evaluación de lo hecho hasta el momento del cambio, </w:t>
      </w:r>
      <w:r>
        <w:rPr>
          <w:sz w:val="24"/>
          <w:szCs w:val="24"/>
        </w:rPr>
        <w:t xml:space="preserve">las razones del mismo, </w:t>
      </w:r>
      <w:r w:rsidRPr="00F4324F">
        <w:rPr>
          <w:sz w:val="24"/>
          <w:szCs w:val="24"/>
        </w:rPr>
        <w:t xml:space="preserve">su utilidad eventual y el sustento la </w:t>
      </w:r>
      <w:r w:rsidRPr="00F4324F">
        <w:rPr>
          <w:sz w:val="24"/>
          <w:szCs w:val="24"/>
        </w:rPr>
        <w:lastRenderedPageBreak/>
        <w:t>nueva orientación: una “teoría del cambio” que acompañe la elección de políticas articuladas al proyecto y que enlace cada una de las actividades e indicadores del proyecto con los objetivos y resultados</w:t>
      </w:r>
    </w:p>
    <w:p w14:paraId="24581024" w14:textId="62705735" w:rsidR="00FB7ED4" w:rsidRPr="00FB7ED4" w:rsidRDefault="00FB7ED4" w:rsidP="000A38A0">
      <w:pPr>
        <w:pStyle w:val="ListParagraph"/>
        <w:numPr>
          <w:ilvl w:val="1"/>
          <w:numId w:val="10"/>
        </w:numPr>
        <w:ind w:left="437" w:hanging="437"/>
        <w:jc w:val="both"/>
        <w:rPr>
          <w:b/>
          <w:sz w:val="28"/>
          <w:szCs w:val="28"/>
        </w:rPr>
      </w:pPr>
      <w:r w:rsidRPr="00FB7ED4">
        <w:rPr>
          <w:b/>
          <w:sz w:val="24"/>
          <w:szCs w:val="24"/>
        </w:rPr>
        <w:t>Las líneas de acción resultan más sostenibles cuando se atan a una norma legal reciente y operacionalizada en planes</w:t>
      </w:r>
      <w:r w:rsidRPr="00FB7ED4">
        <w:rPr>
          <w:sz w:val="24"/>
          <w:szCs w:val="24"/>
        </w:rPr>
        <w:t>: por eso hubo más continuidad en acciones de modernización (vinculadas a Ley de Modernización  de  Plan Nacional de Modernización) que en acciones de descentralización (basadas principalmente en legislación sustantiva como la ley de bases de la descentralización o las leyes orgánicas de gobiernos regionales y municipalidades que no están operacionalizadas para un periodo acotado</w:t>
      </w:r>
      <w:r>
        <w:rPr>
          <w:sz w:val="24"/>
          <w:szCs w:val="24"/>
        </w:rPr>
        <w:t>.</w:t>
      </w:r>
    </w:p>
    <w:p w14:paraId="0ACE6652" w14:textId="1031E3BD" w:rsidR="00FB7ED4" w:rsidRPr="00FB7ED4" w:rsidRDefault="00FB7ED4" w:rsidP="000A38A0">
      <w:pPr>
        <w:ind w:left="437"/>
        <w:jc w:val="both"/>
        <w:rPr>
          <w:b/>
          <w:sz w:val="28"/>
          <w:szCs w:val="28"/>
        </w:rPr>
      </w:pPr>
      <w:r w:rsidRPr="00FB7ED4">
        <w:rPr>
          <w:b/>
          <w:sz w:val="24"/>
          <w:szCs w:val="24"/>
        </w:rPr>
        <w:t>Sugerimos</w:t>
      </w:r>
      <w:r w:rsidRPr="00FB7ED4">
        <w:rPr>
          <w:sz w:val="24"/>
          <w:szCs w:val="24"/>
        </w:rPr>
        <w:t xml:space="preserve"> la importancia de </w:t>
      </w:r>
      <w:r>
        <w:rPr>
          <w:sz w:val="24"/>
          <w:szCs w:val="24"/>
        </w:rPr>
        <w:t>sustentar en lo posible, líneas de actividades</w:t>
      </w:r>
      <w:r w:rsidRPr="00FB7ED4">
        <w:rPr>
          <w:sz w:val="24"/>
          <w:szCs w:val="24"/>
        </w:rPr>
        <w:t xml:space="preserve"> este tipo de instrumentos</w:t>
      </w:r>
      <w:r>
        <w:rPr>
          <w:sz w:val="24"/>
          <w:szCs w:val="24"/>
        </w:rPr>
        <w:t xml:space="preserve">, especialmente en el caso de la </w:t>
      </w:r>
      <w:r w:rsidRPr="00FB7ED4">
        <w:rPr>
          <w:sz w:val="24"/>
          <w:szCs w:val="24"/>
        </w:rPr>
        <w:t>SD.</w:t>
      </w:r>
    </w:p>
    <w:p w14:paraId="5039104C" w14:textId="77777777" w:rsidR="00260FF4" w:rsidRDefault="00260FF4" w:rsidP="00260FF4">
      <w:pPr>
        <w:pStyle w:val="ListParagraph"/>
        <w:numPr>
          <w:ilvl w:val="1"/>
          <w:numId w:val="10"/>
        </w:numPr>
        <w:ind w:left="437" w:hanging="437"/>
        <w:jc w:val="both"/>
        <w:rPr>
          <w:sz w:val="24"/>
          <w:szCs w:val="24"/>
        </w:rPr>
      </w:pPr>
      <w:r w:rsidRPr="00260FF4">
        <w:rPr>
          <w:b/>
          <w:sz w:val="24"/>
          <w:szCs w:val="24"/>
        </w:rPr>
        <w:t>Algunos de los productos del proyecto destacan por su alta efectividad, eficiencia, sostenibilidad y pertinencia</w:t>
      </w:r>
      <w:r w:rsidRPr="00260FF4">
        <w:rPr>
          <w:sz w:val="24"/>
          <w:szCs w:val="24"/>
        </w:rPr>
        <w:t xml:space="preserve">, particularmente los GORE y MUNI Ejecutivos como estrategia intergubernamental que llena un vacío muy importante, y el Centro de Mejor Atención al Ciudadano que lleva los avances de modernización del Estado directamente a las personas. </w:t>
      </w:r>
    </w:p>
    <w:p w14:paraId="1B9A4F4D" w14:textId="77777777" w:rsidR="00260FF4" w:rsidRDefault="00260FF4" w:rsidP="00260FF4">
      <w:pPr>
        <w:pStyle w:val="ListParagraph"/>
        <w:ind w:left="437"/>
        <w:jc w:val="both"/>
        <w:rPr>
          <w:sz w:val="24"/>
          <w:szCs w:val="24"/>
        </w:rPr>
      </w:pPr>
    </w:p>
    <w:p w14:paraId="4A89E2AC" w14:textId="592AA4B9" w:rsidR="005A315A" w:rsidRDefault="00260FF4" w:rsidP="00260FF4">
      <w:pPr>
        <w:pStyle w:val="ListParagraph"/>
        <w:ind w:left="437"/>
        <w:jc w:val="both"/>
        <w:rPr>
          <w:sz w:val="24"/>
          <w:szCs w:val="24"/>
        </w:rPr>
      </w:pPr>
      <w:r w:rsidRPr="00260FF4">
        <w:rPr>
          <w:b/>
          <w:sz w:val="24"/>
          <w:szCs w:val="24"/>
        </w:rPr>
        <w:t>Recomendamos</w:t>
      </w:r>
      <w:r w:rsidRPr="00260FF4">
        <w:rPr>
          <w:sz w:val="24"/>
          <w:szCs w:val="24"/>
        </w:rPr>
        <w:t xml:space="preserve"> entusiastamente su continuidad</w:t>
      </w:r>
    </w:p>
    <w:p w14:paraId="5EC225A2" w14:textId="77777777" w:rsidR="00260FF4" w:rsidRPr="00260FF4" w:rsidRDefault="00260FF4" w:rsidP="00260FF4">
      <w:pPr>
        <w:pStyle w:val="ListParagraph"/>
        <w:ind w:left="437"/>
        <w:jc w:val="both"/>
        <w:rPr>
          <w:sz w:val="24"/>
          <w:szCs w:val="24"/>
        </w:rPr>
      </w:pPr>
    </w:p>
    <w:p w14:paraId="41688984" w14:textId="0F9E64B3" w:rsidR="00FB7ED4" w:rsidRPr="00FB7ED4" w:rsidRDefault="00FB7ED4" w:rsidP="000A38A0">
      <w:pPr>
        <w:pStyle w:val="ListParagraph"/>
        <w:numPr>
          <w:ilvl w:val="1"/>
          <w:numId w:val="10"/>
        </w:numPr>
        <w:ind w:left="437" w:hanging="437"/>
        <w:jc w:val="both"/>
        <w:rPr>
          <w:b/>
          <w:sz w:val="28"/>
          <w:szCs w:val="28"/>
        </w:rPr>
      </w:pPr>
      <w:r w:rsidRPr="0049590A">
        <w:rPr>
          <w:b/>
          <w:sz w:val="24"/>
          <w:szCs w:val="24"/>
        </w:rPr>
        <w:t>Para las evaluaciones de competencias transferidas, hubo un atiborramiento de información cuyo diseño metodológico fue débil. Esta información no ha sido sistematizada, ni utilizada por otras oficinas del Estado</w:t>
      </w:r>
      <w:r w:rsidRPr="0049590A">
        <w:rPr>
          <w:sz w:val="24"/>
          <w:szCs w:val="24"/>
        </w:rPr>
        <w:t xml:space="preserve">. El caso más evidente fue el de las encuestas a sociedad civil cuyo muestreo no fue probabilístico. Por ello, la información terminó siendo obsoleta, poco </w:t>
      </w:r>
      <w:r>
        <w:rPr>
          <w:sz w:val="24"/>
          <w:szCs w:val="24"/>
        </w:rPr>
        <w:t>tiempo</w:t>
      </w:r>
      <w:r w:rsidRPr="0049590A">
        <w:rPr>
          <w:sz w:val="24"/>
          <w:szCs w:val="24"/>
        </w:rPr>
        <w:t xml:space="preserve"> después de realizada la aplicación de cuestionarios</w:t>
      </w:r>
      <w:r>
        <w:rPr>
          <w:sz w:val="24"/>
          <w:szCs w:val="24"/>
        </w:rPr>
        <w:t>.</w:t>
      </w:r>
    </w:p>
    <w:p w14:paraId="4264D93E" w14:textId="2C3BB4E8" w:rsidR="00FB7ED4" w:rsidRPr="00FB7ED4" w:rsidRDefault="00FB7ED4" w:rsidP="000A38A0">
      <w:pPr>
        <w:ind w:left="437"/>
        <w:jc w:val="both"/>
        <w:rPr>
          <w:b/>
          <w:sz w:val="28"/>
          <w:szCs w:val="28"/>
        </w:rPr>
      </w:pPr>
      <w:r w:rsidRPr="00FB7ED4">
        <w:rPr>
          <w:b/>
          <w:sz w:val="24"/>
          <w:szCs w:val="24"/>
        </w:rPr>
        <w:t>Se recomienda</w:t>
      </w:r>
      <w:r w:rsidRPr="00FB7ED4">
        <w:rPr>
          <w:sz w:val="24"/>
          <w:szCs w:val="24"/>
        </w:rPr>
        <w:t xml:space="preserve"> utilizar otros métodos de recolección de información (por ejemplo, una encuesta nacional probabilística</w:t>
      </w:r>
      <w:r>
        <w:rPr>
          <w:sz w:val="24"/>
          <w:szCs w:val="24"/>
        </w:rPr>
        <w:t xml:space="preserve"> o integrar puntuales preguntas en las Encuestas Nacionales que se realizan habitualmente</w:t>
      </w:r>
      <w:r w:rsidRPr="00FB7ED4">
        <w:rPr>
          <w:sz w:val="24"/>
          <w:szCs w:val="24"/>
        </w:rPr>
        <w:t>) para conocer la opinión de la ciudadanía sobre el uso de los servicios públicos</w:t>
      </w:r>
      <w:r>
        <w:rPr>
          <w:sz w:val="24"/>
          <w:szCs w:val="24"/>
        </w:rPr>
        <w:t>.</w:t>
      </w:r>
    </w:p>
    <w:p w14:paraId="057C1EE4" w14:textId="4E27424C" w:rsidR="00FB7ED4" w:rsidRPr="00FF59CD" w:rsidRDefault="00FF59CD" w:rsidP="000A38A0">
      <w:pPr>
        <w:pStyle w:val="ListParagraph"/>
        <w:numPr>
          <w:ilvl w:val="1"/>
          <w:numId w:val="10"/>
        </w:numPr>
        <w:ind w:left="437" w:hanging="437"/>
        <w:jc w:val="both"/>
        <w:rPr>
          <w:b/>
          <w:sz w:val="28"/>
          <w:szCs w:val="28"/>
        </w:rPr>
      </w:pPr>
      <w:r w:rsidRPr="0049590A">
        <w:rPr>
          <w:b/>
          <w:sz w:val="24"/>
          <w:szCs w:val="24"/>
        </w:rPr>
        <w:t>Las evaluaciones</w:t>
      </w:r>
      <w:r>
        <w:rPr>
          <w:b/>
          <w:sz w:val="24"/>
          <w:szCs w:val="24"/>
        </w:rPr>
        <w:t xml:space="preserve"> de competencias transferidas</w:t>
      </w:r>
      <w:r w:rsidRPr="0049590A">
        <w:rPr>
          <w:b/>
          <w:sz w:val="24"/>
          <w:szCs w:val="24"/>
        </w:rPr>
        <w:t xml:space="preserve"> fueron un esfuerzo demasiado grande para la PMC durante tres años para que luego el proceso de diseño e implementación de las AMC qued</w:t>
      </w:r>
      <w:r>
        <w:rPr>
          <w:b/>
          <w:sz w:val="24"/>
          <w:szCs w:val="24"/>
        </w:rPr>
        <w:t>ara</w:t>
      </w:r>
      <w:r w:rsidRPr="0049590A">
        <w:rPr>
          <w:b/>
          <w:sz w:val="24"/>
          <w:szCs w:val="24"/>
        </w:rPr>
        <w:t xml:space="preserve"> en manos de los sectores</w:t>
      </w:r>
      <w:r w:rsidRPr="0049590A">
        <w:rPr>
          <w:sz w:val="24"/>
          <w:szCs w:val="24"/>
        </w:rPr>
        <w:t>. El esquema de incentivos de las AMC contenido en la Resolución 009-2015-PCM/SD era perverso: obligaba a los sectores a avanzar medidas por las que luego la Secretaría de Descentralización los supervisaría. De allí que no haya habido incentivos para que los sectores avancen más allá de la etapa de diseño de las AMC (etapa 3 de 9)</w:t>
      </w:r>
    </w:p>
    <w:p w14:paraId="30E0F02F" w14:textId="182AF366" w:rsidR="00FF59CD" w:rsidRPr="00FF59CD" w:rsidRDefault="00FF59CD" w:rsidP="000A38A0">
      <w:pPr>
        <w:ind w:left="437"/>
        <w:jc w:val="both"/>
        <w:rPr>
          <w:b/>
          <w:sz w:val="28"/>
          <w:szCs w:val="28"/>
        </w:rPr>
      </w:pPr>
      <w:r w:rsidRPr="00FB7ED4">
        <w:rPr>
          <w:b/>
          <w:sz w:val="24"/>
          <w:szCs w:val="24"/>
        </w:rPr>
        <w:t>Se recomienda</w:t>
      </w:r>
      <w:r w:rsidR="00C05EC8" w:rsidRPr="00C05EC8">
        <w:rPr>
          <w:sz w:val="24"/>
          <w:szCs w:val="24"/>
        </w:rPr>
        <w:t xml:space="preserve"> que las iniciativas de trabajo intersectorial e intergubernamental sean acotadas a un mandato de gobierno regional de manera que al término </w:t>
      </w:r>
      <w:r w:rsidR="00004754" w:rsidRPr="00C05EC8">
        <w:rPr>
          <w:sz w:val="24"/>
          <w:szCs w:val="24"/>
        </w:rPr>
        <w:t>de este</w:t>
      </w:r>
      <w:bookmarkStart w:id="17" w:name="_GoBack"/>
      <w:bookmarkEnd w:id="17"/>
      <w:r w:rsidR="00EE411D" w:rsidRPr="00C05EC8">
        <w:rPr>
          <w:sz w:val="24"/>
          <w:szCs w:val="24"/>
        </w:rPr>
        <w:t xml:space="preserve"> se</w:t>
      </w:r>
      <w:r w:rsidR="00C05EC8" w:rsidRPr="00C05EC8">
        <w:rPr>
          <w:sz w:val="24"/>
          <w:szCs w:val="24"/>
        </w:rPr>
        <w:t xml:space="preserve"> pueda realizar una evaluación conjunta y preparar la transferencia al </w:t>
      </w:r>
      <w:r w:rsidR="00C05EC8" w:rsidRPr="00C05EC8">
        <w:rPr>
          <w:sz w:val="24"/>
          <w:szCs w:val="24"/>
        </w:rPr>
        <w:lastRenderedPageBreak/>
        <w:t>siguiente en caso la iniciativa continúe. Por otro lado, actividades con la prevista con 9 etapas y diversos actores (25 gobiernos regionales –de alta diversidad entre ellos- y diferentes ministerios), tienen mucho riesgo de incumplimiento y de falta de continuidad, así como dificultad de monitoreo. En caso de que la actividad requiera de la intervención directa de otros sectores, se requieren instrumentos más fuertes de compromiso</w:t>
      </w:r>
      <w:r>
        <w:rPr>
          <w:sz w:val="24"/>
          <w:szCs w:val="24"/>
        </w:rPr>
        <w:t>.</w:t>
      </w:r>
    </w:p>
    <w:p w14:paraId="532745FC" w14:textId="679E0D54" w:rsidR="00FF59CD" w:rsidRPr="00FF59CD" w:rsidRDefault="00FF59CD" w:rsidP="000A38A0">
      <w:pPr>
        <w:pStyle w:val="ListParagraph"/>
        <w:numPr>
          <w:ilvl w:val="1"/>
          <w:numId w:val="10"/>
        </w:numPr>
        <w:ind w:left="437" w:hanging="437"/>
        <w:jc w:val="both"/>
        <w:rPr>
          <w:b/>
          <w:sz w:val="28"/>
          <w:szCs w:val="28"/>
        </w:rPr>
      </w:pPr>
      <w:r w:rsidRPr="0049590A">
        <w:rPr>
          <w:b/>
          <w:sz w:val="24"/>
          <w:szCs w:val="24"/>
        </w:rPr>
        <w:t>La ausencia de memoria institucional ha sido un problema para una evaluación completa del proyecto.</w:t>
      </w:r>
      <w:r w:rsidRPr="0049590A">
        <w:rPr>
          <w:sz w:val="24"/>
          <w:szCs w:val="24"/>
        </w:rPr>
        <w:t xml:space="preserve"> Hasta la fecha de cierre de esta consultoría, no hemos recibido los diagnósticos trabajados durante los primeros años del proyecto (2010-2012), los que se encontraban guardados en el archivo de PCM. </w:t>
      </w:r>
      <w:r>
        <w:rPr>
          <w:sz w:val="24"/>
          <w:szCs w:val="24"/>
        </w:rPr>
        <w:t xml:space="preserve">Cambios institucionales, por otro lado, como el cambio del ROF de la PCM que introduce cambios importantes en las funciones y actividades de sus oficinas, acarrean también problemas de memoria institucional, máxime si el personal, además, rota. </w:t>
      </w:r>
    </w:p>
    <w:p w14:paraId="7C01C7AE" w14:textId="453B49F9" w:rsidR="00FF59CD" w:rsidRPr="00FF59CD" w:rsidRDefault="00FF59CD" w:rsidP="000A38A0">
      <w:pPr>
        <w:ind w:left="437"/>
        <w:jc w:val="both"/>
        <w:rPr>
          <w:b/>
          <w:sz w:val="28"/>
          <w:szCs w:val="28"/>
        </w:rPr>
      </w:pPr>
      <w:r w:rsidRPr="00FF59CD">
        <w:rPr>
          <w:b/>
          <w:sz w:val="24"/>
          <w:szCs w:val="24"/>
        </w:rPr>
        <w:t>Se recomienda</w:t>
      </w:r>
      <w:r w:rsidRPr="00FB7ED4">
        <w:rPr>
          <w:sz w:val="24"/>
          <w:szCs w:val="24"/>
        </w:rPr>
        <w:t xml:space="preserve"> una mejor disposición del material trabajado</w:t>
      </w:r>
      <w:r>
        <w:rPr>
          <w:sz w:val="24"/>
          <w:szCs w:val="24"/>
        </w:rPr>
        <w:t>, que permita su fácil acceso, y aplicamos aquí también la Recomendación asociada a la conclusión 5.1.</w:t>
      </w:r>
    </w:p>
    <w:p w14:paraId="3572465A" w14:textId="631C9518" w:rsidR="00FF59CD" w:rsidRPr="00FF59CD" w:rsidRDefault="00FF59CD" w:rsidP="000A38A0">
      <w:pPr>
        <w:pStyle w:val="ListParagraph"/>
        <w:numPr>
          <w:ilvl w:val="1"/>
          <w:numId w:val="10"/>
        </w:numPr>
        <w:ind w:left="437" w:hanging="437"/>
        <w:jc w:val="both"/>
        <w:rPr>
          <w:b/>
          <w:sz w:val="28"/>
          <w:szCs w:val="28"/>
        </w:rPr>
      </w:pPr>
      <w:r w:rsidRPr="0049590A">
        <w:rPr>
          <w:b/>
          <w:sz w:val="24"/>
          <w:szCs w:val="24"/>
        </w:rPr>
        <w:t>En lo referente al MAC Lima Este, ha habido problemas vinculados a percepciones distintas sobre las disposiciones contractuales que rigen la relación entre PCM y PNUD</w:t>
      </w:r>
    </w:p>
    <w:p w14:paraId="7FBDA5B4" w14:textId="53842D95" w:rsidR="00FF59CD" w:rsidRPr="00FF59CD" w:rsidRDefault="00FF59CD" w:rsidP="000A38A0">
      <w:pPr>
        <w:ind w:left="437"/>
        <w:jc w:val="both"/>
        <w:rPr>
          <w:b/>
          <w:sz w:val="28"/>
          <w:szCs w:val="28"/>
        </w:rPr>
      </w:pPr>
      <w:r w:rsidRPr="00FF59CD">
        <w:rPr>
          <w:b/>
          <w:sz w:val="24"/>
          <w:szCs w:val="24"/>
        </w:rPr>
        <w:t>Se sugiere</w:t>
      </w:r>
      <w:r w:rsidRPr="0049590A">
        <w:rPr>
          <w:sz w:val="24"/>
          <w:szCs w:val="24"/>
        </w:rPr>
        <w:t xml:space="preserve"> explorar la posibilidad de que haya una supervisión conjunta entre PCM y PNUD sobre el contratista para evitar problemas, de tal manera que sólo frente a la aprobación conjunta de ambos se desembolsen los pagos. Se podría establecer un “comité de gestión de los avances físicos y financieros” como mecanismo concertado que apoye la ejecución presupuestal y física. Otra opción podría pasar porque la supervisión recaiga en el usuario, en tanto que la ejecución está manos de PNUD. En cualquier caso, es ineludible que PNUD y PCM puedan sostener conversaciones pronto sobre sus expectativas en el cumplimiento financiero y operativo de sus futuros proyectos</w:t>
      </w:r>
    </w:p>
    <w:p w14:paraId="5A90B726" w14:textId="5EEA9E8F" w:rsidR="00FF59CD" w:rsidRPr="00FF59CD" w:rsidRDefault="00FF59CD" w:rsidP="000A38A0">
      <w:pPr>
        <w:pStyle w:val="ListParagraph"/>
        <w:numPr>
          <w:ilvl w:val="1"/>
          <w:numId w:val="10"/>
        </w:numPr>
        <w:ind w:left="437" w:hanging="437"/>
        <w:jc w:val="both"/>
        <w:rPr>
          <w:b/>
          <w:sz w:val="28"/>
          <w:szCs w:val="28"/>
        </w:rPr>
      </w:pPr>
      <w:r w:rsidRPr="0049590A">
        <w:rPr>
          <w:b/>
          <w:sz w:val="24"/>
          <w:szCs w:val="24"/>
        </w:rPr>
        <w:t xml:space="preserve">Las actividades de apoyo a la coordinación interinstitucional en el período 2010-2016 </w:t>
      </w:r>
      <w:r>
        <w:rPr>
          <w:b/>
          <w:sz w:val="24"/>
          <w:szCs w:val="24"/>
        </w:rPr>
        <w:t>fueron</w:t>
      </w:r>
      <w:r w:rsidRPr="0049590A">
        <w:rPr>
          <w:b/>
          <w:sz w:val="24"/>
          <w:szCs w:val="24"/>
        </w:rPr>
        <w:t xml:space="preserve"> las más dispersas y por ende </w:t>
      </w:r>
      <w:r>
        <w:rPr>
          <w:b/>
          <w:sz w:val="24"/>
          <w:szCs w:val="24"/>
        </w:rPr>
        <w:t>las</w:t>
      </w:r>
      <w:r w:rsidRPr="0049590A">
        <w:rPr>
          <w:b/>
          <w:sz w:val="24"/>
          <w:szCs w:val="24"/>
        </w:rPr>
        <w:t xml:space="preserve"> menos articuladas a la consecución de un resultado específico</w:t>
      </w:r>
      <w:r w:rsidRPr="0049590A">
        <w:rPr>
          <w:sz w:val="24"/>
          <w:szCs w:val="24"/>
        </w:rPr>
        <w:t>. En concreto, no se especifica cómo las consultorías y acciones encargadas en temas tan disímiles se tradujeron en políticas que apoyaran dicha coordinación, más allá de apoyos puntuales</w:t>
      </w:r>
      <w:r>
        <w:rPr>
          <w:sz w:val="24"/>
          <w:szCs w:val="24"/>
        </w:rPr>
        <w:t>.</w:t>
      </w:r>
    </w:p>
    <w:p w14:paraId="69D1B295" w14:textId="519C7D67" w:rsidR="00FF59CD" w:rsidRPr="00FF59CD" w:rsidRDefault="00FF59CD" w:rsidP="000A38A0">
      <w:pPr>
        <w:ind w:left="437"/>
        <w:jc w:val="both"/>
        <w:rPr>
          <w:b/>
          <w:sz w:val="28"/>
          <w:szCs w:val="28"/>
        </w:rPr>
      </w:pPr>
      <w:r w:rsidRPr="00FF59CD">
        <w:rPr>
          <w:sz w:val="24"/>
          <w:szCs w:val="24"/>
        </w:rPr>
        <w:t xml:space="preserve">Se recomienda una mejor articulación de futuros componentes de coordinación interinstitucional a una “teoría de cambio” que brinde cierto “anclaje” de las actividades en torno al objetivo que se quiere lograr. Sin embargo, años después, los GORE sí han sido positivos en el acercamiento del gobierno central con los </w:t>
      </w:r>
      <w:r>
        <w:rPr>
          <w:sz w:val="24"/>
          <w:szCs w:val="24"/>
        </w:rPr>
        <w:t xml:space="preserve">gobiernos </w:t>
      </w:r>
      <w:r w:rsidRPr="00FF59CD">
        <w:rPr>
          <w:sz w:val="24"/>
          <w:szCs w:val="24"/>
        </w:rPr>
        <w:t>subnacionales.</w:t>
      </w:r>
    </w:p>
    <w:p w14:paraId="371FED98" w14:textId="79603A1E" w:rsidR="00FF59CD" w:rsidRPr="00FF59CD" w:rsidRDefault="00FF59CD" w:rsidP="000A38A0">
      <w:pPr>
        <w:pStyle w:val="ListParagraph"/>
        <w:numPr>
          <w:ilvl w:val="1"/>
          <w:numId w:val="10"/>
        </w:numPr>
        <w:ind w:left="437" w:hanging="437"/>
        <w:jc w:val="both"/>
        <w:rPr>
          <w:b/>
          <w:sz w:val="28"/>
          <w:szCs w:val="28"/>
        </w:rPr>
      </w:pPr>
      <w:r>
        <w:rPr>
          <w:b/>
          <w:sz w:val="24"/>
          <w:szCs w:val="24"/>
        </w:rPr>
        <w:t xml:space="preserve">A pesar de la alta calidad de </w:t>
      </w:r>
      <w:proofErr w:type="spellStart"/>
      <w:r w:rsidRPr="0049590A">
        <w:rPr>
          <w:b/>
          <w:sz w:val="24"/>
          <w:szCs w:val="24"/>
        </w:rPr>
        <w:t>Sayhuite</w:t>
      </w:r>
      <w:proofErr w:type="spellEnd"/>
      <w:r>
        <w:rPr>
          <w:b/>
          <w:sz w:val="24"/>
          <w:szCs w:val="24"/>
        </w:rPr>
        <w:t>, el sistema está poco posicionado</w:t>
      </w:r>
      <w:r w:rsidRPr="0049590A">
        <w:rPr>
          <w:b/>
          <w:sz w:val="24"/>
          <w:szCs w:val="24"/>
        </w:rPr>
        <w:t xml:space="preserve"> entre las instituciones nacionales, los gobiernos regionales y locales. </w:t>
      </w:r>
      <w:r w:rsidRPr="0049590A">
        <w:rPr>
          <w:sz w:val="24"/>
          <w:szCs w:val="24"/>
        </w:rPr>
        <w:t xml:space="preserve">Estas oficinas siguen </w:t>
      </w:r>
      <w:r w:rsidRPr="0049590A">
        <w:rPr>
          <w:sz w:val="24"/>
          <w:szCs w:val="24"/>
        </w:rPr>
        <w:lastRenderedPageBreak/>
        <w:t>utilizando principalmente sus propios métodos de recolección y fuentes de información espacial.</w:t>
      </w:r>
    </w:p>
    <w:p w14:paraId="24B6FA70" w14:textId="4B49540A" w:rsidR="00FF59CD" w:rsidRPr="00FF59CD" w:rsidRDefault="00FF59CD" w:rsidP="000A38A0">
      <w:pPr>
        <w:ind w:left="437"/>
        <w:jc w:val="both"/>
        <w:rPr>
          <w:b/>
          <w:sz w:val="28"/>
          <w:szCs w:val="28"/>
        </w:rPr>
      </w:pPr>
      <w:r w:rsidRPr="0049590A">
        <w:rPr>
          <w:sz w:val="24"/>
          <w:szCs w:val="24"/>
        </w:rPr>
        <w:t>Para ello, recomendamos diseminar su uso entre las nuevas autoridades subnacionales que asumirán funciones desde el próximo año mediante documentos que expliquen el sistema y eventuales concursos de uso de la información contenida</w:t>
      </w:r>
      <w:r>
        <w:rPr>
          <w:sz w:val="24"/>
          <w:szCs w:val="24"/>
        </w:rPr>
        <w:t>. Difundir en otros sectores que manejan información, como la academia, puede también redundar en su mayor uso en el Estado</w:t>
      </w:r>
    </w:p>
    <w:p w14:paraId="7BA28436" w14:textId="672D8044" w:rsidR="00FF59CD" w:rsidRPr="00FF59CD" w:rsidRDefault="00FF59CD" w:rsidP="000A38A0">
      <w:pPr>
        <w:pStyle w:val="ListParagraph"/>
        <w:numPr>
          <w:ilvl w:val="1"/>
          <w:numId w:val="10"/>
        </w:numPr>
        <w:ind w:left="437" w:hanging="437"/>
        <w:jc w:val="both"/>
        <w:rPr>
          <w:b/>
          <w:sz w:val="28"/>
          <w:szCs w:val="28"/>
        </w:rPr>
      </w:pPr>
      <w:r w:rsidRPr="0049590A">
        <w:rPr>
          <w:b/>
          <w:sz w:val="24"/>
          <w:szCs w:val="24"/>
        </w:rPr>
        <w:t xml:space="preserve">Importancia de que el uso de enfoques priorizados esté explicitado en los reportes del proyecto. </w:t>
      </w:r>
      <w:r w:rsidRPr="0049590A">
        <w:rPr>
          <w:sz w:val="24"/>
          <w:szCs w:val="24"/>
        </w:rPr>
        <w:t>Si bien hemos encontrado evidencia del uso de enfoques priorizados por PNUD en los planes de trabajo de 2016, en la implementación de las actividades no queda claro que este uso haya sido a propósito de una directiva explicita por parte de las secretarías de PCM de integrar los enfoques de derechos humanos, territorialidad, género o interculturalidad.</w:t>
      </w:r>
    </w:p>
    <w:p w14:paraId="579EA657" w14:textId="5E1C0151" w:rsidR="00FF59CD" w:rsidRPr="00FF59CD" w:rsidRDefault="00FF59CD" w:rsidP="000A38A0">
      <w:pPr>
        <w:ind w:left="437"/>
        <w:jc w:val="both"/>
        <w:rPr>
          <w:b/>
          <w:sz w:val="28"/>
          <w:szCs w:val="28"/>
        </w:rPr>
      </w:pPr>
      <w:r w:rsidRPr="0049590A">
        <w:rPr>
          <w:sz w:val="24"/>
          <w:szCs w:val="24"/>
        </w:rPr>
        <w:t>Se recomienda que los reportes anuales de futuros proyectos a PNUD incluyan un acápite específico sobre cómo durante el año se han integrado los enfoques a la implementación de dichas actividades. Eventualmente esto requerirá de la elaboración de consultorías que sirvan de guía a la inclusión de estos enfoques para el trabajo de las secretarías de Gestión Pública, Descentralización y Gobierno Digital.</w:t>
      </w:r>
    </w:p>
    <w:p w14:paraId="4AD8ACCA" w14:textId="77777777" w:rsidR="00265FAA" w:rsidRDefault="00265FAA" w:rsidP="00265FAA">
      <w:pPr>
        <w:pStyle w:val="ListParagraph"/>
      </w:pPr>
    </w:p>
    <w:p w14:paraId="4C58DD96" w14:textId="63FBAD1E" w:rsidR="00E07F95" w:rsidRDefault="00E07F95">
      <w:r>
        <w:br w:type="page"/>
      </w:r>
    </w:p>
    <w:p w14:paraId="703C7E06" w14:textId="77777777" w:rsidR="0049590A" w:rsidRDefault="007C54D1" w:rsidP="00163457">
      <w:pPr>
        <w:pStyle w:val="ListParagraph"/>
        <w:numPr>
          <w:ilvl w:val="0"/>
          <w:numId w:val="10"/>
        </w:numPr>
        <w:jc w:val="both"/>
        <w:outlineLvl w:val="0"/>
        <w:rPr>
          <w:b/>
          <w:sz w:val="28"/>
          <w:szCs w:val="28"/>
        </w:rPr>
      </w:pPr>
      <w:bookmarkStart w:id="18" w:name="_Toc523393996"/>
      <w:r w:rsidRPr="00A66698">
        <w:rPr>
          <w:b/>
          <w:sz w:val="28"/>
          <w:szCs w:val="28"/>
        </w:rPr>
        <w:lastRenderedPageBreak/>
        <w:t>Anexo</w:t>
      </w:r>
      <w:bookmarkEnd w:id="18"/>
      <w:r w:rsidRPr="00A66698">
        <w:rPr>
          <w:b/>
          <w:sz w:val="28"/>
          <w:szCs w:val="28"/>
        </w:rPr>
        <w:t xml:space="preserve"> </w:t>
      </w:r>
    </w:p>
    <w:p w14:paraId="504818F3" w14:textId="77777777" w:rsidR="0049590A" w:rsidRPr="0049590A" w:rsidRDefault="0049590A" w:rsidP="0049590A">
      <w:pPr>
        <w:jc w:val="both"/>
        <w:outlineLvl w:val="0"/>
        <w:rPr>
          <w:b/>
          <w:sz w:val="28"/>
          <w:szCs w:val="28"/>
        </w:rPr>
      </w:pPr>
    </w:p>
    <w:p w14:paraId="4D6B97B3" w14:textId="1737BC86" w:rsidR="00666520" w:rsidRPr="00A66698" w:rsidRDefault="0049590A" w:rsidP="000A38A0">
      <w:pPr>
        <w:pStyle w:val="ListParagraph"/>
        <w:numPr>
          <w:ilvl w:val="1"/>
          <w:numId w:val="10"/>
        </w:numPr>
        <w:jc w:val="both"/>
        <w:outlineLvl w:val="1"/>
        <w:rPr>
          <w:b/>
          <w:sz w:val="28"/>
          <w:szCs w:val="28"/>
        </w:rPr>
      </w:pPr>
      <w:bookmarkStart w:id="19" w:name="_Toc523393997"/>
      <w:r>
        <w:rPr>
          <w:b/>
          <w:sz w:val="28"/>
          <w:szCs w:val="28"/>
        </w:rPr>
        <w:t>Entrevistas realizadas</w:t>
      </w:r>
      <w:bookmarkEnd w:id="19"/>
    </w:p>
    <w:p w14:paraId="214C7F2A" w14:textId="2408C4AA" w:rsidR="00666520" w:rsidRDefault="00666520" w:rsidP="00666520">
      <w:pPr>
        <w:rPr>
          <w:b/>
        </w:rPr>
      </w:pPr>
    </w:p>
    <w:tbl>
      <w:tblPr>
        <w:tblW w:w="0" w:type="auto"/>
        <w:tblCellMar>
          <w:left w:w="70" w:type="dxa"/>
          <w:right w:w="70" w:type="dxa"/>
        </w:tblCellMar>
        <w:tblLook w:val="04A0" w:firstRow="1" w:lastRow="0" w:firstColumn="1" w:lastColumn="0" w:noHBand="0" w:noVBand="1"/>
      </w:tblPr>
      <w:tblGrid>
        <w:gridCol w:w="364"/>
        <w:gridCol w:w="2089"/>
        <w:gridCol w:w="4243"/>
        <w:gridCol w:w="1948"/>
      </w:tblGrid>
      <w:tr w:rsidR="007F2CC8" w:rsidRPr="007F2CC8" w14:paraId="0DC50F1D" w14:textId="77777777" w:rsidTr="007F2CC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AE024" w14:textId="77777777" w:rsidR="007F2CC8" w:rsidRPr="007F2CC8" w:rsidRDefault="007F2CC8" w:rsidP="007F2CC8">
            <w:pPr>
              <w:spacing w:after="0" w:line="240" w:lineRule="auto"/>
              <w:rPr>
                <w:rFonts w:ascii="Calibri" w:eastAsia="Times New Roman" w:hAnsi="Calibri" w:cs="Times New Roman"/>
                <w:b/>
                <w:bCs/>
                <w:color w:val="000000"/>
                <w:lang w:eastAsia="es-PE"/>
              </w:rPr>
            </w:pPr>
            <w:r w:rsidRPr="007F2CC8">
              <w:rPr>
                <w:rFonts w:ascii="Calibri" w:eastAsia="Times New Roman" w:hAnsi="Calibri" w:cs="Times New Roman"/>
                <w:b/>
                <w:bCs/>
                <w:color w:val="000000"/>
                <w:lang w:eastAsia="es-PE"/>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A57BD9" w14:textId="77777777" w:rsidR="007F2CC8" w:rsidRPr="007F2CC8" w:rsidRDefault="007F2CC8" w:rsidP="007F2CC8">
            <w:pPr>
              <w:spacing w:after="0" w:line="240" w:lineRule="auto"/>
              <w:rPr>
                <w:rFonts w:ascii="Calibri" w:eastAsia="Times New Roman" w:hAnsi="Calibri" w:cs="Times New Roman"/>
                <w:b/>
                <w:bCs/>
                <w:color w:val="000000"/>
                <w:lang w:eastAsia="es-PE"/>
              </w:rPr>
            </w:pPr>
            <w:r w:rsidRPr="007F2CC8">
              <w:rPr>
                <w:rFonts w:ascii="Calibri" w:eastAsia="Times New Roman" w:hAnsi="Calibri" w:cs="Times New Roman"/>
                <w:b/>
                <w:bCs/>
                <w:color w:val="000000"/>
                <w:lang w:eastAsia="es-PE"/>
              </w:rPr>
              <w:t>Nombre</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F8D2B90" w14:textId="77777777" w:rsidR="007F2CC8" w:rsidRPr="007F2CC8" w:rsidRDefault="007F2CC8" w:rsidP="007F2CC8">
            <w:pPr>
              <w:spacing w:after="0" w:line="240" w:lineRule="auto"/>
              <w:rPr>
                <w:rFonts w:ascii="Calibri" w:eastAsia="Times New Roman" w:hAnsi="Calibri" w:cs="Times New Roman"/>
                <w:b/>
                <w:bCs/>
                <w:color w:val="000000"/>
                <w:lang w:eastAsia="es-PE"/>
              </w:rPr>
            </w:pPr>
            <w:r w:rsidRPr="007F2CC8">
              <w:rPr>
                <w:rFonts w:ascii="Calibri" w:eastAsia="Times New Roman" w:hAnsi="Calibri" w:cs="Times New Roman"/>
                <w:b/>
                <w:bCs/>
                <w:color w:val="000000"/>
                <w:lang w:eastAsia="es-PE"/>
              </w:rPr>
              <w:t>Cargo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5CD3DB4" w14:textId="77777777" w:rsidR="007F2CC8" w:rsidRPr="007F2CC8" w:rsidRDefault="007F2CC8" w:rsidP="007F2CC8">
            <w:pPr>
              <w:spacing w:after="0" w:line="240" w:lineRule="auto"/>
              <w:rPr>
                <w:rFonts w:ascii="Calibri" w:eastAsia="Times New Roman" w:hAnsi="Calibri" w:cs="Times New Roman"/>
                <w:b/>
                <w:bCs/>
                <w:color w:val="000000"/>
                <w:lang w:eastAsia="es-PE"/>
              </w:rPr>
            </w:pPr>
            <w:r w:rsidRPr="007F2CC8">
              <w:rPr>
                <w:rFonts w:ascii="Calibri" w:eastAsia="Times New Roman" w:hAnsi="Calibri" w:cs="Times New Roman"/>
                <w:b/>
                <w:bCs/>
                <w:color w:val="000000"/>
                <w:lang w:eastAsia="es-PE"/>
              </w:rPr>
              <w:t>Fecha</w:t>
            </w:r>
          </w:p>
        </w:tc>
      </w:tr>
      <w:tr w:rsidR="007F2CC8" w:rsidRPr="007F2CC8" w14:paraId="75B8A80C" w14:textId="77777777" w:rsidTr="007F2C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E19484" w14:textId="77777777" w:rsidR="007F2CC8" w:rsidRPr="007F2CC8" w:rsidRDefault="007F2CC8" w:rsidP="007F2CC8">
            <w:pPr>
              <w:spacing w:after="0" w:line="240" w:lineRule="auto"/>
              <w:jc w:val="right"/>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1</w:t>
            </w:r>
          </w:p>
        </w:tc>
        <w:tc>
          <w:tcPr>
            <w:tcW w:w="0" w:type="auto"/>
            <w:tcBorders>
              <w:top w:val="nil"/>
              <w:left w:val="nil"/>
              <w:bottom w:val="single" w:sz="4" w:space="0" w:color="auto"/>
              <w:right w:val="single" w:sz="4" w:space="0" w:color="auto"/>
            </w:tcBorders>
            <w:shd w:val="clear" w:color="auto" w:fill="auto"/>
            <w:noWrap/>
            <w:vAlign w:val="bottom"/>
            <w:hideMark/>
          </w:tcPr>
          <w:p w14:paraId="780B62A4"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Leonor Suárez</w:t>
            </w:r>
          </w:p>
        </w:tc>
        <w:tc>
          <w:tcPr>
            <w:tcW w:w="0" w:type="auto"/>
            <w:tcBorders>
              <w:top w:val="nil"/>
              <w:left w:val="nil"/>
              <w:bottom w:val="single" w:sz="4" w:space="0" w:color="auto"/>
              <w:right w:val="single" w:sz="4" w:space="0" w:color="auto"/>
            </w:tcBorders>
            <w:shd w:val="clear" w:color="auto" w:fill="auto"/>
            <w:vAlign w:val="bottom"/>
            <w:hideMark/>
          </w:tcPr>
          <w:p w14:paraId="67D433D9"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Oficial de gobernabilidad PNUD</w:t>
            </w:r>
          </w:p>
        </w:tc>
        <w:tc>
          <w:tcPr>
            <w:tcW w:w="0" w:type="auto"/>
            <w:tcBorders>
              <w:top w:val="nil"/>
              <w:left w:val="nil"/>
              <w:bottom w:val="single" w:sz="4" w:space="0" w:color="auto"/>
              <w:right w:val="single" w:sz="4" w:space="0" w:color="auto"/>
            </w:tcBorders>
            <w:shd w:val="clear" w:color="auto" w:fill="auto"/>
            <w:noWrap/>
            <w:vAlign w:val="bottom"/>
            <w:hideMark/>
          </w:tcPr>
          <w:p w14:paraId="52D5F8DA"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4 de julio de 2018</w:t>
            </w:r>
          </w:p>
        </w:tc>
      </w:tr>
      <w:tr w:rsidR="007F2CC8" w:rsidRPr="007F2CC8" w14:paraId="07BAADCA" w14:textId="77777777" w:rsidTr="007F2C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13C0EE" w14:textId="77777777" w:rsidR="007F2CC8" w:rsidRPr="007F2CC8" w:rsidRDefault="007F2CC8" w:rsidP="007F2CC8">
            <w:pPr>
              <w:spacing w:after="0" w:line="240" w:lineRule="auto"/>
              <w:jc w:val="right"/>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2</w:t>
            </w:r>
          </w:p>
        </w:tc>
        <w:tc>
          <w:tcPr>
            <w:tcW w:w="0" w:type="auto"/>
            <w:tcBorders>
              <w:top w:val="nil"/>
              <w:left w:val="nil"/>
              <w:bottom w:val="single" w:sz="4" w:space="0" w:color="auto"/>
              <w:right w:val="single" w:sz="4" w:space="0" w:color="auto"/>
            </w:tcBorders>
            <w:shd w:val="clear" w:color="auto" w:fill="auto"/>
            <w:noWrap/>
            <w:vAlign w:val="bottom"/>
            <w:hideMark/>
          </w:tcPr>
          <w:p w14:paraId="38DD4BF2"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Marco Iván Rodríguez</w:t>
            </w:r>
          </w:p>
        </w:tc>
        <w:tc>
          <w:tcPr>
            <w:tcW w:w="0" w:type="auto"/>
            <w:tcBorders>
              <w:top w:val="nil"/>
              <w:left w:val="nil"/>
              <w:bottom w:val="single" w:sz="4" w:space="0" w:color="auto"/>
              <w:right w:val="single" w:sz="4" w:space="0" w:color="auto"/>
            </w:tcBorders>
            <w:shd w:val="clear" w:color="auto" w:fill="auto"/>
            <w:vAlign w:val="bottom"/>
            <w:hideMark/>
          </w:tcPr>
          <w:p w14:paraId="1CB74275"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Especialista en el Registro de Mancomunidades</w:t>
            </w:r>
          </w:p>
        </w:tc>
        <w:tc>
          <w:tcPr>
            <w:tcW w:w="0" w:type="auto"/>
            <w:tcBorders>
              <w:top w:val="nil"/>
              <w:left w:val="nil"/>
              <w:bottom w:val="single" w:sz="4" w:space="0" w:color="auto"/>
              <w:right w:val="single" w:sz="4" w:space="0" w:color="auto"/>
            </w:tcBorders>
            <w:shd w:val="clear" w:color="auto" w:fill="auto"/>
            <w:noWrap/>
            <w:vAlign w:val="bottom"/>
            <w:hideMark/>
          </w:tcPr>
          <w:p w14:paraId="3D7D372E"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12 de julio de 2018</w:t>
            </w:r>
          </w:p>
        </w:tc>
      </w:tr>
      <w:tr w:rsidR="007F2CC8" w:rsidRPr="007F2CC8" w14:paraId="299C403B" w14:textId="77777777" w:rsidTr="007F2CC8">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A9DC33" w14:textId="77777777" w:rsidR="007F2CC8" w:rsidRPr="007F2CC8" w:rsidRDefault="007F2CC8" w:rsidP="007F2CC8">
            <w:pPr>
              <w:spacing w:after="0" w:line="240" w:lineRule="auto"/>
              <w:jc w:val="right"/>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3</w:t>
            </w:r>
          </w:p>
        </w:tc>
        <w:tc>
          <w:tcPr>
            <w:tcW w:w="0" w:type="auto"/>
            <w:tcBorders>
              <w:top w:val="nil"/>
              <w:left w:val="nil"/>
              <w:bottom w:val="single" w:sz="4" w:space="0" w:color="auto"/>
              <w:right w:val="single" w:sz="4" w:space="0" w:color="auto"/>
            </w:tcBorders>
            <w:shd w:val="clear" w:color="auto" w:fill="auto"/>
            <w:noWrap/>
            <w:vAlign w:val="bottom"/>
            <w:hideMark/>
          </w:tcPr>
          <w:p w14:paraId="527164BF"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 xml:space="preserve">Omar </w:t>
            </w:r>
            <w:proofErr w:type="spellStart"/>
            <w:r w:rsidRPr="007F2CC8">
              <w:rPr>
                <w:rFonts w:ascii="Calibri" w:eastAsia="Times New Roman" w:hAnsi="Calibri" w:cs="Times New Roman"/>
                <w:color w:val="000000"/>
                <w:lang w:eastAsia="es-PE"/>
              </w:rPr>
              <w:t>Corilloclla</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6332D385"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Especialista en Políticas de Desarrollo Territorial - Secretaría de Descentralización</w:t>
            </w:r>
          </w:p>
        </w:tc>
        <w:tc>
          <w:tcPr>
            <w:tcW w:w="0" w:type="auto"/>
            <w:tcBorders>
              <w:top w:val="nil"/>
              <w:left w:val="nil"/>
              <w:bottom w:val="single" w:sz="4" w:space="0" w:color="auto"/>
              <w:right w:val="single" w:sz="4" w:space="0" w:color="auto"/>
            </w:tcBorders>
            <w:shd w:val="clear" w:color="auto" w:fill="auto"/>
            <w:noWrap/>
            <w:vAlign w:val="bottom"/>
            <w:hideMark/>
          </w:tcPr>
          <w:p w14:paraId="2FE970E1"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12 de julio de 2018</w:t>
            </w:r>
          </w:p>
        </w:tc>
      </w:tr>
      <w:tr w:rsidR="007F2CC8" w:rsidRPr="007F2CC8" w14:paraId="329A6686" w14:textId="77777777" w:rsidTr="007F2C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58DEC3" w14:textId="77777777" w:rsidR="007F2CC8" w:rsidRPr="007F2CC8" w:rsidRDefault="007F2CC8" w:rsidP="007F2CC8">
            <w:pPr>
              <w:spacing w:after="0" w:line="240" w:lineRule="auto"/>
              <w:jc w:val="right"/>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4</w:t>
            </w:r>
          </w:p>
        </w:tc>
        <w:tc>
          <w:tcPr>
            <w:tcW w:w="0" w:type="auto"/>
            <w:tcBorders>
              <w:top w:val="nil"/>
              <w:left w:val="nil"/>
              <w:bottom w:val="single" w:sz="4" w:space="0" w:color="auto"/>
              <w:right w:val="single" w:sz="4" w:space="0" w:color="auto"/>
            </w:tcBorders>
            <w:shd w:val="clear" w:color="auto" w:fill="auto"/>
            <w:noWrap/>
            <w:vAlign w:val="bottom"/>
            <w:hideMark/>
          </w:tcPr>
          <w:p w14:paraId="6E66DC0B"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Edgardo Cruzado</w:t>
            </w:r>
          </w:p>
        </w:tc>
        <w:tc>
          <w:tcPr>
            <w:tcW w:w="0" w:type="auto"/>
            <w:tcBorders>
              <w:top w:val="nil"/>
              <w:left w:val="nil"/>
              <w:bottom w:val="single" w:sz="4" w:space="0" w:color="auto"/>
              <w:right w:val="single" w:sz="4" w:space="0" w:color="auto"/>
            </w:tcBorders>
            <w:shd w:val="clear" w:color="auto" w:fill="auto"/>
            <w:vAlign w:val="bottom"/>
            <w:hideMark/>
          </w:tcPr>
          <w:p w14:paraId="7B147FD6"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Secretario de Descentralización</w:t>
            </w:r>
          </w:p>
        </w:tc>
        <w:tc>
          <w:tcPr>
            <w:tcW w:w="0" w:type="auto"/>
            <w:tcBorders>
              <w:top w:val="nil"/>
              <w:left w:val="nil"/>
              <w:bottom w:val="single" w:sz="4" w:space="0" w:color="auto"/>
              <w:right w:val="single" w:sz="4" w:space="0" w:color="auto"/>
            </w:tcBorders>
            <w:shd w:val="clear" w:color="auto" w:fill="auto"/>
            <w:noWrap/>
            <w:vAlign w:val="bottom"/>
            <w:hideMark/>
          </w:tcPr>
          <w:p w14:paraId="5C794008"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13 de julio de 2018</w:t>
            </w:r>
          </w:p>
        </w:tc>
      </w:tr>
      <w:tr w:rsidR="007F2CC8" w:rsidRPr="007F2CC8" w14:paraId="78CD2DA5" w14:textId="77777777" w:rsidTr="007F2C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BE091" w14:textId="77777777" w:rsidR="007F2CC8" w:rsidRPr="007F2CC8" w:rsidRDefault="007F2CC8" w:rsidP="007F2CC8">
            <w:pPr>
              <w:spacing w:after="0" w:line="240" w:lineRule="auto"/>
              <w:jc w:val="right"/>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5</w:t>
            </w:r>
          </w:p>
        </w:tc>
        <w:tc>
          <w:tcPr>
            <w:tcW w:w="0" w:type="auto"/>
            <w:tcBorders>
              <w:top w:val="nil"/>
              <w:left w:val="nil"/>
              <w:bottom w:val="single" w:sz="4" w:space="0" w:color="auto"/>
              <w:right w:val="single" w:sz="4" w:space="0" w:color="auto"/>
            </w:tcBorders>
            <w:shd w:val="clear" w:color="auto" w:fill="auto"/>
            <w:noWrap/>
            <w:vAlign w:val="bottom"/>
            <w:hideMark/>
          </w:tcPr>
          <w:p w14:paraId="27C31C3B"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 xml:space="preserve">Sandra </w:t>
            </w:r>
            <w:proofErr w:type="spellStart"/>
            <w:r w:rsidRPr="007F2CC8">
              <w:rPr>
                <w:rFonts w:ascii="Calibri" w:eastAsia="Times New Roman" w:hAnsi="Calibri" w:cs="Times New Roman"/>
                <w:color w:val="000000"/>
                <w:lang w:eastAsia="es-PE"/>
              </w:rPr>
              <w:t>Nuñez</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031EB916"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Subsecretaría de Articulación Regional y Local</w:t>
            </w:r>
          </w:p>
        </w:tc>
        <w:tc>
          <w:tcPr>
            <w:tcW w:w="0" w:type="auto"/>
            <w:tcBorders>
              <w:top w:val="nil"/>
              <w:left w:val="nil"/>
              <w:bottom w:val="single" w:sz="4" w:space="0" w:color="auto"/>
              <w:right w:val="single" w:sz="4" w:space="0" w:color="auto"/>
            </w:tcBorders>
            <w:shd w:val="clear" w:color="auto" w:fill="auto"/>
            <w:noWrap/>
            <w:vAlign w:val="bottom"/>
            <w:hideMark/>
          </w:tcPr>
          <w:p w14:paraId="4CAF3691"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13 de julio de 2018</w:t>
            </w:r>
          </w:p>
        </w:tc>
      </w:tr>
      <w:tr w:rsidR="007F2CC8" w:rsidRPr="007F2CC8" w14:paraId="3D593C55" w14:textId="77777777" w:rsidTr="007F2C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5D0308" w14:textId="77777777" w:rsidR="007F2CC8" w:rsidRPr="007F2CC8" w:rsidRDefault="007F2CC8" w:rsidP="007F2CC8">
            <w:pPr>
              <w:spacing w:after="0" w:line="240" w:lineRule="auto"/>
              <w:jc w:val="right"/>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6</w:t>
            </w:r>
          </w:p>
        </w:tc>
        <w:tc>
          <w:tcPr>
            <w:tcW w:w="0" w:type="auto"/>
            <w:tcBorders>
              <w:top w:val="nil"/>
              <w:left w:val="nil"/>
              <w:bottom w:val="single" w:sz="4" w:space="0" w:color="auto"/>
              <w:right w:val="single" w:sz="4" w:space="0" w:color="auto"/>
            </w:tcBorders>
            <w:shd w:val="clear" w:color="auto" w:fill="auto"/>
            <w:noWrap/>
            <w:vAlign w:val="bottom"/>
            <w:hideMark/>
          </w:tcPr>
          <w:p w14:paraId="754A3FEA"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 xml:space="preserve">Sara </w:t>
            </w:r>
            <w:proofErr w:type="spellStart"/>
            <w:r w:rsidRPr="007F2CC8">
              <w:rPr>
                <w:rFonts w:ascii="Calibri" w:eastAsia="Times New Roman" w:hAnsi="Calibri" w:cs="Times New Roman"/>
                <w:color w:val="000000"/>
                <w:lang w:eastAsia="es-PE"/>
              </w:rPr>
              <w:t>Arobés</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3C82F782"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Subsecretaria de Simplificación y Calidad Regulatoria</w:t>
            </w:r>
          </w:p>
        </w:tc>
        <w:tc>
          <w:tcPr>
            <w:tcW w:w="0" w:type="auto"/>
            <w:tcBorders>
              <w:top w:val="nil"/>
              <w:left w:val="nil"/>
              <w:bottom w:val="single" w:sz="4" w:space="0" w:color="auto"/>
              <w:right w:val="single" w:sz="4" w:space="0" w:color="auto"/>
            </w:tcBorders>
            <w:shd w:val="clear" w:color="auto" w:fill="auto"/>
            <w:noWrap/>
            <w:vAlign w:val="bottom"/>
            <w:hideMark/>
          </w:tcPr>
          <w:p w14:paraId="075E07AD"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13 de julio de 2018</w:t>
            </w:r>
          </w:p>
        </w:tc>
      </w:tr>
      <w:tr w:rsidR="007F2CC8" w:rsidRPr="007F2CC8" w14:paraId="5CD1589B" w14:textId="77777777" w:rsidTr="007F2CC8">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6C6378" w14:textId="77777777" w:rsidR="007F2CC8" w:rsidRPr="007F2CC8" w:rsidRDefault="007F2CC8" w:rsidP="007F2CC8">
            <w:pPr>
              <w:spacing w:after="0" w:line="240" w:lineRule="auto"/>
              <w:jc w:val="right"/>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7</w:t>
            </w:r>
          </w:p>
        </w:tc>
        <w:tc>
          <w:tcPr>
            <w:tcW w:w="0" w:type="auto"/>
            <w:tcBorders>
              <w:top w:val="nil"/>
              <w:left w:val="nil"/>
              <w:bottom w:val="single" w:sz="4" w:space="0" w:color="auto"/>
              <w:right w:val="single" w:sz="4" w:space="0" w:color="auto"/>
            </w:tcBorders>
            <w:shd w:val="clear" w:color="auto" w:fill="auto"/>
            <w:noWrap/>
            <w:vAlign w:val="bottom"/>
            <w:hideMark/>
          </w:tcPr>
          <w:p w14:paraId="1030BD3A"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 xml:space="preserve">Janet </w:t>
            </w:r>
            <w:proofErr w:type="spellStart"/>
            <w:r w:rsidRPr="007F2CC8">
              <w:rPr>
                <w:rFonts w:ascii="Calibri" w:eastAsia="Times New Roman" w:hAnsi="Calibri" w:cs="Times New Roman"/>
                <w:color w:val="000000"/>
                <w:lang w:eastAsia="es-PE"/>
              </w:rPr>
              <w:t>Noborikawa</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38D80A40"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Subsecretaria de Calidad de Atención al Ciudadano de la Secretaría de Gestión Pública</w:t>
            </w:r>
          </w:p>
        </w:tc>
        <w:tc>
          <w:tcPr>
            <w:tcW w:w="0" w:type="auto"/>
            <w:tcBorders>
              <w:top w:val="nil"/>
              <w:left w:val="nil"/>
              <w:bottom w:val="single" w:sz="4" w:space="0" w:color="auto"/>
              <w:right w:val="single" w:sz="4" w:space="0" w:color="auto"/>
            </w:tcBorders>
            <w:shd w:val="clear" w:color="auto" w:fill="auto"/>
            <w:noWrap/>
            <w:vAlign w:val="bottom"/>
            <w:hideMark/>
          </w:tcPr>
          <w:p w14:paraId="530E0B39"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17 de julio de 2018</w:t>
            </w:r>
          </w:p>
        </w:tc>
      </w:tr>
      <w:tr w:rsidR="007F2CC8" w:rsidRPr="007F2CC8" w14:paraId="7B25C558" w14:textId="77777777" w:rsidTr="007F2CC8">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411669" w14:textId="77777777" w:rsidR="007F2CC8" w:rsidRPr="007F2CC8" w:rsidRDefault="007F2CC8" w:rsidP="007F2CC8">
            <w:pPr>
              <w:spacing w:after="0" w:line="240" w:lineRule="auto"/>
              <w:jc w:val="right"/>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8</w:t>
            </w:r>
          </w:p>
        </w:tc>
        <w:tc>
          <w:tcPr>
            <w:tcW w:w="0" w:type="auto"/>
            <w:tcBorders>
              <w:top w:val="nil"/>
              <w:left w:val="nil"/>
              <w:bottom w:val="single" w:sz="4" w:space="0" w:color="auto"/>
              <w:right w:val="single" w:sz="4" w:space="0" w:color="auto"/>
            </w:tcBorders>
            <w:shd w:val="clear" w:color="auto" w:fill="auto"/>
            <w:noWrap/>
            <w:vAlign w:val="bottom"/>
            <w:hideMark/>
          </w:tcPr>
          <w:p w14:paraId="6A05ADC2"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María Inés Contreras</w:t>
            </w:r>
          </w:p>
        </w:tc>
        <w:tc>
          <w:tcPr>
            <w:tcW w:w="0" w:type="auto"/>
            <w:tcBorders>
              <w:top w:val="nil"/>
              <w:left w:val="nil"/>
              <w:bottom w:val="single" w:sz="4" w:space="0" w:color="auto"/>
              <w:right w:val="single" w:sz="4" w:space="0" w:color="auto"/>
            </w:tcBorders>
            <w:shd w:val="clear" w:color="auto" w:fill="auto"/>
            <w:vAlign w:val="bottom"/>
            <w:hideMark/>
          </w:tcPr>
          <w:p w14:paraId="76E7CFBA"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Profesional Responsable de Centros MAC - Secretaría de Gestión Pública</w:t>
            </w:r>
          </w:p>
        </w:tc>
        <w:tc>
          <w:tcPr>
            <w:tcW w:w="0" w:type="auto"/>
            <w:tcBorders>
              <w:top w:val="nil"/>
              <w:left w:val="nil"/>
              <w:bottom w:val="single" w:sz="4" w:space="0" w:color="auto"/>
              <w:right w:val="single" w:sz="4" w:space="0" w:color="auto"/>
            </w:tcBorders>
            <w:shd w:val="clear" w:color="auto" w:fill="auto"/>
            <w:noWrap/>
            <w:vAlign w:val="bottom"/>
            <w:hideMark/>
          </w:tcPr>
          <w:p w14:paraId="3619141F"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17 de julio de 2018</w:t>
            </w:r>
          </w:p>
        </w:tc>
      </w:tr>
      <w:tr w:rsidR="007F2CC8" w:rsidRPr="007F2CC8" w14:paraId="3A86ED29" w14:textId="77777777" w:rsidTr="007F2C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10CA3C" w14:textId="77777777" w:rsidR="007F2CC8" w:rsidRPr="007F2CC8" w:rsidRDefault="007F2CC8" w:rsidP="007F2CC8">
            <w:pPr>
              <w:spacing w:after="0" w:line="240" w:lineRule="auto"/>
              <w:jc w:val="right"/>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9</w:t>
            </w:r>
          </w:p>
        </w:tc>
        <w:tc>
          <w:tcPr>
            <w:tcW w:w="0" w:type="auto"/>
            <w:tcBorders>
              <w:top w:val="nil"/>
              <w:left w:val="nil"/>
              <w:bottom w:val="single" w:sz="4" w:space="0" w:color="auto"/>
              <w:right w:val="single" w:sz="4" w:space="0" w:color="auto"/>
            </w:tcBorders>
            <w:shd w:val="clear" w:color="auto" w:fill="auto"/>
            <w:noWrap/>
            <w:vAlign w:val="bottom"/>
            <w:hideMark/>
          </w:tcPr>
          <w:p w14:paraId="662B5701"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Mayen Ugarte</w:t>
            </w:r>
          </w:p>
        </w:tc>
        <w:tc>
          <w:tcPr>
            <w:tcW w:w="0" w:type="auto"/>
            <w:tcBorders>
              <w:top w:val="nil"/>
              <w:left w:val="nil"/>
              <w:bottom w:val="single" w:sz="4" w:space="0" w:color="auto"/>
              <w:right w:val="single" w:sz="4" w:space="0" w:color="auto"/>
            </w:tcBorders>
            <w:shd w:val="clear" w:color="auto" w:fill="auto"/>
            <w:vAlign w:val="bottom"/>
            <w:hideMark/>
          </w:tcPr>
          <w:p w14:paraId="27B5C145"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Secretaria de Gestión Pública</w:t>
            </w:r>
          </w:p>
        </w:tc>
        <w:tc>
          <w:tcPr>
            <w:tcW w:w="0" w:type="auto"/>
            <w:tcBorders>
              <w:top w:val="nil"/>
              <w:left w:val="nil"/>
              <w:bottom w:val="single" w:sz="4" w:space="0" w:color="auto"/>
              <w:right w:val="single" w:sz="4" w:space="0" w:color="auto"/>
            </w:tcBorders>
            <w:shd w:val="clear" w:color="auto" w:fill="auto"/>
            <w:noWrap/>
            <w:vAlign w:val="bottom"/>
            <w:hideMark/>
          </w:tcPr>
          <w:p w14:paraId="02C429DE"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17 de julio de 2018</w:t>
            </w:r>
          </w:p>
        </w:tc>
      </w:tr>
      <w:tr w:rsidR="007F2CC8" w:rsidRPr="007F2CC8" w14:paraId="7C5A47DB" w14:textId="77777777" w:rsidTr="007F2C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450A9F" w14:textId="77777777" w:rsidR="007F2CC8" w:rsidRPr="007F2CC8" w:rsidRDefault="007F2CC8" w:rsidP="007F2CC8">
            <w:pPr>
              <w:spacing w:after="0" w:line="240" w:lineRule="auto"/>
              <w:jc w:val="right"/>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10</w:t>
            </w:r>
          </w:p>
        </w:tc>
        <w:tc>
          <w:tcPr>
            <w:tcW w:w="0" w:type="auto"/>
            <w:tcBorders>
              <w:top w:val="nil"/>
              <w:left w:val="nil"/>
              <w:bottom w:val="single" w:sz="4" w:space="0" w:color="auto"/>
              <w:right w:val="single" w:sz="4" w:space="0" w:color="auto"/>
            </w:tcBorders>
            <w:shd w:val="clear" w:color="auto" w:fill="auto"/>
            <w:noWrap/>
            <w:vAlign w:val="bottom"/>
            <w:hideMark/>
          </w:tcPr>
          <w:p w14:paraId="24B5669B"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Jorge Quispe</w:t>
            </w:r>
          </w:p>
        </w:tc>
        <w:tc>
          <w:tcPr>
            <w:tcW w:w="0" w:type="auto"/>
            <w:tcBorders>
              <w:top w:val="nil"/>
              <w:left w:val="nil"/>
              <w:bottom w:val="single" w:sz="4" w:space="0" w:color="auto"/>
              <w:right w:val="single" w:sz="4" w:space="0" w:color="auto"/>
            </w:tcBorders>
            <w:shd w:val="clear" w:color="auto" w:fill="auto"/>
            <w:vAlign w:val="bottom"/>
            <w:hideMark/>
          </w:tcPr>
          <w:p w14:paraId="5E2E10EA"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Coordinador MAC Lima Este</w:t>
            </w:r>
          </w:p>
        </w:tc>
        <w:tc>
          <w:tcPr>
            <w:tcW w:w="0" w:type="auto"/>
            <w:tcBorders>
              <w:top w:val="nil"/>
              <w:left w:val="nil"/>
              <w:bottom w:val="single" w:sz="4" w:space="0" w:color="auto"/>
              <w:right w:val="single" w:sz="4" w:space="0" w:color="auto"/>
            </w:tcBorders>
            <w:shd w:val="clear" w:color="auto" w:fill="auto"/>
            <w:noWrap/>
            <w:vAlign w:val="bottom"/>
            <w:hideMark/>
          </w:tcPr>
          <w:p w14:paraId="284BBB39"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18 de julio de 2018</w:t>
            </w:r>
          </w:p>
        </w:tc>
      </w:tr>
      <w:tr w:rsidR="007F2CC8" w:rsidRPr="007F2CC8" w14:paraId="0FC5F89E" w14:textId="77777777" w:rsidTr="007F2C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8387B5" w14:textId="77777777" w:rsidR="007F2CC8" w:rsidRPr="007F2CC8" w:rsidRDefault="007F2CC8" w:rsidP="007F2CC8">
            <w:pPr>
              <w:spacing w:after="0" w:line="240" w:lineRule="auto"/>
              <w:jc w:val="right"/>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11</w:t>
            </w:r>
          </w:p>
        </w:tc>
        <w:tc>
          <w:tcPr>
            <w:tcW w:w="0" w:type="auto"/>
            <w:tcBorders>
              <w:top w:val="nil"/>
              <w:left w:val="nil"/>
              <w:bottom w:val="single" w:sz="4" w:space="0" w:color="auto"/>
              <w:right w:val="single" w:sz="4" w:space="0" w:color="auto"/>
            </w:tcBorders>
            <w:shd w:val="clear" w:color="auto" w:fill="auto"/>
            <w:noWrap/>
            <w:vAlign w:val="bottom"/>
            <w:hideMark/>
          </w:tcPr>
          <w:p w14:paraId="06F9FB02" w14:textId="77777777" w:rsidR="007F2CC8" w:rsidRPr="007F2CC8" w:rsidRDefault="007F2CC8" w:rsidP="007F2CC8">
            <w:pPr>
              <w:spacing w:after="0" w:line="240" w:lineRule="auto"/>
              <w:rPr>
                <w:rFonts w:ascii="Calibri" w:eastAsia="Times New Roman" w:hAnsi="Calibri" w:cs="Times New Roman"/>
                <w:color w:val="000000"/>
                <w:lang w:eastAsia="es-PE"/>
              </w:rPr>
            </w:pPr>
            <w:proofErr w:type="spellStart"/>
            <w:r w:rsidRPr="007F2CC8">
              <w:rPr>
                <w:rFonts w:ascii="Calibri" w:eastAsia="Times New Roman" w:hAnsi="Calibri" w:cs="Times New Roman"/>
                <w:color w:val="000000"/>
                <w:lang w:eastAsia="es-PE"/>
              </w:rPr>
              <w:t>Dony</w:t>
            </w:r>
            <w:proofErr w:type="spellEnd"/>
            <w:r w:rsidRPr="007F2CC8">
              <w:rPr>
                <w:rFonts w:ascii="Calibri" w:eastAsia="Times New Roman" w:hAnsi="Calibri" w:cs="Times New Roman"/>
                <w:color w:val="000000"/>
                <w:lang w:eastAsia="es-PE"/>
              </w:rPr>
              <w:t xml:space="preserve"> Chumpitaz</w:t>
            </w:r>
          </w:p>
        </w:tc>
        <w:tc>
          <w:tcPr>
            <w:tcW w:w="0" w:type="auto"/>
            <w:tcBorders>
              <w:top w:val="nil"/>
              <w:left w:val="nil"/>
              <w:bottom w:val="single" w:sz="4" w:space="0" w:color="auto"/>
              <w:right w:val="single" w:sz="4" w:space="0" w:color="auto"/>
            </w:tcBorders>
            <w:shd w:val="clear" w:color="auto" w:fill="auto"/>
            <w:vAlign w:val="bottom"/>
            <w:hideMark/>
          </w:tcPr>
          <w:p w14:paraId="3F1F1D72"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Secretaría de Gobierno Digital</w:t>
            </w:r>
          </w:p>
        </w:tc>
        <w:tc>
          <w:tcPr>
            <w:tcW w:w="0" w:type="auto"/>
            <w:tcBorders>
              <w:top w:val="nil"/>
              <w:left w:val="nil"/>
              <w:bottom w:val="single" w:sz="4" w:space="0" w:color="auto"/>
              <w:right w:val="single" w:sz="4" w:space="0" w:color="auto"/>
            </w:tcBorders>
            <w:shd w:val="clear" w:color="auto" w:fill="auto"/>
            <w:noWrap/>
            <w:vAlign w:val="bottom"/>
            <w:hideMark/>
          </w:tcPr>
          <w:p w14:paraId="27B96E37"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18 de julio de 2018</w:t>
            </w:r>
          </w:p>
        </w:tc>
      </w:tr>
      <w:tr w:rsidR="007F2CC8" w:rsidRPr="007F2CC8" w14:paraId="178FE1D8" w14:textId="77777777" w:rsidTr="007F2C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DF8790" w14:textId="77777777" w:rsidR="007F2CC8" w:rsidRPr="007F2CC8" w:rsidRDefault="007F2CC8" w:rsidP="007F2CC8">
            <w:pPr>
              <w:spacing w:after="0" w:line="240" w:lineRule="auto"/>
              <w:jc w:val="right"/>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12</w:t>
            </w:r>
          </w:p>
        </w:tc>
        <w:tc>
          <w:tcPr>
            <w:tcW w:w="0" w:type="auto"/>
            <w:tcBorders>
              <w:top w:val="nil"/>
              <w:left w:val="nil"/>
              <w:bottom w:val="single" w:sz="4" w:space="0" w:color="auto"/>
              <w:right w:val="single" w:sz="4" w:space="0" w:color="auto"/>
            </w:tcBorders>
            <w:shd w:val="clear" w:color="auto" w:fill="auto"/>
            <w:noWrap/>
            <w:vAlign w:val="bottom"/>
            <w:hideMark/>
          </w:tcPr>
          <w:p w14:paraId="726061B2"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Juan Aguilar</w:t>
            </w:r>
          </w:p>
        </w:tc>
        <w:tc>
          <w:tcPr>
            <w:tcW w:w="0" w:type="auto"/>
            <w:tcBorders>
              <w:top w:val="nil"/>
              <w:left w:val="nil"/>
              <w:bottom w:val="single" w:sz="4" w:space="0" w:color="auto"/>
              <w:right w:val="single" w:sz="4" w:space="0" w:color="auto"/>
            </w:tcBorders>
            <w:shd w:val="clear" w:color="auto" w:fill="auto"/>
            <w:vAlign w:val="bottom"/>
            <w:hideMark/>
          </w:tcPr>
          <w:p w14:paraId="7690E751"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 xml:space="preserve">Gerente de desarrollo social - </w:t>
            </w:r>
            <w:proofErr w:type="spellStart"/>
            <w:r w:rsidRPr="007F2CC8">
              <w:rPr>
                <w:rFonts w:ascii="Calibri" w:eastAsia="Times New Roman" w:hAnsi="Calibri" w:cs="Times New Roman"/>
                <w:color w:val="000000"/>
                <w:lang w:eastAsia="es-PE"/>
              </w:rPr>
              <w:t>Gob</w:t>
            </w:r>
            <w:proofErr w:type="spellEnd"/>
            <w:r w:rsidRPr="007F2CC8">
              <w:rPr>
                <w:rFonts w:ascii="Calibri" w:eastAsia="Times New Roman" w:hAnsi="Calibri" w:cs="Times New Roman"/>
                <w:color w:val="000000"/>
                <w:lang w:eastAsia="es-PE"/>
              </w:rPr>
              <w:t xml:space="preserve"> </w:t>
            </w:r>
            <w:proofErr w:type="spellStart"/>
            <w:r w:rsidRPr="007F2CC8">
              <w:rPr>
                <w:rFonts w:ascii="Calibri" w:eastAsia="Times New Roman" w:hAnsi="Calibri" w:cs="Times New Roman"/>
                <w:color w:val="000000"/>
                <w:lang w:eastAsia="es-PE"/>
              </w:rPr>
              <w:t>Reg</w:t>
            </w:r>
            <w:proofErr w:type="spellEnd"/>
            <w:r w:rsidRPr="007F2CC8">
              <w:rPr>
                <w:rFonts w:ascii="Calibri" w:eastAsia="Times New Roman" w:hAnsi="Calibri" w:cs="Times New Roman"/>
                <w:color w:val="000000"/>
                <w:lang w:eastAsia="es-PE"/>
              </w:rPr>
              <w:t xml:space="preserve"> Piura</w:t>
            </w:r>
          </w:p>
        </w:tc>
        <w:tc>
          <w:tcPr>
            <w:tcW w:w="0" w:type="auto"/>
            <w:tcBorders>
              <w:top w:val="nil"/>
              <w:left w:val="nil"/>
              <w:bottom w:val="single" w:sz="4" w:space="0" w:color="auto"/>
              <w:right w:val="single" w:sz="4" w:space="0" w:color="auto"/>
            </w:tcBorders>
            <w:shd w:val="clear" w:color="auto" w:fill="auto"/>
            <w:noWrap/>
            <w:vAlign w:val="bottom"/>
            <w:hideMark/>
          </w:tcPr>
          <w:p w14:paraId="3006FFCB"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31 de julio de 2018</w:t>
            </w:r>
          </w:p>
        </w:tc>
      </w:tr>
      <w:tr w:rsidR="007F2CC8" w:rsidRPr="007F2CC8" w14:paraId="1464EA4C" w14:textId="77777777" w:rsidTr="007F2CC8">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D7DFCF" w14:textId="77777777" w:rsidR="007F2CC8" w:rsidRPr="007F2CC8" w:rsidRDefault="007F2CC8" w:rsidP="007F2CC8">
            <w:pPr>
              <w:spacing w:after="0" w:line="240" w:lineRule="auto"/>
              <w:jc w:val="right"/>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13</w:t>
            </w:r>
          </w:p>
        </w:tc>
        <w:tc>
          <w:tcPr>
            <w:tcW w:w="0" w:type="auto"/>
            <w:tcBorders>
              <w:top w:val="nil"/>
              <w:left w:val="nil"/>
              <w:bottom w:val="single" w:sz="4" w:space="0" w:color="auto"/>
              <w:right w:val="single" w:sz="4" w:space="0" w:color="auto"/>
            </w:tcBorders>
            <w:shd w:val="clear" w:color="auto" w:fill="auto"/>
            <w:noWrap/>
            <w:vAlign w:val="bottom"/>
            <w:hideMark/>
          </w:tcPr>
          <w:p w14:paraId="45B1AE7D"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 xml:space="preserve">Helen Luna </w:t>
            </w:r>
          </w:p>
        </w:tc>
        <w:tc>
          <w:tcPr>
            <w:tcW w:w="0" w:type="auto"/>
            <w:tcBorders>
              <w:top w:val="nil"/>
              <w:left w:val="nil"/>
              <w:bottom w:val="single" w:sz="4" w:space="0" w:color="auto"/>
              <w:right w:val="single" w:sz="4" w:space="0" w:color="auto"/>
            </w:tcBorders>
            <w:shd w:val="clear" w:color="auto" w:fill="auto"/>
            <w:vAlign w:val="bottom"/>
            <w:hideMark/>
          </w:tcPr>
          <w:p w14:paraId="4C7FC448"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 xml:space="preserve">Gerenta de planeamiento, presupuesto y acondicionamiento territorial - </w:t>
            </w:r>
            <w:proofErr w:type="spellStart"/>
            <w:r w:rsidRPr="007F2CC8">
              <w:rPr>
                <w:rFonts w:ascii="Calibri" w:eastAsia="Times New Roman" w:hAnsi="Calibri" w:cs="Times New Roman"/>
                <w:color w:val="000000"/>
                <w:lang w:eastAsia="es-PE"/>
              </w:rPr>
              <w:t>Gob</w:t>
            </w:r>
            <w:proofErr w:type="spellEnd"/>
            <w:r w:rsidRPr="007F2CC8">
              <w:rPr>
                <w:rFonts w:ascii="Calibri" w:eastAsia="Times New Roman" w:hAnsi="Calibri" w:cs="Times New Roman"/>
                <w:color w:val="000000"/>
                <w:lang w:eastAsia="es-PE"/>
              </w:rPr>
              <w:t xml:space="preserve"> </w:t>
            </w:r>
            <w:proofErr w:type="spellStart"/>
            <w:r w:rsidRPr="007F2CC8">
              <w:rPr>
                <w:rFonts w:ascii="Calibri" w:eastAsia="Times New Roman" w:hAnsi="Calibri" w:cs="Times New Roman"/>
                <w:color w:val="000000"/>
                <w:lang w:eastAsia="es-PE"/>
              </w:rPr>
              <w:t>Reg</w:t>
            </w:r>
            <w:proofErr w:type="spellEnd"/>
            <w:r w:rsidRPr="007F2CC8">
              <w:rPr>
                <w:rFonts w:ascii="Calibri" w:eastAsia="Times New Roman" w:hAnsi="Calibri" w:cs="Times New Roman"/>
                <w:color w:val="000000"/>
                <w:lang w:eastAsia="es-PE"/>
              </w:rPr>
              <w:t xml:space="preserve"> Piura</w:t>
            </w:r>
          </w:p>
        </w:tc>
        <w:tc>
          <w:tcPr>
            <w:tcW w:w="0" w:type="auto"/>
            <w:tcBorders>
              <w:top w:val="nil"/>
              <w:left w:val="nil"/>
              <w:bottom w:val="single" w:sz="4" w:space="0" w:color="auto"/>
              <w:right w:val="single" w:sz="4" w:space="0" w:color="auto"/>
            </w:tcBorders>
            <w:shd w:val="clear" w:color="auto" w:fill="auto"/>
            <w:noWrap/>
            <w:vAlign w:val="bottom"/>
            <w:hideMark/>
          </w:tcPr>
          <w:p w14:paraId="5C99D3F3"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31 de julio de 2018</w:t>
            </w:r>
          </w:p>
        </w:tc>
      </w:tr>
      <w:tr w:rsidR="007F2CC8" w:rsidRPr="007F2CC8" w14:paraId="07FF9B98" w14:textId="77777777" w:rsidTr="007F2CC8">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7D10FD" w14:textId="77777777" w:rsidR="007F2CC8" w:rsidRPr="007F2CC8" w:rsidRDefault="007F2CC8" w:rsidP="007F2CC8">
            <w:pPr>
              <w:spacing w:after="0" w:line="240" w:lineRule="auto"/>
              <w:jc w:val="right"/>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14</w:t>
            </w:r>
          </w:p>
        </w:tc>
        <w:tc>
          <w:tcPr>
            <w:tcW w:w="0" w:type="auto"/>
            <w:tcBorders>
              <w:top w:val="nil"/>
              <w:left w:val="nil"/>
              <w:bottom w:val="single" w:sz="4" w:space="0" w:color="auto"/>
              <w:right w:val="single" w:sz="4" w:space="0" w:color="auto"/>
            </w:tcBorders>
            <w:shd w:val="clear" w:color="auto" w:fill="auto"/>
            <w:noWrap/>
            <w:vAlign w:val="bottom"/>
            <w:hideMark/>
          </w:tcPr>
          <w:p w14:paraId="1F01C0A2"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 xml:space="preserve">Jilmer Benites </w:t>
            </w:r>
          </w:p>
        </w:tc>
        <w:tc>
          <w:tcPr>
            <w:tcW w:w="0" w:type="auto"/>
            <w:tcBorders>
              <w:top w:val="nil"/>
              <w:left w:val="nil"/>
              <w:bottom w:val="single" w:sz="4" w:space="0" w:color="auto"/>
              <w:right w:val="single" w:sz="4" w:space="0" w:color="auto"/>
            </w:tcBorders>
            <w:shd w:val="clear" w:color="auto" w:fill="auto"/>
            <w:vAlign w:val="bottom"/>
            <w:hideMark/>
          </w:tcPr>
          <w:p w14:paraId="2147D11C"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 xml:space="preserve">Subgerente de desarrollo institucional - </w:t>
            </w:r>
            <w:proofErr w:type="spellStart"/>
            <w:r w:rsidRPr="007F2CC8">
              <w:rPr>
                <w:rFonts w:ascii="Calibri" w:eastAsia="Times New Roman" w:hAnsi="Calibri" w:cs="Times New Roman"/>
                <w:color w:val="000000"/>
                <w:lang w:eastAsia="es-PE"/>
              </w:rPr>
              <w:t>Gob</w:t>
            </w:r>
            <w:proofErr w:type="spellEnd"/>
            <w:r w:rsidRPr="007F2CC8">
              <w:rPr>
                <w:rFonts w:ascii="Calibri" w:eastAsia="Times New Roman" w:hAnsi="Calibri" w:cs="Times New Roman"/>
                <w:color w:val="000000"/>
                <w:lang w:eastAsia="es-PE"/>
              </w:rPr>
              <w:t xml:space="preserve"> </w:t>
            </w:r>
            <w:proofErr w:type="spellStart"/>
            <w:r w:rsidRPr="007F2CC8">
              <w:rPr>
                <w:rFonts w:ascii="Calibri" w:eastAsia="Times New Roman" w:hAnsi="Calibri" w:cs="Times New Roman"/>
                <w:color w:val="000000"/>
                <w:lang w:eastAsia="es-PE"/>
              </w:rPr>
              <w:t>Reg</w:t>
            </w:r>
            <w:proofErr w:type="spellEnd"/>
            <w:r w:rsidRPr="007F2CC8">
              <w:rPr>
                <w:rFonts w:ascii="Calibri" w:eastAsia="Times New Roman" w:hAnsi="Calibri" w:cs="Times New Roman"/>
                <w:color w:val="000000"/>
                <w:lang w:eastAsia="es-PE"/>
              </w:rPr>
              <w:t xml:space="preserve"> Piura</w:t>
            </w:r>
          </w:p>
        </w:tc>
        <w:tc>
          <w:tcPr>
            <w:tcW w:w="0" w:type="auto"/>
            <w:tcBorders>
              <w:top w:val="nil"/>
              <w:left w:val="nil"/>
              <w:bottom w:val="single" w:sz="4" w:space="0" w:color="auto"/>
              <w:right w:val="single" w:sz="4" w:space="0" w:color="auto"/>
            </w:tcBorders>
            <w:shd w:val="clear" w:color="auto" w:fill="auto"/>
            <w:noWrap/>
            <w:vAlign w:val="bottom"/>
            <w:hideMark/>
          </w:tcPr>
          <w:p w14:paraId="5B2DD2DF"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31 de julio de 2018</w:t>
            </w:r>
          </w:p>
        </w:tc>
      </w:tr>
      <w:tr w:rsidR="007F2CC8" w:rsidRPr="007F2CC8" w14:paraId="663624CF" w14:textId="77777777" w:rsidTr="00A7718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00BCE1" w14:textId="77777777" w:rsidR="007F2CC8" w:rsidRPr="007F2CC8" w:rsidRDefault="007F2CC8" w:rsidP="007F2CC8">
            <w:pPr>
              <w:spacing w:after="0" w:line="240" w:lineRule="auto"/>
              <w:jc w:val="right"/>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15</w:t>
            </w:r>
          </w:p>
        </w:tc>
        <w:tc>
          <w:tcPr>
            <w:tcW w:w="0" w:type="auto"/>
            <w:tcBorders>
              <w:top w:val="nil"/>
              <w:left w:val="nil"/>
              <w:bottom w:val="single" w:sz="4" w:space="0" w:color="auto"/>
              <w:right w:val="single" w:sz="4" w:space="0" w:color="auto"/>
            </w:tcBorders>
            <w:shd w:val="clear" w:color="auto" w:fill="auto"/>
            <w:noWrap/>
            <w:vAlign w:val="bottom"/>
            <w:hideMark/>
          </w:tcPr>
          <w:p w14:paraId="5B5AF973"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Aurora Torrejón</w:t>
            </w:r>
          </w:p>
        </w:tc>
        <w:tc>
          <w:tcPr>
            <w:tcW w:w="0" w:type="auto"/>
            <w:tcBorders>
              <w:top w:val="nil"/>
              <w:left w:val="nil"/>
              <w:bottom w:val="single" w:sz="4" w:space="0" w:color="auto"/>
              <w:right w:val="single" w:sz="4" w:space="0" w:color="auto"/>
            </w:tcBorders>
            <w:shd w:val="clear" w:color="auto" w:fill="auto"/>
            <w:vAlign w:val="bottom"/>
            <w:hideMark/>
          </w:tcPr>
          <w:p w14:paraId="4C209867"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 xml:space="preserve">Gerenta de Desarrollo Social - </w:t>
            </w:r>
            <w:proofErr w:type="spellStart"/>
            <w:r w:rsidRPr="007F2CC8">
              <w:rPr>
                <w:rFonts w:ascii="Calibri" w:eastAsia="Times New Roman" w:hAnsi="Calibri" w:cs="Times New Roman"/>
                <w:color w:val="000000"/>
                <w:lang w:eastAsia="es-PE"/>
              </w:rPr>
              <w:t>Gob</w:t>
            </w:r>
            <w:proofErr w:type="spellEnd"/>
            <w:r w:rsidRPr="007F2CC8">
              <w:rPr>
                <w:rFonts w:ascii="Calibri" w:eastAsia="Times New Roman" w:hAnsi="Calibri" w:cs="Times New Roman"/>
                <w:color w:val="000000"/>
                <w:lang w:eastAsia="es-PE"/>
              </w:rPr>
              <w:t xml:space="preserve"> </w:t>
            </w:r>
            <w:proofErr w:type="spellStart"/>
            <w:r w:rsidRPr="007F2CC8">
              <w:rPr>
                <w:rFonts w:ascii="Calibri" w:eastAsia="Times New Roman" w:hAnsi="Calibri" w:cs="Times New Roman"/>
                <w:color w:val="000000"/>
                <w:lang w:eastAsia="es-PE"/>
              </w:rPr>
              <w:t>Reg</w:t>
            </w:r>
            <w:proofErr w:type="spellEnd"/>
            <w:r w:rsidRPr="007F2CC8">
              <w:rPr>
                <w:rFonts w:ascii="Calibri" w:eastAsia="Times New Roman" w:hAnsi="Calibri" w:cs="Times New Roman"/>
                <w:color w:val="000000"/>
                <w:lang w:eastAsia="es-PE"/>
              </w:rPr>
              <w:t xml:space="preserve"> San Martín</w:t>
            </w:r>
          </w:p>
        </w:tc>
        <w:tc>
          <w:tcPr>
            <w:tcW w:w="0" w:type="auto"/>
            <w:tcBorders>
              <w:top w:val="nil"/>
              <w:left w:val="nil"/>
              <w:bottom w:val="single" w:sz="4" w:space="0" w:color="auto"/>
              <w:right w:val="single" w:sz="4" w:space="0" w:color="auto"/>
            </w:tcBorders>
            <w:shd w:val="clear" w:color="auto" w:fill="auto"/>
            <w:noWrap/>
            <w:vAlign w:val="bottom"/>
            <w:hideMark/>
          </w:tcPr>
          <w:p w14:paraId="19838947"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3 de agosto de 2018</w:t>
            </w:r>
          </w:p>
        </w:tc>
      </w:tr>
      <w:tr w:rsidR="007F2CC8" w:rsidRPr="007F2CC8" w14:paraId="33A69838" w14:textId="77777777" w:rsidTr="00A7718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F05FF" w14:textId="77777777" w:rsidR="007F2CC8" w:rsidRPr="007F2CC8" w:rsidRDefault="007F2CC8" w:rsidP="007F2CC8">
            <w:pPr>
              <w:spacing w:after="0" w:line="240" w:lineRule="auto"/>
              <w:jc w:val="right"/>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05D797" w14:textId="25B4E266"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 xml:space="preserve">Roberto </w:t>
            </w:r>
            <w:r w:rsidR="00FD43FB" w:rsidRPr="007F2CC8">
              <w:rPr>
                <w:rFonts w:ascii="Calibri" w:eastAsia="Times New Roman" w:hAnsi="Calibri" w:cs="Times New Roman"/>
                <w:color w:val="000000"/>
                <w:lang w:eastAsia="es-PE"/>
              </w:rPr>
              <w:t>López</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C2C6811"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Secretario General Gobierno Regional de San Martín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EA10E18" w14:textId="77777777" w:rsidR="007F2CC8" w:rsidRPr="007F2CC8" w:rsidRDefault="007F2CC8" w:rsidP="007F2CC8">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3 de agosto de 2018</w:t>
            </w:r>
          </w:p>
        </w:tc>
      </w:tr>
      <w:tr w:rsidR="00A7718A" w:rsidRPr="007F2CC8" w14:paraId="12D03CDD" w14:textId="77777777" w:rsidTr="00A7718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30A198" w14:textId="4034753B" w:rsidR="00A7718A" w:rsidRDefault="00A7718A" w:rsidP="007F2CC8">
            <w:pPr>
              <w:spacing w:after="0" w:line="240" w:lineRule="auto"/>
              <w:jc w:val="right"/>
              <w:rPr>
                <w:rFonts w:ascii="Calibri" w:eastAsia="Times New Roman" w:hAnsi="Calibri" w:cs="Times New Roman"/>
                <w:color w:val="000000"/>
                <w:lang w:eastAsia="es-PE"/>
              </w:rPr>
            </w:pPr>
            <w:r>
              <w:rPr>
                <w:rFonts w:ascii="Calibri" w:eastAsia="Times New Roman" w:hAnsi="Calibri" w:cs="Times New Roman"/>
                <w:color w:val="000000"/>
                <w:lang w:eastAsia="es-PE"/>
              </w:rPr>
              <w:t>1</w:t>
            </w:r>
            <w:r w:rsidR="00FA66D1">
              <w:rPr>
                <w:rFonts w:ascii="Calibri" w:eastAsia="Times New Roman" w:hAnsi="Calibri" w:cs="Times New Roman"/>
                <w:color w:val="000000"/>
                <w:lang w:eastAsia="es-PE"/>
              </w:rPr>
              <w:t>7</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8B40781" w14:textId="5CCF24CF" w:rsidR="00A7718A" w:rsidRDefault="004F39F0" w:rsidP="007F2CC8">
            <w:pPr>
              <w:spacing w:after="0" w:line="240" w:lineRule="auto"/>
              <w:rPr>
                <w:rFonts w:ascii="Calibri" w:eastAsia="Times New Roman" w:hAnsi="Calibri" w:cs="Times New Roman"/>
                <w:color w:val="000000"/>
                <w:lang w:eastAsia="es-PE"/>
              </w:rPr>
            </w:pPr>
            <w:r>
              <w:rPr>
                <w:rFonts w:ascii="Calibri" w:eastAsia="Times New Roman" w:hAnsi="Calibri" w:cs="Times New Roman"/>
                <w:color w:val="000000"/>
                <w:lang w:eastAsia="es-PE"/>
              </w:rPr>
              <w:t xml:space="preserve">Owen Salas </w:t>
            </w:r>
          </w:p>
        </w:tc>
        <w:tc>
          <w:tcPr>
            <w:tcW w:w="0" w:type="auto"/>
            <w:tcBorders>
              <w:top w:val="single" w:sz="4" w:space="0" w:color="auto"/>
              <w:left w:val="nil"/>
              <w:bottom w:val="single" w:sz="4" w:space="0" w:color="auto"/>
              <w:right w:val="single" w:sz="4" w:space="0" w:color="auto"/>
            </w:tcBorders>
            <w:shd w:val="clear" w:color="auto" w:fill="auto"/>
            <w:vAlign w:val="bottom"/>
          </w:tcPr>
          <w:p w14:paraId="3D90BE0C" w14:textId="3E29F760" w:rsidR="004F39F0" w:rsidRPr="007F2CC8" w:rsidRDefault="004F39F0" w:rsidP="007F2CC8">
            <w:pPr>
              <w:spacing w:after="0" w:line="240" w:lineRule="auto"/>
              <w:rPr>
                <w:rFonts w:ascii="Calibri" w:eastAsia="Times New Roman" w:hAnsi="Calibri" w:cs="Times New Roman"/>
                <w:color w:val="000000"/>
                <w:lang w:eastAsia="es-PE"/>
              </w:rPr>
            </w:pPr>
            <w:r>
              <w:rPr>
                <w:rFonts w:ascii="Calibri" w:eastAsia="Times New Roman" w:hAnsi="Calibri" w:cs="Times New Roman"/>
                <w:color w:val="000000"/>
                <w:lang w:eastAsia="es-PE"/>
              </w:rPr>
              <w:t>Gobierno Regional del Cusco</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4D7B88F" w14:textId="1920E91F" w:rsidR="00A7718A" w:rsidRPr="007F2CC8" w:rsidRDefault="00FA66D1" w:rsidP="007F2CC8">
            <w:pPr>
              <w:spacing w:after="0" w:line="240" w:lineRule="auto"/>
              <w:rPr>
                <w:rFonts w:ascii="Calibri" w:eastAsia="Times New Roman" w:hAnsi="Calibri" w:cs="Times New Roman"/>
                <w:color w:val="000000"/>
                <w:lang w:eastAsia="es-PE"/>
              </w:rPr>
            </w:pPr>
            <w:r>
              <w:rPr>
                <w:rFonts w:ascii="Calibri" w:eastAsia="Times New Roman" w:hAnsi="Calibri" w:cs="Times New Roman"/>
                <w:color w:val="000000"/>
                <w:lang w:eastAsia="es-PE"/>
              </w:rPr>
              <w:t>8 de agosto de 2018</w:t>
            </w:r>
          </w:p>
        </w:tc>
      </w:tr>
      <w:tr w:rsidR="00FA66D1" w:rsidRPr="007F2CC8" w14:paraId="76C9992C" w14:textId="77777777" w:rsidTr="0010766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0AD37" w14:textId="4AA57ACF" w:rsidR="00FA66D1" w:rsidRPr="007F2CC8" w:rsidRDefault="00FA66D1" w:rsidP="00107660">
            <w:pPr>
              <w:spacing w:after="0" w:line="240" w:lineRule="auto"/>
              <w:jc w:val="right"/>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1</w:t>
            </w:r>
            <w:r>
              <w:rPr>
                <w:rFonts w:ascii="Calibri" w:eastAsia="Times New Roman" w:hAnsi="Calibri" w:cs="Times New Roman"/>
                <w:color w:val="000000"/>
                <w:lang w:eastAsia="es-PE"/>
              </w:rPr>
              <w:t>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A20C04" w14:textId="77777777" w:rsidR="00FA66D1" w:rsidRPr="007F2CC8" w:rsidRDefault="00FA66D1" w:rsidP="00107660">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Mariana Llona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2B3EB04" w14:textId="77777777" w:rsidR="00FA66D1" w:rsidRPr="007F2CC8" w:rsidRDefault="00FA66D1" w:rsidP="00107660">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Ex Secretaria de Gestión Pública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B4BD225" w14:textId="77777777" w:rsidR="00FA66D1" w:rsidRPr="007F2CC8" w:rsidRDefault="00FA66D1" w:rsidP="00107660">
            <w:pPr>
              <w:spacing w:after="0" w:line="240" w:lineRule="auto"/>
              <w:rPr>
                <w:rFonts w:ascii="Calibri" w:eastAsia="Times New Roman" w:hAnsi="Calibri" w:cs="Times New Roman"/>
                <w:color w:val="000000"/>
                <w:lang w:eastAsia="es-PE"/>
              </w:rPr>
            </w:pPr>
            <w:r w:rsidRPr="007F2CC8">
              <w:rPr>
                <w:rFonts w:ascii="Calibri" w:eastAsia="Times New Roman" w:hAnsi="Calibri" w:cs="Times New Roman"/>
                <w:color w:val="000000"/>
                <w:lang w:eastAsia="es-PE"/>
              </w:rPr>
              <w:t>9 de agosto de 2018</w:t>
            </w:r>
          </w:p>
        </w:tc>
      </w:tr>
    </w:tbl>
    <w:p w14:paraId="7F6D6068" w14:textId="7F07E992" w:rsidR="001250DA" w:rsidRDefault="001250DA" w:rsidP="00666520">
      <w:pPr>
        <w:rPr>
          <w:b/>
        </w:rPr>
      </w:pPr>
    </w:p>
    <w:p w14:paraId="6D988CFC" w14:textId="1D38D687" w:rsidR="00144E4F" w:rsidRDefault="00144E4F" w:rsidP="00666520">
      <w:pPr>
        <w:rPr>
          <w:b/>
        </w:rPr>
      </w:pPr>
      <w:r>
        <w:rPr>
          <w:b/>
        </w:rPr>
        <w:t>Mesa de comentarios al informe preliminar (24 de agosto de 2018</w:t>
      </w:r>
      <w:r w:rsidR="008A7984">
        <w:rPr>
          <w:b/>
        </w:rPr>
        <w:t>)</w:t>
      </w:r>
    </w:p>
    <w:tbl>
      <w:tblPr>
        <w:tblStyle w:val="TableGrid"/>
        <w:tblW w:w="0" w:type="auto"/>
        <w:tblLook w:val="04A0" w:firstRow="1" w:lastRow="0" w:firstColumn="1" w:lastColumn="0" w:noHBand="0" w:noVBand="1"/>
      </w:tblPr>
      <w:tblGrid>
        <w:gridCol w:w="421"/>
        <w:gridCol w:w="1984"/>
        <w:gridCol w:w="6089"/>
      </w:tblGrid>
      <w:tr w:rsidR="008A7984" w14:paraId="1EA330C3" w14:textId="77777777" w:rsidTr="006C47E9">
        <w:tc>
          <w:tcPr>
            <w:tcW w:w="421" w:type="dxa"/>
          </w:tcPr>
          <w:p w14:paraId="57C7532D" w14:textId="080CAE27" w:rsidR="008A7984" w:rsidRDefault="00763343" w:rsidP="008A7984">
            <w:pPr>
              <w:rPr>
                <w:b/>
              </w:rPr>
            </w:pPr>
            <w:r>
              <w:rPr>
                <w:b/>
              </w:rPr>
              <w:t>1</w:t>
            </w:r>
          </w:p>
        </w:tc>
        <w:tc>
          <w:tcPr>
            <w:tcW w:w="1984" w:type="dxa"/>
            <w:vAlign w:val="bottom"/>
          </w:tcPr>
          <w:p w14:paraId="14CED5AB" w14:textId="79E9CD75" w:rsidR="008A7984" w:rsidRDefault="008A7984" w:rsidP="008A7984">
            <w:pPr>
              <w:rPr>
                <w:b/>
              </w:rPr>
            </w:pPr>
            <w:r w:rsidRPr="007F2CC8">
              <w:rPr>
                <w:rFonts w:ascii="Calibri" w:eastAsia="Times New Roman" w:hAnsi="Calibri" w:cs="Times New Roman"/>
                <w:color w:val="000000"/>
                <w:lang w:eastAsia="es-PE"/>
              </w:rPr>
              <w:t>Leonor Suárez</w:t>
            </w:r>
          </w:p>
        </w:tc>
        <w:tc>
          <w:tcPr>
            <w:tcW w:w="6089" w:type="dxa"/>
            <w:vAlign w:val="bottom"/>
          </w:tcPr>
          <w:p w14:paraId="5DE7BF4F" w14:textId="197BED07" w:rsidR="008A7984" w:rsidRDefault="008A7984" w:rsidP="008A7984">
            <w:pPr>
              <w:rPr>
                <w:b/>
              </w:rPr>
            </w:pPr>
            <w:r w:rsidRPr="007F2CC8">
              <w:rPr>
                <w:rFonts w:ascii="Calibri" w:eastAsia="Times New Roman" w:hAnsi="Calibri" w:cs="Times New Roman"/>
                <w:color w:val="000000"/>
                <w:lang w:eastAsia="es-PE"/>
              </w:rPr>
              <w:t>Oficial de gobernabilidad PNUD</w:t>
            </w:r>
          </w:p>
        </w:tc>
      </w:tr>
      <w:tr w:rsidR="008A7984" w14:paraId="7F9EC223" w14:textId="77777777" w:rsidTr="006C47E9">
        <w:tc>
          <w:tcPr>
            <w:tcW w:w="421" w:type="dxa"/>
          </w:tcPr>
          <w:p w14:paraId="7592745D" w14:textId="6981C204" w:rsidR="008A7984" w:rsidRDefault="00763343" w:rsidP="008A7984">
            <w:pPr>
              <w:rPr>
                <w:b/>
              </w:rPr>
            </w:pPr>
            <w:r>
              <w:rPr>
                <w:b/>
              </w:rPr>
              <w:t>2</w:t>
            </w:r>
          </w:p>
        </w:tc>
        <w:tc>
          <w:tcPr>
            <w:tcW w:w="1984" w:type="dxa"/>
          </w:tcPr>
          <w:p w14:paraId="0E871796" w14:textId="39BA69D6" w:rsidR="008A7984" w:rsidRPr="006C47E9" w:rsidRDefault="008A7984" w:rsidP="008A7984">
            <w:r w:rsidRPr="006C47E9">
              <w:t xml:space="preserve">Juana </w:t>
            </w:r>
            <w:proofErr w:type="spellStart"/>
            <w:r w:rsidRPr="006C47E9">
              <w:t>Kuramoto</w:t>
            </w:r>
            <w:proofErr w:type="spellEnd"/>
          </w:p>
        </w:tc>
        <w:tc>
          <w:tcPr>
            <w:tcW w:w="6089" w:type="dxa"/>
          </w:tcPr>
          <w:p w14:paraId="6FA09C72" w14:textId="78CC111C" w:rsidR="008A7984" w:rsidRDefault="00A567AB" w:rsidP="008A7984">
            <w:pPr>
              <w:rPr>
                <w:b/>
              </w:rPr>
            </w:pPr>
            <w:r w:rsidRPr="007F2CC8">
              <w:rPr>
                <w:rFonts w:ascii="Calibri" w:eastAsia="Times New Roman" w:hAnsi="Calibri" w:cs="Times New Roman"/>
                <w:color w:val="000000"/>
                <w:lang w:eastAsia="es-PE"/>
              </w:rPr>
              <w:t>Secretar</w:t>
            </w:r>
            <w:r>
              <w:rPr>
                <w:rFonts w:ascii="Calibri" w:eastAsia="Times New Roman" w:hAnsi="Calibri" w:cs="Times New Roman"/>
                <w:color w:val="000000"/>
                <w:lang w:eastAsia="es-PE"/>
              </w:rPr>
              <w:t>ía</w:t>
            </w:r>
            <w:r w:rsidRPr="007F2CC8">
              <w:rPr>
                <w:rFonts w:ascii="Calibri" w:eastAsia="Times New Roman" w:hAnsi="Calibri" w:cs="Times New Roman"/>
                <w:color w:val="000000"/>
                <w:lang w:eastAsia="es-PE"/>
              </w:rPr>
              <w:t xml:space="preserve"> de Descentralización</w:t>
            </w:r>
          </w:p>
        </w:tc>
      </w:tr>
      <w:tr w:rsidR="00A567AB" w14:paraId="26DBE092" w14:textId="77777777" w:rsidTr="006C47E9">
        <w:tc>
          <w:tcPr>
            <w:tcW w:w="421" w:type="dxa"/>
          </w:tcPr>
          <w:p w14:paraId="088ABB52" w14:textId="31FD07F8" w:rsidR="00A567AB" w:rsidRDefault="00763343" w:rsidP="00A567AB">
            <w:pPr>
              <w:rPr>
                <w:b/>
              </w:rPr>
            </w:pPr>
            <w:r>
              <w:rPr>
                <w:b/>
              </w:rPr>
              <w:t>3</w:t>
            </w:r>
          </w:p>
        </w:tc>
        <w:tc>
          <w:tcPr>
            <w:tcW w:w="1984" w:type="dxa"/>
            <w:vAlign w:val="bottom"/>
          </w:tcPr>
          <w:p w14:paraId="4D40DCFB" w14:textId="4E6B16BE" w:rsidR="00A567AB" w:rsidRDefault="00A567AB" w:rsidP="00A567AB">
            <w:pPr>
              <w:rPr>
                <w:b/>
              </w:rPr>
            </w:pPr>
            <w:r w:rsidRPr="007F2CC8">
              <w:rPr>
                <w:rFonts w:ascii="Calibri" w:eastAsia="Times New Roman" w:hAnsi="Calibri" w:cs="Times New Roman"/>
                <w:color w:val="000000"/>
                <w:lang w:eastAsia="es-PE"/>
              </w:rPr>
              <w:t xml:space="preserve">Janet </w:t>
            </w:r>
            <w:proofErr w:type="spellStart"/>
            <w:r w:rsidRPr="007F2CC8">
              <w:rPr>
                <w:rFonts w:ascii="Calibri" w:eastAsia="Times New Roman" w:hAnsi="Calibri" w:cs="Times New Roman"/>
                <w:color w:val="000000"/>
                <w:lang w:eastAsia="es-PE"/>
              </w:rPr>
              <w:t>Noborikawa</w:t>
            </w:r>
            <w:proofErr w:type="spellEnd"/>
          </w:p>
        </w:tc>
        <w:tc>
          <w:tcPr>
            <w:tcW w:w="6089" w:type="dxa"/>
            <w:vAlign w:val="bottom"/>
          </w:tcPr>
          <w:p w14:paraId="4C6A58C2" w14:textId="7D545009" w:rsidR="00A567AB" w:rsidRDefault="00A567AB" w:rsidP="00A567AB">
            <w:pPr>
              <w:rPr>
                <w:b/>
              </w:rPr>
            </w:pPr>
            <w:r w:rsidRPr="007F2CC8">
              <w:rPr>
                <w:rFonts w:ascii="Calibri" w:eastAsia="Times New Roman" w:hAnsi="Calibri" w:cs="Times New Roman"/>
                <w:color w:val="000000"/>
                <w:lang w:eastAsia="es-PE"/>
              </w:rPr>
              <w:t>Subsecretaria de Calidad de Atención al Ciudadano de la Secretaría de Gestión Pública</w:t>
            </w:r>
          </w:p>
        </w:tc>
      </w:tr>
      <w:tr w:rsidR="00A567AB" w14:paraId="51EC3B60" w14:textId="77777777" w:rsidTr="006C47E9">
        <w:tc>
          <w:tcPr>
            <w:tcW w:w="421" w:type="dxa"/>
          </w:tcPr>
          <w:p w14:paraId="5C430F90" w14:textId="532779E1" w:rsidR="00A567AB" w:rsidRDefault="00763343" w:rsidP="00A567AB">
            <w:pPr>
              <w:rPr>
                <w:b/>
              </w:rPr>
            </w:pPr>
            <w:r>
              <w:rPr>
                <w:b/>
              </w:rPr>
              <w:t>4</w:t>
            </w:r>
          </w:p>
        </w:tc>
        <w:tc>
          <w:tcPr>
            <w:tcW w:w="1984" w:type="dxa"/>
            <w:vAlign w:val="bottom"/>
          </w:tcPr>
          <w:p w14:paraId="13B8EEF1" w14:textId="6586F3F1" w:rsidR="00A567AB" w:rsidRDefault="00A567AB" w:rsidP="00A567AB">
            <w:pPr>
              <w:rPr>
                <w:b/>
              </w:rPr>
            </w:pPr>
            <w:proofErr w:type="spellStart"/>
            <w:r w:rsidRPr="007F2CC8">
              <w:rPr>
                <w:rFonts w:ascii="Calibri" w:eastAsia="Times New Roman" w:hAnsi="Calibri" w:cs="Times New Roman"/>
                <w:color w:val="000000"/>
                <w:lang w:eastAsia="es-PE"/>
              </w:rPr>
              <w:t>Dony</w:t>
            </w:r>
            <w:proofErr w:type="spellEnd"/>
            <w:r w:rsidRPr="007F2CC8">
              <w:rPr>
                <w:rFonts w:ascii="Calibri" w:eastAsia="Times New Roman" w:hAnsi="Calibri" w:cs="Times New Roman"/>
                <w:color w:val="000000"/>
                <w:lang w:eastAsia="es-PE"/>
              </w:rPr>
              <w:t xml:space="preserve"> Chumpitaz</w:t>
            </w:r>
          </w:p>
        </w:tc>
        <w:tc>
          <w:tcPr>
            <w:tcW w:w="6089" w:type="dxa"/>
            <w:vAlign w:val="bottom"/>
          </w:tcPr>
          <w:p w14:paraId="38B34F0B" w14:textId="054958FE" w:rsidR="00A567AB" w:rsidRDefault="00A567AB" w:rsidP="00A567AB">
            <w:pPr>
              <w:rPr>
                <w:b/>
              </w:rPr>
            </w:pPr>
            <w:r w:rsidRPr="007F2CC8">
              <w:rPr>
                <w:rFonts w:ascii="Calibri" w:eastAsia="Times New Roman" w:hAnsi="Calibri" w:cs="Times New Roman"/>
                <w:color w:val="000000"/>
                <w:lang w:eastAsia="es-PE"/>
              </w:rPr>
              <w:t>Secretaría de Gobierno Digital</w:t>
            </w:r>
          </w:p>
        </w:tc>
      </w:tr>
      <w:tr w:rsidR="00627ECA" w14:paraId="5400B158" w14:textId="77777777" w:rsidTr="006C47E9">
        <w:tc>
          <w:tcPr>
            <w:tcW w:w="421" w:type="dxa"/>
          </w:tcPr>
          <w:p w14:paraId="6EAEBEAB" w14:textId="2C7B7CD7" w:rsidR="00627ECA" w:rsidRDefault="00763343" w:rsidP="00627ECA">
            <w:pPr>
              <w:rPr>
                <w:b/>
              </w:rPr>
            </w:pPr>
            <w:r>
              <w:rPr>
                <w:b/>
              </w:rPr>
              <w:t>5</w:t>
            </w:r>
          </w:p>
        </w:tc>
        <w:tc>
          <w:tcPr>
            <w:tcW w:w="1984" w:type="dxa"/>
          </w:tcPr>
          <w:p w14:paraId="40D59C6F" w14:textId="2501E9E4" w:rsidR="00627ECA" w:rsidRPr="006C47E9" w:rsidRDefault="00627ECA" w:rsidP="00627ECA">
            <w:r w:rsidRPr="006C47E9">
              <w:t>Lidia Valverde</w:t>
            </w:r>
          </w:p>
        </w:tc>
        <w:tc>
          <w:tcPr>
            <w:tcW w:w="6089" w:type="dxa"/>
          </w:tcPr>
          <w:p w14:paraId="5DDF20F8" w14:textId="66DDF35A" w:rsidR="00627ECA" w:rsidRDefault="00627ECA" w:rsidP="00627ECA">
            <w:pPr>
              <w:rPr>
                <w:b/>
              </w:rPr>
            </w:pPr>
            <w:r w:rsidRPr="007F2CC8">
              <w:rPr>
                <w:rFonts w:ascii="Calibri" w:eastAsia="Times New Roman" w:hAnsi="Calibri" w:cs="Times New Roman"/>
                <w:color w:val="000000"/>
                <w:lang w:eastAsia="es-PE"/>
              </w:rPr>
              <w:t>Secretar</w:t>
            </w:r>
            <w:r>
              <w:rPr>
                <w:rFonts w:ascii="Calibri" w:eastAsia="Times New Roman" w:hAnsi="Calibri" w:cs="Times New Roman"/>
                <w:color w:val="000000"/>
                <w:lang w:eastAsia="es-PE"/>
              </w:rPr>
              <w:t>ía</w:t>
            </w:r>
            <w:r w:rsidRPr="007F2CC8">
              <w:rPr>
                <w:rFonts w:ascii="Calibri" w:eastAsia="Times New Roman" w:hAnsi="Calibri" w:cs="Times New Roman"/>
                <w:color w:val="000000"/>
                <w:lang w:eastAsia="es-PE"/>
              </w:rPr>
              <w:t xml:space="preserve"> de Descentralización</w:t>
            </w:r>
          </w:p>
        </w:tc>
      </w:tr>
      <w:tr w:rsidR="00627ECA" w14:paraId="76A5E4DE" w14:textId="77777777" w:rsidTr="006C47E9">
        <w:tc>
          <w:tcPr>
            <w:tcW w:w="421" w:type="dxa"/>
          </w:tcPr>
          <w:p w14:paraId="39A06259" w14:textId="1870FE41" w:rsidR="00627ECA" w:rsidRDefault="00763343" w:rsidP="00627ECA">
            <w:pPr>
              <w:rPr>
                <w:b/>
              </w:rPr>
            </w:pPr>
            <w:r>
              <w:rPr>
                <w:b/>
              </w:rPr>
              <w:t>6</w:t>
            </w:r>
          </w:p>
        </w:tc>
        <w:tc>
          <w:tcPr>
            <w:tcW w:w="1984" w:type="dxa"/>
          </w:tcPr>
          <w:p w14:paraId="58E9C0F4" w14:textId="0D2F0073" w:rsidR="00627ECA" w:rsidRPr="006C47E9" w:rsidRDefault="00627ECA" w:rsidP="00627ECA">
            <w:r w:rsidRPr="006C47E9">
              <w:t xml:space="preserve">Caterina </w:t>
            </w:r>
            <w:r w:rsidR="00763343" w:rsidRPr="006C47E9">
              <w:t>Oliva-Monti</w:t>
            </w:r>
          </w:p>
        </w:tc>
        <w:tc>
          <w:tcPr>
            <w:tcW w:w="6089" w:type="dxa"/>
          </w:tcPr>
          <w:p w14:paraId="1A9C3B91" w14:textId="0A3AAD07" w:rsidR="00627ECA" w:rsidRPr="006C47E9" w:rsidRDefault="00763343" w:rsidP="00627ECA">
            <w:r w:rsidRPr="006C47E9">
              <w:t>Oficial de PNUD</w:t>
            </w:r>
          </w:p>
        </w:tc>
      </w:tr>
    </w:tbl>
    <w:p w14:paraId="076D30BF" w14:textId="77777777" w:rsidR="0049590A" w:rsidRPr="0049590A" w:rsidRDefault="0049590A" w:rsidP="0049590A">
      <w:pPr>
        <w:jc w:val="both"/>
        <w:outlineLvl w:val="0"/>
        <w:rPr>
          <w:b/>
          <w:sz w:val="28"/>
          <w:szCs w:val="28"/>
        </w:rPr>
      </w:pPr>
    </w:p>
    <w:p w14:paraId="5B599789" w14:textId="1E83BA05" w:rsidR="0049590A" w:rsidRPr="000A38A0" w:rsidRDefault="0049590A" w:rsidP="00F4324F">
      <w:pPr>
        <w:pStyle w:val="Heading2"/>
        <w:ind w:left="709"/>
        <w:rPr>
          <w:rFonts w:asciiTheme="minorHAnsi" w:hAnsiTheme="minorHAnsi" w:cstheme="minorHAnsi"/>
          <w:b/>
          <w:color w:val="000000" w:themeColor="text1"/>
          <w:sz w:val="28"/>
          <w:szCs w:val="28"/>
        </w:rPr>
      </w:pPr>
      <w:bookmarkStart w:id="20" w:name="_Toc523393998"/>
      <w:r w:rsidRPr="000A38A0">
        <w:rPr>
          <w:rFonts w:asciiTheme="minorHAnsi" w:hAnsiTheme="minorHAnsi" w:cstheme="minorHAnsi"/>
          <w:b/>
          <w:color w:val="000000" w:themeColor="text1"/>
          <w:sz w:val="28"/>
          <w:szCs w:val="28"/>
        </w:rPr>
        <w:lastRenderedPageBreak/>
        <w:t xml:space="preserve">6.2 </w:t>
      </w:r>
      <w:r w:rsidRPr="000A38A0">
        <w:rPr>
          <w:rFonts w:asciiTheme="minorHAnsi" w:hAnsiTheme="minorHAnsi" w:cstheme="minorHAnsi"/>
          <w:b/>
          <w:color w:val="000000" w:themeColor="text1"/>
          <w:sz w:val="28"/>
          <w:szCs w:val="28"/>
        </w:rPr>
        <w:tab/>
        <w:t>Documentos revisados</w:t>
      </w:r>
      <w:bookmarkEnd w:id="20"/>
    </w:p>
    <w:p w14:paraId="61E9B6A1" w14:textId="77777777" w:rsidR="0049590A" w:rsidRDefault="0049590A" w:rsidP="0049590A"/>
    <w:p w14:paraId="5E10206B" w14:textId="77777777" w:rsidR="0049590A" w:rsidRDefault="0049590A" w:rsidP="0049590A">
      <w:pPr>
        <w:pStyle w:val="ListParagraph"/>
        <w:numPr>
          <w:ilvl w:val="0"/>
          <w:numId w:val="16"/>
        </w:numPr>
        <w:rPr>
          <w:u w:val="single"/>
        </w:rPr>
      </w:pPr>
      <w:r w:rsidRPr="00DF2597">
        <w:rPr>
          <w:u w:val="single"/>
        </w:rPr>
        <w:t>Documentación oficial del proyecto</w:t>
      </w:r>
    </w:p>
    <w:p w14:paraId="30841E84" w14:textId="77777777" w:rsidR="00F4324F" w:rsidRPr="00F4324F" w:rsidRDefault="00F4324F" w:rsidP="00F4324F">
      <w:pPr>
        <w:ind w:left="360"/>
        <w:rPr>
          <w:u w:val="single"/>
        </w:rPr>
      </w:pPr>
    </w:p>
    <w:p w14:paraId="62CE5704" w14:textId="77777777" w:rsidR="0049590A" w:rsidRDefault="0049590A" w:rsidP="0049590A">
      <w:pPr>
        <w:pStyle w:val="ListParagraph"/>
        <w:numPr>
          <w:ilvl w:val="0"/>
          <w:numId w:val="15"/>
        </w:numPr>
      </w:pPr>
      <w:r>
        <w:t xml:space="preserve">PNUD-PCM (2010). </w:t>
      </w:r>
      <w:r w:rsidRPr="00300C25">
        <w:rPr>
          <w:i/>
        </w:rPr>
        <w:t>Fortalecimiento del Proceso de Descentralización y Modernización del país</w:t>
      </w:r>
      <w:r>
        <w:t>. Proyecto original.</w:t>
      </w:r>
    </w:p>
    <w:p w14:paraId="20ED2B24" w14:textId="77777777" w:rsidR="0049590A" w:rsidRDefault="0049590A" w:rsidP="0049590A">
      <w:pPr>
        <w:pStyle w:val="ListParagraph"/>
        <w:numPr>
          <w:ilvl w:val="0"/>
          <w:numId w:val="15"/>
        </w:numPr>
      </w:pPr>
      <w:r>
        <w:t xml:space="preserve">PNUD-PCM (2010) </w:t>
      </w:r>
      <w:r w:rsidRPr="006B334A">
        <w:rPr>
          <w:i/>
        </w:rPr>
        <w:t>Plan de trabajo 2011</w:t>
      </w:r>
      <w:r>
        <w:t>.</w:t>
      </w:r>
    </w:p>
    <w:p w14:paraId="459CD321" w14:textId="77777777" w:rsidR="0049590A" w:rsidRDefault="0049590A" w:rsidP="0049590A">
      <w:pPr>
        <w:pStyle w:val="ListParagraph"/>
        <w:numPr>
          <w:ilvl w:val="0"/>
          <w:numId w:val="15"/>
        </w:numPr>
      </w:pPr>
      <w:r>
        <w:t xml:space="preserve">PNUD-PCM (2012) </w:t>
      </w:r>
      <w:r w:rsidRPr="006B334A">
        <w:rPr>
          <w:i/>
        </w:rPr>
        <w:t>Plan de trabajo 2012</w:t>
      </w:r>
      <w:r>
        <w:t>.</w:t>
      </w:r>
    </w:p>
    <w:p w14:paraId="2C5C64AB" w14:textId="77777777" w:rsidR="0049590A" w:rsidRDefault="0049590A" w:rsidP="0049590A">
      <w:pPr>
        <w:pStyle w:val="ListParagraph"/>
        <w:numPr>
          <w:ilvl w:val="0"/>
          <w:numId w:val="15"/>
        </w:numPr>
      </w:pPr>
      <w:r>
        <w:t xml:space="preserve">PNUD-PCM (s/f) </w:t>
      </w:r>
      <w:r w:rsidRPr="006B334A">
        <w:rPr>
          <w:i/>
        </w:rPr>
        <w:t>Plan de trabajo 2013</w:t>
      </w:r>
      <w:r>
        <w:t>.</w:t>
      </w:r>
    </w:p>
    <w:p w14:paraId="6F8EB921" w14:textId="77777777" w:rsidR="0049590A" w:rsidRDefault="0049590A" w:rsidP="0049590A">
      <w:pPr>
        <w:pStyle w:val="ListParagraph"/>
        <w:numPr>
          <w:ilvl w:val="0"/>
          <w:numId w:val="15"/>
        </w:numPr>
      </w:pPr>
      <w:r>
        <w:t xml:space="preserve">PNUD-PCM (2014) </w:t>
      </w:r>
      <w:r w:rsidRPr="006B334A">
        <w:rPr>
          <w:i/>
        </w:rPr>
        <w:t>Plan de trabajo 2014</w:t>
      </w:r>
      <w:r>
        <w:t>.</w:t>
      </w:r>
    </w:p>
    <w:p w14:paraId="51610BFE" w14:textId="77777777" w:rsidR="0049590A" w:rsidRDefault="0049590A" w:rsidP="0049590A">
      <w:pPr>
        <w:pStyle w:val="ListParagraph"/>
        <w:numPr>
          <w:ilvl w:val="0"/>
          <w:numId w:val="15"/>
        </w:numPr>
      </w:pPr>
      <w:r>
        <w:t xml:space="preserve">PNUD-PCM (2016) </w:t>
      </w:r>
      <w:r w:rsidRPr="006B334A">
        <w:rPr>
          <w:i/>
        </w:rPr>
        <w:t>Plan de trabajo 2016</w:t>
      </w:r>
      <w:r>
        <w:t>.</w:t>
      </w:r>
    </w:p>
    <w:p w14:paraId="1315E36C" w14:textId="77777777" w:rsidR="0049590A" w:rsidRDefault="0049590A" w:rsidP="0049590A">
      <w:pPr>
        <w:pStyle w:val="ListParagraph"/>
        <w:numPr>
          <w:ilvl w:val="0"/>
          <w:numId w:val="15"/>
        </w:numPr>
      </w:pPr>
      <w:r>
        <w:t xml:space="preserve">PNUD-PCM (2017) </w:t>
      </w:r>
      <w:r w:rsidRPr="006B334A">
        <w:rPr>
          <w:i/>
        </w:rPr>
        <w:t>Plan de trabajo 2017</w:t>
      </w:r>
      <w:r>
        <w:t>.</w:t>
      </w:r>
    </w:p>
    <w:p w14:paraId="49C25909" w14:textId="77777777" w:rsidR="0049590A" w:rsidRDefault="0049590A" w:rsidP="0049590A">
      <w:pPr>
        <w:pStyle w:val="ListParagraph"/>
        <w:numPr>
          <w:ilvl w:val="0"/>
          <w:numId w:val="15"/>
        </w:numPr>
      </w:pPr>
      <w:r>
        <w:t xml:space="preserve">PNUD-PCM (2011) </w:t>
      </w:r>
      <w:r w:rsidRPr="006B334A">
        <w:rPr>
          <w:i/>
        </w:rPr>
        <w:t>Revisión Sustantiva</w:t>
      </w:r>
      <w:r>
        <w:t>.</w:t>
      </w:r>
    </w:p>
    <w:p w14:paraId="3FDE8DF4" w14:textId="77777777" w:rsidR="0049590A" w:rsidRDefault="0049590A" w:rsidP="0049590A">
      <w:pPr>
        <w:pStyle w:val="ListParagraph"/>
        <w:numPr>
          <w:ilvl w:val="0"/>
          <w:numId w:val="15"/>
        </w:numPr>
      </w:pPr>
      <w:r>
        <w:t xml:space="preserve">PNUD-PCM (2013) </w:t>
      </w:r>
      <w:r w:rsidRPr="006B334A">
        <w:rPr>
          <w:i/>
        </w:rPr>
        <w:t>Revisión Sustantiva</w:t>
      </w:r>
      <w:r>
        <w:t>.</w:t>
      </w:r>
    </w:p>
    <w:p w14:paraId="57F8A1C1" w14:textId="77777777" w:rsidR="0049590A" w:rsidRDefault="0049590A" w:rsidP="0049590A">
      <w:pPr>
        <w:pStyle w:val="ListParagraph"/>
        <w:numPr>
          <w:ilvl w:val="0"/>
          <w:numId w:val="15"/>
        </w:numPr>
      </w:pPr>
      <w:r>
        <w:t xml:space="preserve">PNUD-PCM (2015) </w:t>
      </w:r>
      <w:r w:rsidRPr="006B334A">
        <w:rPr>
          <w:i/>
        </w:rPr>
        <w:t>Revisión Sustantiva</w:t>
      </w:r>
      <w:r>
        <w:t>.</w:t>
      </w:r>
    </w:p>
    <w:p w14:paraId="78625A54" w14:textId="77777777" w:rsidR="0049590A" w:rsidRDefault="0049590A" w:rsidP="0049590A">
      <w:pPr>
        <w:pStyle w:val="ListParagraph"/>
        <w:numPr>
          <w:ilvl w:val="0"/>
          <w:numId w:val="15"/>
        </w:numPr>
      </w:pPr>
      <w:r>
        <w:t xml:space="preserve">PCM (2013) </w:t>
      </w:r>
      <w:r w:rsidRPr="005C4F73">
        <w:rPr>
          <w:i/>
        </w:rPr>
        <w:t>Reporte anual del proyecto 2012</w:t>
      </w:r>
      <w:r>
        <w:t>.</w:t>
      </w:r>
    </w:p>
    <w:p w14:paraId="703033F6" w14:textId="77777777" w:rsidR="0049590A" w:rsidRDefault="0049590A" w:rsidP="0049590A">
      <w:pPr>
        <w:pStyle w:val="ListParagraph"/>
        <w:numPr>
          <w:ilvl w:val="0"/>
          <w:numId w:val="15"/>
        </w:numPr>
      </w:pPr>
      <w:r>
        <w:t xml:space="preserve">PCM (2014) </w:t>
      </w:r>
      <w:r w:rsidRPr="005C4F73">
        <w:rPr>
          <w:i/>
        </w:rPr>
        <w:t>Reporte anual del proyecto 2013</w:t>
      </w:r>
      <w:r>
        <w:t>.</w:t>
      </w:r>
    </w:p>
    <w:p w14:paraId="0446507E" w14:textId="77777777" w:rsidR="0049590A" w:rsidRDefault="0049590A" w:rsidP="0049590A">
      <w:pPr>
        <w:pStyle w:val="ListParagraph"/>
        <w:numPr>
          <w:ilvl w:val="0"/>
          <w:numId w:val="15"/>
        </w:numPr>
      </w:pPr>
      <w:r>
        <w:t xml:space="preserve">PCM (2015) </w:t>
      </w:r>
      <w:r w:rsidRPr="005C4F73">
        <w:rPr>
          <w:i/>
        </w:rPr>
        <w:t>Reporte anual del proyecto 2014</w:t>
      </w:r>
      <w:r>
        <w:t>.</w:t>
      </w:r>
    </w:p>
    <w:p w14:paraId="188AA973" w14:textId="77777777" w:rsidR="0049590A" w:rsidRDefault="0049590A" w:rsidP="0049590A">
      <w:pPr>
        <w:pStyle w:val="ListParagraph"/>
        <w:numPr>
          <w:ilvl w:val="0"/>
          <w:numId w:val="15"/>
        </w:numPr>
      </w:pPr>
      <w:r>
        <w:t xml:space="preserve">PCM (2016) </w:t>
      </w:r>
      <w:r w:rsidRPr="005C4F73">
        <w:rPr>
          <w:i/>
        </w:rPr>
        <w:t>Reporte anual del proyecto 2015</w:t>
      </w:r>
      <w:r>
        <w:t>.</w:t>
      </w:r>
    </w:p>
    <w:p w14:paraId="1A9352AF" w14:textId="77777777" w:rsidR="0049590A" w:rsidRDefault="0049590A" w:rsidP="0049590A">
      <w:pPr>
        <w:pStyle w:val="ListParagraph"/>
        <w:numPr>
          <w:ilvl w:val="0"/>
          <w:numId w:val="15"/>
        </w:numPr>
      </w:pPr>
      <w:r>
        <w:t xml:space="preserve">PCM (2017) </w:t>
      </w:r>
      <w:r w:rsidRPr="005C4F73">
        <w:rPr>
          <w:i/>
        </w:rPr>
        <w:t>Reporte anual del proyecto 2016</w:t>
      </w:r>
      <w:r>
        <w:t>.</w:t>
      </w:r>
    </w:p>
    <w:p w14:paraId="20D7B601" w14:textId="77777777" w:rsidR="0049590A" w:rsidRDefault="0049590A" w:rsidP="0049590A">
      <w:pPr>
        <w:pStyle w:val="ListParagraph"/>
        <w:numPr>
          <w:ilvl w:val="0"/>
          <w:numId w:val="15"/>
        </w:numPr>
      </w:pPr>
      <w:r>
        <w:t xml:space="preserve">PCM (2018) </w:t>
      </w:r>
      <w:r w:rsidRPr="005C4F73">
        <w:rPr>
          <w:i/>
        </w:rPr>
        <w:t>Reporte anual y final del proyecto 2017</w:t>
      </w:r>
      <w:r>
        <w:t>.</w:t>
      </w:r>
    </w:p>
    <w:p w14:paraId="0E6E0135" w14:textId="77777777" w:rsidR="0049590A" w:rsidRDefault="0049590A" w:rsidP="0049590A"/>
    <w:p w14:paraId="2D31149D" w14:textId="77777777" w:rsidR="0049590A" w:rsidRDefault="0049590A" w:rsidP="0049590A">
      <w:pPr>
        <w:pStyle w:val="ListParagraph"/>
        <w:numPr>
          <w:ilvl w:val="0"/>
          <w:numId w:val="16"/>
        </w:numPr>
        <w:rPr>
          <w:u w:val="single"/>
        </w:rPr>
      </w:pPr>
      <w:r>
        <w:rPr>
          <w:u w:val="single"/>
        </w:rPr>
        <w:t>Fuentes primarias y planes</w:t>
      </w:r>
    </w:p>
    <w:p w14:paraId="7E6B3424" w14:textId="77777777" w:rsidR="0049590A" w:rsidRDefault="0049590A" w:rsidP="0049590A">
      <w:pPr>
        <w:pStyle w:val="ListParagraph"/>
        <w:numPr>
          <w:ilvl w:val="0"/>
          <w:numId w:val="15"/>
        </w:numPr>
      </w:pPr>
      <w:r>
        <w:rPr>
          <w:i/>
        </w:rPr>
        <w:t>D</w:t>
      </w:r>
      <w:r w:rsidRPr="007465D6">
        <w:rPr>
          <w:i/>
        </w:rPr>
        <w:t>iscurso del Presidente Constitucional de la República, Ingeniero Martín Alberto Vizcarra Cornejo, ante el Congreso Nacional, el 28 de julio de 2018</w:t>
      </w:r>
      <w:r>
        <w:t>,</w:t>
      </w:r>
    </w:p>
    <w:p w14:paraId="71BC4F59" w14:textId="77777777" w:rsidR="0049590A" w:rsidRDefault="0049590A" w:rsidP="0049590A">
      <w:pPr>
        <w:pStyle w:val="ListParagraph"/>
        <w:numPr>
          <w:ilvl w:val="0"/>
          <w:numId w:val="15"/>
        </w:numPr>
      </w:pPr>
      <w:r w:rsidRPr="0094620B">
        <w:t>Mancomunidades municipales inscritas hasta 201</w:t>
      </w:r>
      <w:r>
        <w:t>8</w:t>
      </w:r>
      <w:r w:rsidRPr="0094620B">
        <w:t xml:space="preserve"> (documento en Excel)</w:t>
      </w:r>
    </w:p>
    <w:p w14:paraId="603CF65A" w14:textId="77777777" w:rsidR="0049590A" w:rsidRDefault="0049590A" w:rsidP="0049590A">
      <w:pPr>
        <w:pStyle w:val="ListParagraph"/>
        <w:numPr>
          <w:ilvl w:val="0"/>
          <w:numId w:val="15"/>
        </w:numPr>
      </w:pPr>
      <w:r w:rsidRPr="0094620B">
        <w:t xml:space="preserve">Mancomunidades </w:t>
      </w:r>
      <w:r>
        <w:t>regionales</w:t>
      </w:r>
      <w:r w:rsidRPr="0094620B">
        <w:t xml:space="preserve"> inscritas hasta 201</w:t>
      </w:r>
      <w:r>
        <w:t>8</w:t>
      </w:r>
      <w:r w:rsidRPr="0094620B">
        <w:t xml:space="preserve"> (documento en Excel)</w:t>
      </w:r>
    </w:p>
    <w:p w14:paraId="1DC3BFA0" w14:textId="77777777" w:rsidR="0049590A" w:rsidRDefault="0049590A" w:rsidP="0049590A">
      <w:pPr>
        <w:pStyle w:val="ListParagraph"/>
        <w:numPr>
          <w:ilvl w:val="0"/>
          <w:numId w:val="15"/>
        </w:numPr>
      </w:pPr>
      <w:r w:rsidRPr="00696892">
        <w:t xml:space="preserve">Relación de consultorías proyecto </w:t>
      </w:r>
      <w:r>
        <w:t>PNUD</w:t>
      </w:r>
      <w:r w:rsidRPr="00696892">
        <w:t xml:space="preserve"> 00059451 </w:t>
      </w:r>
      <w:r>
        <w:t xml:space="preserve">- </w:t>
      </w:r>
      <w:r w:rsidRPr="00696892">
        <w:t>2014 al 2017</w:t>
      </w:r>
      <w:r>
        <w:t xml:space="preserve"> </w:t>
      </w:r>
      <w:r w:rsidRPr="0094620B">
        <w:t>(documento en Excel)</w:t>
      </w:r>
    </w:p>
    <w:p w14:paraId="799B2A4C" w14:textId="77777777" w:rsidR="0049590A" w:rsidRDefault="0049590A" w:rsidP="0049590A">
      <w:pPr>
        <w:pStyle w:val="ListParagraph"/>
        <w:numPr>
          <w:ilvl w:val="0"/>
          <w:numId w:val="15"/>
        </w:numPr>
      </w:pPr>
      <w:r>
        <w:t xml:space="preserve">Instructivo cartografía </w:t>
      </w:r>
      <w:proofErr w:type="spellStart"/>
      <w:r>
        <w:t>Sayhuite</w:t>
      </w:r>
      <w:proofErr w:type="spellEnd"/>
      <w:r>
        <w:t>.</w:t>
      </w:r>
    </w:p>
    <w:p w14:paraId="50B2A942" w14:textId="77777777" w:rsidR="0049590A" w:rsidRDefault="0049590A" w:rsidP="0049590A">
      <w:pPr>
        <w:pStyle w:val="ListParagraph"/>
        <w:numPr>
          <w:ilvl w:val="0"/>
          <w:numId w:val="15"/>
        </w:numPr>
      </w:pPr>
      <w:r>
        <w:t>Plan Anual de Transferencia de Competencias Sectoriales a los Gobiernos Regionales</w:t>
      </w:r>
    </w:p>
    <w:p w14:paraId="7114285C" w14:textId="77777777" w:rsidR="0049590A" w:rsidRDefault="0049590A" w:rsidP="0049590A">
      <w:pPr>
        <w:pStyle w:val="ListParagraph"/>
      </w:pPr>
      <w:r>
        <w:t xml:space="preserve">y Locales del año 2009 y otras disposiciones para el desarrollo del proceso de descentralización (Decreto Supremo </w:t>
      </w:r>
      <w:proofErr w:type="spellStart"/>
      <w:r>
        <w:t>Nº</w:t>
      </w:r>
      <w:proofErr w:type="spellEnd"/>
      <w:r>
        <w:t xml:space="preserve"> 047-2009-PCM)</w:t>
      </w:r>
    </w:p>
    <w:p w14:paraId="2D5D3407" w14:textId="77777777" w:rsidR="0049590A" w:rsidRDefault="0049590A" w:rsidP="0049590A">
      <w:pPr>
        <w:pStyle w:val="ListParagraph"/>
        <w:numPr>
          <w:ilvl w:val="0"/>
          <w:numId w:val="15"/>
        </w:numPr>
      </w:pPr>
      <w:r>
        <w:t xml:space="preserve">Política Nacional de Modernización de la Gestión Pública (Decreto Supremo </w:t>
      </w:r>
      <w:proofErr w:type="spellStart"/>
      <w:r>
        <w:t>Nº</w:t>
      </w:r>
      <w:proofErr w:type="spellEnd"/>
      <w:r>
        <w:t xml:space="preserve"> 004-2013-PCM)</w:t>
      </w:r>
    </w:p>
    <w:p w14:paraId="6BA1CBE1" w14:textId="77777777" w:rsidR="0049590A" w:rsidRDefault="0049590A" w:rsidP="0049590A">
      <w:pPr>
        <w:pStyle w:val="ListParagraph"/>
        <w:numPr>
          <w:ilvl w:val="0"/>
          <w:numId w:val="15"/>
        </w:numPr>
      </w:pPr>
      <w:r>
        <w:t xml:space="preserve">Plan de Supervisión y Evaluación de las Competencias Sectoriales Transferidas a los Gobiernos Regionales y Locales, con Enfoque de Gestión Descentralizada de Servicios Públicos” (Resolución Ministerial </w:t>
      </w:r>
      <w:proofErr w:type="spellStart"/>
      <w:r>
        <w:t>Nº</w:t>
      </w:r>
      <w:proofErr w:type="spellEnd"/>
      <w:r>
        <w:t xml:space="preserve"> 335-2012-PCM)</w:t>
      </w:r>
    </w:p>
    <w:p w14:paraId="391760B0" w14:textId="77777777" w:rsidR="0049590A" w:rsidRDefault="0049590A" w:rsidP="0049590A">
      <w:pPr>
        <w:pStyle w:val="ListParagraph"/>
        <w:numPr>
          <w:ilvl w:val="0"/>
          <w:numId w:val="15"/>
        </w:numPr>
      </w:pPr>
      <w:r>
        <w:t>Plan de implementación de la Política Nacional de Modernización de la Gestión Pública 2013-2016.</w:t>
      </w:r>
    </w:p>
    <w:p w14:paraId="50E513C8" w14:textId="77777777" w:rsidR="0049590A" w:rsidRDefault="0049590A" w:rsidP="0049590A">
      <w:pPr>
        <w:pStyle w:val="ListParagraph"/>
        <w:numPr>
          <w:ilvl w:val="0"/>
          <w:numId w:val="15"/>
        </w:numPr>
      </w:pPr>
      <w:r>
        <w:t xml:space="preserve">OTME (2015). </w:t>
      </w:r>
      <w:r w:rsidRPr="00B27617">
        <w:rPr>
          <w:i/>
        </w:rPr>
        <w:t>Lineamiento generales para la determinación e implementación de las Acciones de Mejora Continua de los Servicios Públicos</w:t>
      </w:r>
      <w:r>
        <w:t xml:space="preserve"> (Resolución SD 009-2015-PCM/SD)</w:t>
      </w:r>
    </w:p>
    <w:p w14:paraId="7F34C34F" w14:textId="77777777" w:rsidR="0049590A" w:rsidRDefault="0049590A" w:rsidP="0049590A">
      <w:pPr>
        <w:pStyle w:val="ListParagraph"/>
        <w:numPr>
          <w:ilvl w:val="0"/>
          <w:numId w:val="15"/>
        </w:numPr>
      </w:pPr>
      <w:r>
        <w:t>Plan Regional de Desarrollo de Capacidades del Gobierno Regional de San Martín.</w:t>
      </w:r>
    </w:p>
    <w:p w14:paraId="26359DDE" w14:textId="77777777" w:rsidR="0049590A" w:rsidRDefault="0049590A" w:rsidP="0049590A">
      <w:pPr>
        <w:ind w:left="360"/>
        <w:rPr>
          <w:u w:val="single"/>
        </w:rPr>
      </w:pPr>
    </w:p>
    <w:p w14:paraId="71F62456" w14:textId="77777777" w:rsidR="0049590A" w:rsidRDefault="0049590A" w:rsidP="0049590A">
      <w:pPr>
        <w:pStyle w:val="ListParagraph"/>
        <w:numPr>
          <w:ilvl w:val="0"/>
          <w:numId w:val="16"/>
        </w:numPr>
        <w:rPr>
          <w:u w:val="single"/>
        </w:rPr>
      </w:pPr>
      <w:r>
        <w:rPr>
          <w:u w:val="single"/>
        </w:rPr>
        <w:t>Fuentes secundarias</w:t>
      </w:r>
    </w:p>
    <w:p w14:paraId="5AF6779C" w14:textId="77777777" w:rsidR="0049590A" w:rsidRPr="009459AB" w:rsidRDefault="0049590A" w:rsidP="0049590A">
      <w:pPr>
        <w:pStyle w:val="ListParagraph"/>
        <w:numPr>
          <w:ilvl w:val="0"/>
          <w:numId w:val="15"/>
        </w:numPr>
        <w:rPr>
          <w:u w:val="single"/>
        </w:rPr>
      </w:pPr>
      <w:r w:rsidRPr="00EF0523">
        <w:t>Remy, M.I</w:t>
      </w:r>
      <w:r>
        <w:t xml:space="preserve">. </w:t>
      </w:r>
      <w:r w:rsidRPr="00EF0523">
        <w:t>(201</w:t>
      </w:r>
      <w:r>
        <w:t>3</w:t>
      </w:r>
      <w:r w:rsidRPr="00EF0523">
        <w:t xml:space="preserve">) </w:t>
      </w:r>
      <w:r w:rsidRPr="000267DD">
        <w:rPr>
          <w:i/>
        </w:rPr>
        <w:t>Sistematización del marco normativo de acción y propuestas para fortalecer la participación ciudadana en el marco del Plan de Acción de Gobierno Abierto y la Política Nacional de Modernización de la Gestión Pública</w:t>
      </w:r>
      <w:r w:rsidRPr="00EF0523">
        <w:t>.</w:t>
      </w:r>
      <w:r>
        <w:t xml:space="preserve"> PRODES-USAID</w:t>
      </w:r>
    </w:p>
    <w:p w14:paraId="3C578087" w14:textId="77777777" w:rsidR="0049590A" w:rsidRPr="00A52008" w:rsidRDefault="0049590A" w:rsidP="0049590A">
      <w:pPr>
        <w:pStyle w:val="ListParagraph"/>
        <w:numPr>
          <w:ilvl w:val="0"/>
          <w:numId w:val="15"/>
        </w:numPr>
        <w:rPr>
          <w:u w:val="single"/>
        </w:rPr>
      </w:pPr>
      <w:r>
        <w:t xml:space="preserve">OECD (2016). </w:t>
      </w:r>
      <w:r w:rsidRPr="00CA1011">
        <w:rPr>
          <w:i/>
        </w:rPr>
        <w:t>Perú. Gobernanza Integrada para un Crecimiento Inclusivo</w:t>
      </w:r>
      <w:r>
        <w:t>. Estudios de la OCDE sobre Gobernanza Pública.</w:t>
      </w:r>
    </w:p>
    <w:p w14:paraId="03EA8141" w14:textId="77777777" w:rsidR="0049590A" w:rsidRDefault="0049590A" w:rsidP="0049590A">
      <w:pPr>
        <w:ind w:left="360"/>
        <w:rPr>
          <w:u w:val="single"/>
        </w:rPr>
      </w:pPr>
    </w:p>
    <w:p w14:paraId="566D55A8" w14:textId="77777777" w:rsidR="0049590A" w:rsidRPr="00DF2597" w:rsidRDefault="0049590A" w:rsidP="0049590A">
      <w:pPr>
        <w:pStyle w:val="ListParagraph"/>
        <w:numPr>
          <w:ilvl w:val="0"/>
          <w:numId w:val="16"/>
        </w:numPr>
        <w:rPr>
          <w:u w:val="single"/>
        </w:rPr>
      </w:pPr>
      <w:r w:rsidRPr="00DF2597">
        <w:rPr>
          <w:u w:val="single"/>
        </w:rPr>
        <w:t>Consultorías del proyecto</w:t>
      </w:r>
    </w:p>
    <w:p w14:paraId="1C3E9EE4" w14:textId="77777777" w:rsidR="0049590A" w:rsidRDefault="0049590A" w:rsidP="0049590A">
      <w:pPr>
        <w:rPr>
          <w:u w:val="single"/>
        </w:rPr>
      </w:pPr>
      <w:r>
        <w:rPr>
          <w:u w:val="single"/>
        </w:rPr>
        <w:t>Generales</w:t>
      </w:r>
    </w:p>
    <w:p w14:paraId="3DD148BF" w14:textId="404884C4" w:rsidR="0049590A" w:rsidRDefault="0049590A" w:rsidP="0049590A">
      <w:pPr>
        <w:pStyle w:val="ListParagraph"/>
        <w:numPr>
          <w:ilvl w:val="0"/>
          <w:numId w:val="15"/>
        </w:numPr>
      </w:pPr>
      <w:r>
        <w:t>(2016) Contrato y documentos FACE135, FACE173, FACE245 y FACE 246 del consultor Carlos Quispe Cajas en el marco del contrato para brindar asistencia técnica a la Secretaría de Descentralización.</w:t>
      </w:r>
    </w:p>
    <w:p w14:paraId="20E089DA" w14:textId="779D74BA" w:rsidR="0049590A" w:rsidRDefault="0049590A" w:rsidP="0049590A">
      <w:pPr>
        <w:pStyle w:val="ListParagraph"/>
        <w:numPr>
          <w:ilvl w:val="0"/>
          <w:numId w:val="15"/>
        </w:numPr>
      </w:pPr>
      <w:r>
        <w:t xml:space="preserve">(2017) Contrato y documentos FACE054-2017, FACE078-2017, FACE095-2017y FACE096-2017 del consultor Víctor Rojas </w:t>
      </w:r>
      <w:r w:rsidR="00515314">
        <w:t>González</w:t>
      </w:r>
      <w:r>
        <w:t xml:space="preserve"> en el marco del contrato para la sistematización de información referida al Estado y percepción de los servicios públicos a nivel regional.</w:t>
      </w:r>
    </w:p>
    <w:p w14:paraId="61152817" w14:textId="77777777" w:rsidR="0049590A" w:rsidRPr="006C319C" w:rsidRDefault="0049590A" w:rsidP="0049590A">
      <w:pPr>
        <w:pStyle w:val="ListParagraph"/>
        <w:numPr>
          <w:ilvl w:val="0"/>
          <w:numId w:val="15"/>
        </w:numPr>
      </w:pPr>
      <w:proofErr w:type="spellStart"/>
      <w:r>
        <w:t>Corilloclla</w:t>
      </w:r>
      <w:proofErr w:type="spellEnd"/>
      <w:r>
        <w:t xml:space="preserve">, Omar (2017) </w:t>
      </w:r>
      <w:r w:rsidRPr="001A60C3">
        <w:rPr>
          <w:i/>
        </w:rPr>
        <w:t>Servicio de diagnóstico de la situación actual de las mancomunidades</w:t>
      </w:r>
      <w:r>
        <w:t>. Informe final</w:t>
      </w:r>
    </w:p>
    <w:p w14:paraId="03AFE788" w14:textId="77777777" w:rsidR="0049590A" w:rsidRDefault="0049590A" w:rsidP="0049590A">
      <w:pPr>
        <w:pStyle w:val="ListParagraph"/>
        <w:numPr>
          <w:ilvl w:val="0"/>
          <w:numId w:val="15"/>
        </w:numPr>
      </w:pPr>
      <w:r>
        <w:t xml:space="preserve">Paulini, Javier (2017). </w:t>
      </w:r>
      <w:r w:rsidRPr="00EB02D2">
        <w:rPr>
          <w:i/>
        </w:rPr>
        <w:t>Análisis y evaluación de las actividades realizadas por la Secretaría de Descentralización y elaboración de la nueva hoja de ruta de la Secretaría de Descentralización</w:t>
      </w:r>
      <w:r>
        <w:t>. Informe final.</w:t>
      </w:r>
    </w:p>
    <w:p w14:paraId="0E51F279" w14:textId="77777777" w:rsidR="0049590A" w:rsidRDefault="0049590A" w:rsidP="0049590A">
      <w:pPr>
        <w:pStyle w:val="ListParagraph"/>
        <w:numPr>
          <w:ilvl w:val="0"/>
          <w:numId w:val="15"/>
        </w:numPr>
      </w:pPr>
      <w:r w:rsidRPr="006C319C">
        <w:t>Talledo, Francisca (2014)</w:t>
      </w:r>
      <w:r>
        <w:t xml:space="preserve"> </w:t>
      </w:r>
      <w:r w:rsidRPr="00DF2597">
        <w:rPr>
          <w:i/>
        </w:rPr>
        <w:t>Informe consolidado sobre el proceso de inducción para la participación activa de los gobiernos regionales en la implementación de las acciones de mejora continua.</w:t>
      </w:r>
      <w:r>
        <w:t xml:space="preserve"> V entregable.</w:t>
      </w:r>
    </w:p>
    <w:p w14:paraId="78CFC9EB" w14:textId="77777777" w:rsidR="0049590A" w:rsidRDefault="0049590A" w:rsidP="0049590A">
      <w:pPr>
        <w:rPr>
          <w:u w:val="single"/>
        </w:rPr>
      </w:pPr>
    </w:p>
    <w:p w14:paraId="568244E4" w14:textId="77777777" w:rsidR="0049590A" w:rsidRDefault="0049590A" w:rsidP="0049590A">
      <w:pPr>
        <w:rPr>
          <w:u w:val="single"/>
        </w:rPr>
      </w:pPr>
      <w:r>
        <w:rPr>
          <w:u w:val="single"/>
        </w:rPr>
        <w:t>Para la región Cusco:</w:t>
      </w:r>
    </w:p>
    <w:p w14:paraId="5E99B6DE" w14:textId="77777777" w:rsidR="0049590A" w:rsidRDefault="0049590A" w:rsidP="0049590A">
      <w:pPr>
        <w:pStyle w:val="ListParagraph"/>
        <w:numPr>
          <w:ilvl w:val="0"/>
          <w:numId w:val="15"/>
        </w:numPr>
      </w:pPr>
      <w:r>
        <w:t xml:space="preserve">(2013) </w:t>
      </w:r>
      <w:r w:rsidRPr="00ED5B89">
        <w:t>Contrato, TDR y entregables 1, 2 y 3 del consultor Urbano Nelson Quiroz Saldaña.</w:t>
      </w:r>
    </w:p>
    <w:p w14:paraId="4A094CE5" w14:textId="77777777" w:rsidR="0049590A" w:rsidRDefault="0049590A" w:rsidP="0049590A">
      <w:pPr>
        <w:pStyle w:val="ListParagraph"/>
        <w:numPr>
          <w:ilvl w:val="0"/>
          <w:numId w:val="15"/>
        </w:numPr>
      </w:pPr>
      <w:r>
        <w:t>(2014) Productos 1, 2 y 3 de la consultora Martha Chumpitaz Vásquez</w:t>
      </w:r>
    </w:p>
    <w:p w14:paraId="61D7DCC2" w14:textId="77777777" w:rsidR="0049590A" w:rsidRPr="00ED5B89" w:rsidRDefault="0049590A" w:rsidP="0049590A">
      <w:pPr>
        <w:pStyle w:val="ListParagraph"/>
        <w:numPr>
          <w:ilvl w:val="0"/>
          <w:numId w:val="15"/>
        </w:numPr>
      </w:pPr>
      <w:r>
        <w:t>(2015) Contrato y documentos SDP 114, SDP 140, SDP 187, SDP 187_2 y SDP 227 del consultor Carlos Quispe Cajas.</w:t>
      </w:r>
    </w:p>
    <w:p w14:paraId="313CEA13" w14:textId="77777777" w:rsidR="0049590A" w:rsidRDefault="0049590A" w:rsidP="0049590A">
      <w:pPr>
        <w:rPr>
          <w:u w:val="single"/>
        </w:rPr>
      </w:pPr>
    </w:p>
    <w:p w14:paraId="08ECAE73" w14:textId="77777777" w:rsidR="0049590A" w:rsidRDefault="0049590A" w:rsidP="0049590A">
      <w:pPr>
        <w:rPr>
          <w:u w:val="single"/>
        </w:rPr>
      </w:pPr>
      <w:r>
        <w:rPr>
          <w:u w:val="single"/>
        </w:rPr>
        <w:t>Para la región Piura</w:t>
      </w:r>
    </w:p>
    <w:p w14:paraId="7AED398E" w14:textId="6E93EB45" w:rsidR="0049590A" w:rsidRDefault="0049590A" w:rsidP="0049590A">
      <w:pPr>
        <w:pStyle w:val="ListParagraph"/>
        <w:numPr>
          <w:ilvl w:val="0"/>
          <w:numId w:val="15"/>
        </w:numPr>
      </w:pPr>
      <w:r>
        <w:t xml:space="preserve">(2013) </w:t>
      </w:r>
      <w:r w:rsidRPr="00ED5B89">
        <w:t>Contrato, TDR y entregables 1, 2 y 3 de la consultora Rosa de Fátima Díaz</w:t>
      </w:r>
    </w:p>
    <w:p w14:paraId="79C5FD3C" w14:textId="77777777" w:rsidR="0049590A" w:rsidRDefault="0049590A" w:rsidP="0049590A">
      <w:pPr>
        <w:pStyle w:val="ListParagraph"/>
        <w:numPr>
          <w:ilvl w:val="0"/>
          <w:numId w:val="15"/>
        </w:numPr>
      </w:pPr>
      <w:r>
        <w:t>(2014) Productos 1, 2 y 3 de la consultora Francisca Talledo Reyes</w:t>
      </w:r>
    </w:p>
    <w:p w14:paraId="3B90E25B" w14:textId="77777777" w:rsidR="0049590A" w:rsidRPr="00ED5B89" w:rsidRDefault="0049590A" w:rsidP="0049590A">
      <w:pPr>
        <w:pStyle w:val="ListParagraph"/>
        <w:numPr>
          <w:ilvl w:val="0"/>
          <w:numId w:val="15"/>
        </w:numPr>
      </w:pPr>
      <w:r>
        <w:t>(2015) Contrato y documentos SDP115, SDP149 y SDP228 del consultor Juan Peña Díaz.</w:t>
      </w:r>
    </w:p>
    <w:p w14:paraId="288ACCF7" w14:textId="77777777" w:rsidR="008A7984" w:rsidRDefault="008A7984" w:rsidP="00666520">
      <w:pPr>
        <w:rPr>
          <w:b/>
        </w:rPr>
      </w:pPr>
    </w:p>
    <w:sectPr w:rsidR="008A7984" w:rsidSect="00FA29E9">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78742" w14:textId="77777777" w:rsidR="00C15406" w:rsidRDefault="00C15406" w:rsidP="00EF4328">
      <w:pPr>
        <w:spacing w:after="0" w:line="240" w:lineRule="auto"/>
      </w:pPr>
      <w:r>
        <w:separator/>
      </w:r>
    </w:p>
  </w:endnote>
  <w:endnote w:type="continuationSeparator" w:id="0">
    <w:p w14:paraId="42FBDB01" w14:textId="77777777" w:rsidR="00C15406" w:rsidRDefault="00C15406" w:rsidP="00EF4328">
      <w:pPr>
        <w:spacing w:after="0" w:line="240" w:lineRule="auto"/>
      </w:pPr>
      <w:r>
        <w:continuationSeparator/>
      </w:r>
    </w:p>
  </w:endnote>
  <w:endnote w:type="continuationNotice" w:id="1">
    <w:p w14:paraId="49EB132F" w14:textId="77777777" w:rsidR="00C15406" w:rsidRDefault="00C154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0341914"/>
      <w:docPartObj>
        <w:docPartGallery w:val="Page Numbers (Bottom of Page)"/>
        <w:docPartUnique/>
      </w:docPartObj>
    </w:sdtPr>
    <w:sdtEndPr>
      <w:rPr>
        <w:noProof/>
      </w:rPr>
    </w:sdtEndPr>
    <w:sdtContent>
      <w:p w14:paraId="529DB55B" w14:textId="3A9347C0" w:rsidR="00C05EC8" w:rsidRDefault="00C05EC8">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0AAEE7FD" w14:textId="77777777" w:rsidR="00C05EC8" w:rsidRDefault="00C05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21568" w14:textId="77777777" w:rsidR="00C15406" w:rsidRDefault="00C15406" w:rsidP="00EF4328">
      <w:pPr>
        <w:spacing w:after="0" w:line="240" w:lineRule="auto"/>
      </w:pPr>
      <w:r>
        <w:separator/>
      </w:r>
    </w:p>
  </w:footnote>
  <w:footnote w:type="continuationSeparator" w:id="0">
    <w:p w14:paraId="7F1F5B82" w14:textId="77777777" w:rsidR="00C15406" w:rsidRDefault="00C15406" w:rsidP="00EF4328">
      <w:pPr>
        <w:spacing w:after="0" w:line="240" w:lineRule="auto"/>
      </w:pPr>
      <w:r>
        <w:continuationSeparator/>
      </w:r>
    </w:p>
  </w:footnote>
  <w:footnote w:type="continuationNotice" w:id="1">
    <w:p w14:paraId="23300D54" w14:textId="77777777" w:rsidR="00C15406" w:rsidRDefault="00C15406">
      <w:pPr>
        <w:spacing w:after="0" w:line="240" w:lineRule="auto"/>
      </w:pPr>
    </w:p>
  </w:footnote>
  <w:footnote w:id="2">
    <w:p w14:paraId="36CD89A2" w14:textId="3F0A0C7F" w:rsidR="00C05EC8" w:rsidRDefault="00C05EC8">
      <w:pPr>
        <w:pStyle w:val="FootnoteText"/>
      </w:pPr>
      <w:r>
        <w:rPr>
          <w:rStyle w:val="FootnoteReference"/>
        </w:rPr>
        <w:footnoteRef/>
      </w:r>
      <w:r>
        <w:t xml:space="preserve"> Javier Velásquez, José Antonio Chang y Rosario Fernández (2010-2011), Salomón Lerner, Oscar Valdés, Juan Jiménez, César Villanueva, René Cornejo, Ana Jara y Pedro Cateriano (2011-2016) Fernando Zavala y Mercedes Araoz (2016-2017).</w:t>
      </w:r>
    </w:p>
  </w:footnote>
  <w:footnote w:id="3">
    <w:p w14:paraId="552FC57D" w14:textId="4F81ED6B" w:rsidR="00C05EC8" w:rsidRDefault="00C05EC8">
      <w:pPr>
        <w:pStyle w:val="FootnoteText"/>
      </w:pPr>
      <w:r>
        <w:rPr>
          <w:rStyle w:val="FootnoteReference"/>
        </w:rPr>
        <w:footnoteRef/>
      </w:r>
      <w:r>
        <w:t xml:space="preserve"> Los documentos iniciales mencionan al VRAE, no al VRAEM (el VRAE es el Valle de los Ríos Apurímac y Ene; luego se agrega a esta zona el ámbito del valle del Mantaro y deviene VRAEM). En esta evaluación, y por acuerdo con PNUD, no ahondamos en el desempeño del proyecto respecto a este resultado (resultado 2 según el plan original) aunque hacemos menciones ocasionales al mismo cuando de su aplicación se desprendan recomendaciones para el trabajo futuro entre PCM y PNUD.</w:t>
      </w:r>
    </w:p>
  </w:footnote>
  <w:footnote w:id="4">
    <w:p w14:paraId="13D491F5" w14:textId="4A8C8F0E" w:rsidR="00C05EC8" w:rsidRPr="00EF0523" w:rsidRDefault="00C05EC8">
      <w:pPr>
        <w:pStyle w:val="FootnoteText"/>
      </w:pPr>
      <w:r>
        <w:rPr>
          <w:rStyle w:val="FootnoteReference"/>
        </w:rPr>
        <w:footnoteRef/>
      </w:r>
      <w:r w:rsidRPr="00EF0523">
        <w:t xml:space="preserve"> Remy, M.I</w:t>
      </w:r>
      <w:r>
        <w:t xml:space="preserve">. </w:t>
      </w:r>
      <w:r w:rsidRPr="00EF0523">
        <w:t>(201</w:t>
      </w:r>
      <w:r>
        <w:t>3</w:t>
      </w:r>
      <w:r w:rsidRPr="00EF0523">
        <w:t xml:space="preserve">) </w:t>
      </w:r>
      <w:r w:rsidRPr="000267DD">
        <w:rPr>
          <w:i/>
        </w:rPr>
        <w:t>Sistematización del marco normativo de acción y propuestas para fortalecer la participación ciudadana en el marco del Plan de Acción de Gobierno Abierto y la Política Nacional de Modernización de la Gestión Pública</w:t>
      </w:r>
      <w:r w:rsidRPr="00EF0523">
        <w:t>.</w:t>
      </w:r>
      <w:r>
        <w:t xml:space="preserve"> PRODES-USAID,</w:t>
      </w:r>
      <w:r w:rsidRPr="00EF0523">
        <w:t xml:space="preserve"> p. 17</w:t>
      </w:r>
    </w:p>
  </w:footnote>
  <w:footnote w:id="5">
    <w:p w14:paraId="4AAAB88D" w14:textId="0FC1FDC4" w:rsidR="00C05EC8" w:rsidRDefault="00C05EC8">
      <w:pPr>
        <w:pStyle w:val="FootnoteText"/>
      </w:pPr>
      <w:r>
        <w:rPr>
          <w:rStyle w:val="FootnoteReference"/>
        </w:rPr>
        <w:footnoteRef/>
      </w:r>
      <w:r>
        <w:t xml:space="preserve"> Aunque con funciones muy distintas, como veremos.</w:t>
      </w:r>
    </w:p>
  </w:footnote>
  <w:footnote w:id="6">
    <w:p w14:paraId="2CE58E8C" w14:textId="3A8B9CF9" w:rsidR="00C05EC8" w:rsidRDefault="00C05EC8">
      <w:pPr>
        <w:pStyle w:val="FootnoteText"/>
      </w:pPr>
      <w:r>
        <w:rPr>
          <w:rStyle w:val="FootnoteReference"/>
        </w:rPr>
        <w:footnoteRef/>
      </w:r>
      <w:r>
        <w:t xml:space="preserve"> En el caso de Cusco, la entrevista no pudo ser presencial porque la compañía aérea canceló vuelos dos días consecutivos.</w:t>
      </w:r>
    </w:p>
  </w:footnote>
  <w:footnote w:id="7">
    <w:p w14:paraId="5052A7A1" w14:textId="67321B1A" w:rsidR="00C05EC8" w:rsidRPr="007B7D4A" w:rsidRDefault="00C05EC8">
      <w:pPr>
        <w:pStyle w:val="FootnoteText"/>
      </w:pPr>
      <w:r>
        <w:rPr>
          <w:rStyle w:val="FootnoteReference"/>
        </w:rPr>
        <w:footnoteRef/>
      </w:r>
      <w:r w:rsidRPr="007B7D4A">
        <w:t xml:space="preserve"> Sólo hemos recibido los r</w:t>
      </w:r>
      <w:r>
        <w:t>eportes desde el año 2012 en adelante, por lo que no incluimos información del 2010 y 2011.</w:t>
      </w:r>
    </w:p>
  </w:footnote>
  <w:footnote w:id="8">
    <w:p w14:paraId="4A09B594" w14:textId="1F12066C" w:rsidR="00C05EC8" w:rsidRPr="007B7D4A" w:rsidRDefault="00C05EC8" w:rsidP="000A373D">
      <w:pPr>
        <w:pStyle w:val="FootnoteText"/>
      </w:pPr>
      <w:r>
        <w:rPr>
          <w:rStyle w:val="FootnoteReference"/>
        </w:rPr>
        <w:footnoteRef/>
      </w:r>
      <w:r w:rsidRPr="007B7D4A">
        <w:t xml:space="preserve"> Sólo hemos recibido los r</w:t>
      </w:r>
      <w:r>
        <w:t>eportes a PNUD desde el año 2012 en adelante, por lo que no incluimos información de los años 2010 y 2011.</w:t>
      </w:r>
    </w:p>
  </w:footnote>
  <w:footnote w:id="9">
    <w:p w14:paraId="1D496AFA" w14:textId="7DCDC3BF" w:rsidR="00C05EC8" w:rsidRPr="003853A9" w:rsidRDefault="00C05EC8">
      <w:pPr>
        <w:pStyle w:val="FootnoteText"/>
      </w:pPr>
      <w:r>
        <w:rPr>
          <w:rStyle w:val="FootnoteReference"/>
        </w:rPr>
        <w:footnoteRef/>
      </w:r>
      <w:r w:rsidRPr="003853A9">
        <w:t xml:space="preserve"> Art. 2 D.S. 047-2009-PCM</w:t>
      </w:r>
    </w:p>
  </w:footnote>
  <w:footnote w:id="10">
    <w:p w14:paraId="487E12E1" w14:textId="27E35D33" w:rsidR="00C05EC8" w:rsidRPr="006D2413" w:rsidRDefault="00C05EC8">
      <w:pPr>
        <w:pStyle w:val="FootnoteText"/>
      </w:pPr>
      <w:r>
        <w:rPr>
          <w:rStyle w:val="FootnoteReference"/>
        </w:rPr>
        <w:footnoteRef/>
      </w:r>
      <w:r>
        <w:t xml:space="preserve"> </w:t>
      </w:r>
      <w:r w:rsidRPr="006D2413">
        <w:t xml:space="preserve">Plan de Supervisión, </w:t>
      </w:r>
      <w:r w:rsidRPr="006D2413">
        <w:rPr>
          <w:i/>
        </w:rPr>
        <w:t>El Peruano</w:t>
      </w:r>
      <w:r w:rsidRPr="006D2413">
        <w:t>,</w:t>
      </w:r>
      <w:r>
        <w:t xml:space="preserve"> 29/12/12,</w:t>
      </w:r>
      <w:r w:rsidRPr="006D2413">
        <w:t xml:space="preserve"> 483573</w:t>
      </w:r>
    </w:p>
  </w:footnote>
  <w:footnote w:id="11">
    <w:p w14:paraId="2E4401B5" w14:textId="1D1D18C8" w:rsidR="00C05EC8" w:rsidRDefault="00C05EC8">
      <w:pPr>
        <w:pStyle w:val="FootnoteText"/>
      </w:pPr>
      <w:r>
        <w:rPr>
          <w:rStyle w:val="FootnoteReference"/>
        </w:rPr>
        <w:footnoteRef/>
      </w:r>
      <w:r>
        <w:t xml:space="preserve"> Consultoría de Javier Paulini, pp. 16-17</w:t>
      </w:r>
    </w:p>
  </w:footnote>
  <w:footnote w:id="12">
    <w:p w14:paraId="18C25A8A" w14:textId="6764D706" w:rsidR="00C05EC8" w:rsidRPr="00AE2D0F" w:rsidRDefault="00C05EC8">
      <w:pPr>
        <w:pStyle w:val="FootnoteText"/>
      </w:pPr>
      <w:r w:rsidRPr="00FF5302">
        <w:rPr>
          <w:rStyle w:val="FootnoteReference"/>
        </w:rPr>
        <w:footnoteRef/>
      </w:r>
      <w:r w:rsidRPr="00FF5302">
        <w:t xml:space="preserve"> De la actual gestión de PCM, sólo la Sra. Mixi Martínez conoce </w:t>
      </w:r>
      <w:r>
        <w:t xml:space="preserve">del papel de esta oficina en el proceso de evaluación. Lamentablemente, </w:t>
      </w:r>
      <w:r w:rsidRPr="00FF5302">
        <w:t>no pudimos entrevistarla porque está de licencia médica.</w:t>
      </w:r>
    </w:p>
  </w:footnote>
  <w:footnote w:id="13">
    <w:p w14:paraId="46B6DEDA" w14:textId="584F491D" w:rsidR="00C05EC8" w:rsidRDefault="00C05EC8">
      <w:pPr>
        <w:pStyle w:val="FootnoteText"/>
      </w:pPr>
      <w:r w:rsidRPr="0094558D">
        <w:rPr>
          <w:rStyle w:val="FootnoteReference"/>
        </w:rPr>
        <w:footnoteRef/>
      </w:r>
      <w:r w:rsidRPr="0094558D">
        <w:t xml:space="preserve"> Consultoría de Carlos Quispe Cajas (2015).</w:t>
      </w:r>
      <w:r w:rsidRPr="00E6306A">
        <w:t xml:space="preserve"> Regiones Amazonas, Cusco, Madre de Dios y San Martín.</w:t>
      </w:r>
      <w:r w:rsidRPr="0094558D">
        <w:t xml:space="preserve"> Código FACE135, p. 23.</w:t>
      </w:r>
    </w:p>
  </w:footnote>
  <w:footnote w:id="14">
    <w:p w14:paraId="178A71D2" w14:textId="59638518" w:rsidR="00C05EC8" w:rsidRPr="00BD6CFE" w:rsidRDefault="00C05EC8" w:rsidP="00E90EB6">
      <w:pPr>
        <w:pStyle w:val="FootnoteText"/>
      </w:pPr>
      <w:r>
        <w:rPr>
          <w:rStyle w:val="FootnoteReference"/>
        </w:rPr>
        <w:footnoteRef/>
      </w:r>
      <w:r>
        <w:t xml:space="preserve"> Pese a estas limitaciones sí se hizo un esfuerzo de sistematización a través de la consultoría de la Sra. Francisco Talledo en 2014. Por ejemplo, d</w:t>
      </w:r>
      <w:r w:rsidRPr="00E77262">
        <w:t>e</w:t>
      </w:r>
      <w:r>
        <w:t>l total de</w:t>
      </w:r>
      <w:r w:rsidRPr="00E77262">
        <w:t xml:space="preserve"> las encuestas aplicadas a sociedad civil en 2014, la evidencia mostraba que la asistencia de los niños entre 6 a 11 años a la escuela primaria era regular o buena (84%), 43% señala que el número de docentes es insuficiente y 53% afirma que la educación primaria había mejorado en los últimos cinco años (66% en el caso de Piura y 58% en el caso de Cusco). Los departamentos con las opiniones más negativas sobre la educación primaria fueron Madre de Dios, Huánuco, Ayacucho y Cajamarca, en ese orden. Según el informe de la consultora para educación, las evaluaciones de los servicios y las percepciones de los usuarios no necesariamente coinciden: hay regiones que salen mal en la evaluación (Loreto) pero cuyos usuarios mayoritariamente no ven su situación como mala</w:t>
      </w:r>
      <w:r>
        <w:t>. Consultoría de Francisca Talledo. V entregable consultoría 2014.</w:t>
      </w:r>
    </w:p>
  </w:footnote>
  <w:footnote w:id="15">
    <w:p w14:paraId="2AAB03FD" w14:textId="04C956CF" w:rsidR="00C05EC8" w:rsidRDefault="00C05EC8" w:rsidP="008015AD">
      <w:pPr>
        <w:pStyle w:val="FootnoteText"/>
      </w:pPr>
      <w:r>
        <w:rPr>
          <w:rStyle w:val="FootnoteReference"/>
        </w:rPr>
        <w:footnoteRef/>
      </w:r>
      <w:r>
        <w:t xml:space="preserve"> Según el reporte de actividades al proyecto de 2016, con el “</w:t>
      </w:r>
      <w:r w:rsidRPr="00FB5E68">
        <w:t>Memorando múltiple 107-2016-PCM/OGA se paralizó la contratación de bienes, servicios y consultoría así como el desarrollo de talleres y eventos. Lo cual limitó el desarrollo de las actividades programadas</w:t>
      </w:r>
      <w:r>
        <w:t>”</w:t>
      </w:r>
      <w:r w:rsidRPr="00FB5E68">
        <w:t>.</w:t>
      </w:r>
    </w:p>
  </w:footnote>
  <w:footnote w:id="16">
    <w:p w14:paraId="44B971B6" w14:textId="68C41715" w:rsidR="00C05EC8" w:rsidRDefault="00C05EC8">
      <w:pPr>
        <w:pStyle w:val="FootnoteText"/>
      </w:pPr>
      <w:r>
        <w:rPr>
          <w:rStyle w:val="FootnoteReference"/>
        </w:rPr>
        <w:footnoteRef/>
      </w:r>
      <w:r>
        <w:t xml:space="preserve"> Consultoría de Carlos Quispe Cajas (2016). Código FACE135, p. 40.</w:t>
      </w:r>
    </w:p>
  </w:footnote>
  <w:footnote w:id="17">
    <w:p w14:paraId="1648BA45" w14:textId="6D738D6A" w:rsidR="00C05EC8" w:rsidRDefault="00C05EC8">
      <w:pPr>
        <w:pStyle w:val="FootnoteText"/>
      </w:pPr>
      <w:r>
        <w:rPr>
          <w:rStyle w:val="FootnoteReference"/>
        </w:rPr>
        <w:footnoteRef/>
      </w:r>
      <w:r>
        <w:t xml:space="preserve"> Es importante hacer una diferenciación entre fortalecimiento de capacidades institucionales (que trabaja la PCM) con fortalecimiento de las capacidades individuales de los funcionarios (que pasó a ser competencia de SERVIR).</w:t>
      </w:r>
    </w:p>
  </w:footnote>
  <w:footnote w:id="18">
    <w:p w14:paraId="1D3C1C92" w14:textId="30EB1B58" w:rsidR="00C05EC8" w:rsidRPr="000A69B7" w:rsidRDefault="00C05EC8">
      <w:pPr>
        <w:pStyle w:val="FootnoteText"/>
      </w:pPr>
      <w:r>
        <w:rPr>
          <w:rStyle w:val="FootnoteReference"/>
        </w:rPr>
        <w:footnoteRef/>
      </w:r>
      <w:r>
        <w:t xml:space="preserve"> Revisión sustantiva 2013, p. 10</w:t>
      </w:r>
    </w:p>
  </w:footnote>
  <w:footnote w:id="19">
    <w:p w14:paraId="30CC5467" w14:textId="11C2BB38" w:rsidR="00C05EC8" w:rsidRDefault="00C05EC8" w:rsidP="005C5D7B">
      <w:pPr>
        <w:pStyle w:val="FootnoteText"/>
      </w:pPr>
      <w:r>
        <w:rPr>
          <w:rStyle w:val="FootnoteReference"/>
        </w:rPr>
        <w:footnoteRef/>
      </w:r>
      <w:r>
        <w:t xml:space="preserve"> Entre sus recomendaciones, OECD señala: “fortalecer la capacidad de coordinación a nivel central y regional estableciendo un apoyo institucional en cada región (por ejemplo a través de una Agencia de</w:t>
      </w:r>
    </w:p>
    <w:p w14:paraId="72E2F07F" w14:textId="445A32E6" w:rsidR="00C05EC8" w:rsidRPr="00D96AF7" w:rsidRDefault="00C05EC8" w:rsidP="005C5D7B">
      <w:pPr>
        <w:pStyle w:val="FootnoteText"/>
      </w:pPr>
      <w:r>
        <w:t xml:space="preserve">Desarrollo Regional en cada región o el apoyo a un clúster de regiones), compuesto por funcionarios del gobierno central y regional para facilitar un enfoque basado en la asociatividad para el desarrollo regional y mejorar la coordinación a nivel regional entre la región y el gobierno central”. En: OECD (2016). </w:t>
      </w:r>
      <w:r w:rsidRPr="00CA1011">
        <w:rPr>
          <w:i/>
        </w:rPr>
        <w:t>Perú. Gobernanza Integrada para un Crecimiento Inclusivo</w:t>
      </w:r>
      <w:r>
        <w:t>. Estudios de la OCDE sobre Gobernanza Pública, p. 197.</w:t>
      </w:r>
    </w:p>
  </w:footnote>
  <w:footnote w:id="20">
    <w:p w14:paraId="3D0247F6" w14:textId="5B84B369" w:rsidR="00C05EC8" w:rsidRPr="00130F7C" w:rsidRDefault="00C05EC8">
      <w:pPr>
        <w:pStyle w:val="FootnoteText"/>
      </w:pPr>
      <w:r>
        <w:rPr>
          <w:rStyle w:val="FootnoteReference"/>
        </w:rPr>
        <w:footnoteRef/>
      </w:r>
      <w:r>
        <w:t xml:space="preserve"> </w:t>
      </w:r>
      <w:r>
        <w:rPr>
          <w:i/>
        </w:rPr>
        <w:t>D</w:t>
      </w:r>
      <w:r w:rsidRPr="007465D6">
        <w:rPr>
          <w:i/>
        </w:rPr>
        <w:t>iscurso del Presidente Constitucional de la República, Ingeniero Martín Alberto Vizcarra Cornejo, ante el Congreso Nacional, el 28 de julio de 2018</w:t>
      </w:r>
      <w:r>
        <w:t>, p. 25.</w:t>
      </w:r>
    </w:p>
  </w:footnote>
  <w:footnote w:id="21">
    <w:p w14:paraId="5241D4B9" w14:textId="6B34E4BD" w:rsidR="00C05EC8" w:rsidRDefault="00C05EC8">
      <w:pPr>
        <w:pStyle w:val="FootnoteText"/>
      </w:pPr>
      <w:r>
        <w:rPr>
          <w:rStyle w:val="FootnoteReference"/>
        </w:rPr>
        <w:footnoteRef/>
      </w:r>
      <w:r>
        <w:t xml:space="preserve"> Ya que no nos centramos en estas actividades, puede encontrarse su descripción completa en el Anexo 2.</w:t>
      </w:r>
    </w:p>
  </w:footnote>
  <w:footnote w:id="22">
    <w:p w14:paraId="25BC83FC" w14:textId="15F6649F" w:rsidR="00C05EC8" w:rsidRPr="00E6306A" w:rsidRDefault="00C05EC8">
      <w:pPr>
        <w:pStyle w:val="FootnoteText"/>
      </w:pPr>
      <w:r>
        <w:rPr>
          <w:rStyle w:val="FootnoteReference"/>
        </w:rPr>
        <w:footnoteRef/>
      </w:r>
      <w:r>
        <w:t xml:space="preserve"> Según la Secretaría de Gestión Pública, e</w:t>
      </w:r>
      <w:r w:rsidRPr="002E07C2">
        <w:t>xiste un estudio del Ministerio de Vivienda</w:t>
      </w:r>
      <w:r>
        <w:t xml:space="preserve"> (al cual no tuvimos acceso)</w:t>
      </w:r>
      <w:r w:rsidRPr="002E07C2">
        <w:t xml:space="preserve"> que </w:t>
      </w:r>
      <w:r>
        <w:t>de</w:t>
      </w:r>
      <w:r w:rsidRPr="002E07C2">
        <w:t>muestra los ahorros que un MAC significa para las entidades participantes</w:t>
      </w:r>
      <w:r>
        <w:t>.</w:t>
      </w:r>
    </w:p>
  </w:footnote>
  <w:footnote w:id="23">
    <w:p w14:paraId="1F9FD3E9" w14:textId="0D67CB03" w:rsidR="00C05EC8" w:rsidRPr="003A3615" w:rsidRDefault="00C05EC8">
      <w:pPr>
        <w:pStyle w:val="FootnoteText"/>
      </w:pPr>
      <w:r>
        <w:rPr>
          <w:rStyle w:val="FootnoteReference"/>
        </w:rPr>
        <w:footnoteRef/>
      </w:r>
      <w:r>
        <w:t xml:space="preserve"> Entrevista con Mayen Ugarte.</w:t>
      </w:r>
    </w:p>
  </w:footnote>
  <w:footnote w:id="24">
    <w:p w14:paraId="2D95F62D" w14:textId="1C952BF4" w:rsidR="00C05EC8" w:rsidRPr="00E6306A" w:rsidRDefault="00C05EC8">
      <w:pPr>
        <w:pStyle w:val="FootnoteText"/>
      </w:pPr>
      <w:r>
        <w:rPr>
          <w:rStyle w:val="FootnoteReference"/>
        </w:rPr>
        <w:footnoteRef/>
      </w:r>
      <w:r>
        <w:t xml:space="preserve"> “</w:t>
      </w:r>
      <w:r w:rsidRPr="00821841">
        <w:t>Comisión Multisectorial para la Pacificación y Desarrollo Económico Social en el Valle de los ríos Apurímac, Ene y Mantaro</w:t>
      </w:r>
      <w:r>
        <w:t>”</w:t>
      </w:r>
    </w:p>
  </w:footnote>
  <w:footnote w:id="25">
    <w:p w14:paraId="6A5F3280" w14:textId="7953F780" w:rsidR="00C05EC8" w:rsidRPr="00C60129" w:rsidRDefault="00C05EC8">
      <w:pPr>
        <w:pStyle w:val="FootnoteText"/>
      </w:pPr>
      <w:r>
        <w:rPr>
          <w:rStyle w:val="FootnoteReference"/>
        </w:rPr>
        <w:footnoteRef/>
      </w:r>
      <w:r>
        <w:t xml:space="preserve"> Plan de trabajo 2014, p. 266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7E6D"/>
    <w:multiLevelType w:val="multilevel"/>
    <w:tmpl w:val="280A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 w15:restartNumberingAfterBreak="0">
    <w:nsid w:val="0A3C5A0E"/>
    <w:multiLevelType w:val="multilevel"/>
    <w:tmpl w:val="51B0659C"/>
    <w:lvl w:ilvl="0">
      <w:start w:val="1"/>
      <w:numFmt w:val="decimal"/>
      <w:lvlText w:val="%1."/>
      <w:lvlJc w:val="left"/>
      <w:pPr>
        <w:ind w:left="1080" w:hanging="360"/>
      </w:pPr>
      <w:rPr>
        <w:rFonts w:hint="default"/>
      </w:rPr>
    </w:lvl>
    <w:lvl w:ilvl="1">
      <w:start w:val="1"/>
      <w:numFmt w:val="decimal"/>
      <w:isLgl/>
      <w:lvlText w:val="%1.%2."/>
      <w:lvlJc w:val="left"/>
      <w:pPr>
        <w:ind w:left="1224" w:hanging="50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CC937E1"/>
    <w:multiLevelType w:val="multilevel"/>
    <w:tmpl w:val="D63E8F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77305"/>
    <w:multiLevelType w:val="multilevel"/>
    <w:tmpl w:val="496C1EFA"/>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1CB747AA"/>
    <w:multiLevelType w:val="multilevel"/>
    <w:tmpl w:val="03C86654"/>
    <w:lvl w:ilvl="0">
      <w:start w:val="3"/>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5"/>
      <w:numFmt w:val="decimal"/>
      <w:lvlText w:val="%1.%2.%3"/>
      <w:lvlJc w:val="left"/>
      <w:pPr>
        <w:ind w:left="1429"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5" w15:restartNumberingAfterBreak="0">
    <w:nsid w:val="26E3127B"/>
    <w:multiLevelType w:val="hybridMultilevel"/>
    <w:tmpl w:val="903E09F4"/>
    <w:lvl w:ilvl="0" w:tplc="99C21C00">
      <w:start w:val="1"/>
      <w:numFmt w:val="lowerLetter"/>
      <w:lvlText w:val="%1)"/>
      <w:lvlJc w:val="left"/>
      <w:pPr>
        <w:ind w:left="1170" w:hanging="360"/>
      </w:pPr>
      <w:rPr>
        <w:rFonts w:hint="default"/>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6" w15:restartNumberingAfterBreak="0">
    <w:nsid w:val="27C84FE9"/>
    <w:multiLevelType w:val="hybridMultilevel"/>
    <w:tmpl w:val="DBFAADFE"/>
    <w:lvl w:ilvl="0" w:tplc="FCBC6C8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270C8"/>
    <w:multiLevelType w:val="multilevel"/>
    <w:tmpl w:val="280A001F"/>
    <w:lvl w:ilvl="0">
      <w:start w:val="1"/>
      <w:numFmt w:val="decimal"/>
      <w:lvlText w:val="%1."/>
      <w:lvlJc w:val="left"/>
      <w:pPr>
        <w:ind w:left="1440" w:hanging="36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8" w15:restartNumberingAfterBreak="0">
    <w:nsid w:val="33B9083B"/>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4D42FCF"/>
    <w:multiLevelType w:val="hybridMultilevel"/>
    <w:tmpl w:val="BFA4B026"/>
    <w:lvl w:ilvl="0" w:tplc="28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A63DB"/>
    <w:multiLevelType w:val="multilevel"/>
    <w:tmpl w:val="496C1EFA"/>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1" w15:restartNumberingAfterBreak="0">
    <w:nsid w:val="5498069F"/>
    <w:multiLevelType w:val="hybridMultilevel"/>
    <w:tmpl w:val="43D2367E"/>
    <w:lvl w:ilvl="0" w:tplc="DF9C1D9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6EC61AD"/>
    <w:multiLevelType w:val="hybridMultilevel"/>
    <w:tmpl w:val="B1F23AA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7A83C5F"/>
    <w:multiLevelType w:val="hybridMultilevel"/>
    <w:tmpl w:val="7A5EE5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E166896"/>
    <w:multiLevelType w:val="hybridMultilevel"/>
    <w:tmpl w:val="2C062CA0"/>
    <w:lvl w:ilvl="0" w:tplc="8B745974">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7E4E4E66"/>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
  </w:num>
  <w:num w:numId="3">
    <w:abstractNumId w:val="5"/>
  </w:num>
  <w:num w:numId="4">
    <w:abstractNumId w:val="7"/>
  </w:num>
  <w:num w:numId="5">
    <w:abstractNumId w:val="12"/>
  </w:num>
  <w:num w:numId="6">
    <w:abstractNumId w:val="14"/>
  </w:num>
  <w:num w:numId="7">
    <w:abstractNumId w:val="6"/>
  </w:num>
  <w:num w:numId="8">
    <w:abstractNumId w:val="0"/>
  </w:num>
  <w:num w:numId="9">
    <w:abstractNumId w:val="15"/>
  </w:num>
  <w:num w:numId="10">
    <w:abstractNumId w:val="10"/>
  </w:num>
  <w:num w:numId="11">
    <w:abstractNumId w:val="4"/>
  </w:num>
  <w:num w:numId="12">
    <w:abstractNumId w:val="2"/>
  </w:num>
  <w:num w:numId="13">
    <w:abstractNumId w:val="9"/>
  </w:num>
  <w:num w:numId="14">
    <w:abstractNumId w:val="3"/>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C0F"/>
    <w:rsid w:val="000023AC"/>
    <w:rsid w:val="000024D8"/>
    <w:rsid w:val="000043DA"/>
    <w:rsid w:val="00004754"/>
    <w:rsid w:val="000052FC"/>
    <w:rsid w:val="00005982"/>
    <w:rsid w:val="00011293"/>
    <w:rsid w:val="000117F9"/>
    <w:rsid w:val="00013195"/>
    <w:rsid w:val="000141F3"/>
    <w:rsid w:val="0001598E"/>
    <w:rsid w:val="00016580"/>
    <w:rsid w:val="000175A9"/>
    <w:rsid w:val="00017D30"/>
    <w:rsid w:val="0002332F"/>
    <w:rsid w:val="00024DE3"/>
    <w:rsid w:val="0002536B"/>
    <w:rsid w:val="0002667C"/>
    <w:rsid w:val="000267DD"/>
    <w:rsid w:val="000311C7"/>
    <w:rsid w:val="000318A7"/>
    <w:rsid w:val="00035A92"/>
    <w:rsid w:val="000360F0"/>
    <w:rsid w:val="00036675"/>
    <w:rsid w:val="000402AF"/>
    <w:rsid w:val="000479FE"/>
    <w:rsid w:val="0005012F"/>
    <w:rsid w:val="0005251A"/>
    <w:rsid w:val="00055F60"/>
    <w:rsid w:val="00056614"/>
    <w:rsid w:val="0005681D"/>
    <w:rsid w:val="00062E69"/>
    <w:rsid w:val="00063057"/>
    <w:rsid w:val="00064A11"/>
    <w:rsid w:val="00064B9D"/>
    <w:rsid w:val="0006678A"/>
    <w:rsid w:val="00066E59"/>
    <w:rsid w:val="000676B9"/>
    <w:rsid w:val="0007022D"/>
    <w:rsid w:val="00071035"/>
    <w:rsid w:val="000729ED"/>
    <w:rsid w:val="00072BA4"/>
    <w:rsid w:val="000734E6"/>
    <w:rsid w:val="000748C4"/>
    <w:rsid w:val="00076D65"/>
    <w:rsid w:val="00077083"/>
    <w:rsid w:val="00077762"/>
    <w:rsid w:val="0008037A"/>
    <w:rsid w:val="00081A5C"/>
    <w:rsid w:val="00082141"/>
    <w:rsid w:val="000825AD"/>
    <w:rsid w:val="00083716"/>
    <w:rsid w:val="00083E0E"/>
    <w:rsid w:val="000876B4"/>
    <w:rsid w:val="0009572C"/>
    <w:rsid w:val="000A373D"/>
    <w:rsid w:val="000A38A0"/>
    <w:rsid w:val="000A5183"/>
    <w:rsid w:val="000A69B7"/>
    <w:rsid w:val="000B21F7"/>
    <w:rsid w:val="000B5204"/>
    <w:rsid w:val="000B5FB9"/>
    <w:rsid w:val="000B613E"/>
    <w:rsid w:val="000B7D08"/>
    <w:rsid w:val="000C0AEF"/>
    <w:rsid w:val="000C1E1E"/>
    <w:rsid w:val="000C4770"/>
    <w:rsid w:val="000C4F89"/>
    <w:rsid w:val="000C5A8A"/>
    <w:rsid w:val="000C5C71"/>
    <w:rsid w:val="000D13EE"/>
    <w:rsid w:val="000D35CA"/>
    <w:rsid w:val="000D4496"/>
    <w:rsid w:val="000D4C5F"/>
    <w:rsid w:val="000D542B"/>
    <w:rsid w:val="000D67B1"/>
    <w:rsid w:val="000D7A89"/>
    <w:rsid w:val="000E014D"/>
    <w:rsid w:val="000E1256"/>
    <w:rsid w:val="000E34D9"/>
    <w:rsid w:val="000F06DB"/>
    <w:rsid w:val="000F21A4"/>
    <w:rsid w:val="000F2219"/>
    <w:rsid w:val="000F3C38"/>
    <w:rsid w:val="000F596C"/>
    <w:rsid w:val="000F5D45"/>
    <w:rsid w:val="000F6AE2"/>
    <w:rsid w:val="000F6E54"/>
    <w:rsid w:val="000F7977"/>
    <w:rsid w:val="000F7E00"/>
    <w:rsid w:val="00100AD7"/>
    <w:rsid w:val="00104EEF"/>
    <w:rsid w:val="00105C36"/>
    <w:rsid w:val="001073C9"/>
    <w:rsid w:val="00107660"/>
    <w:rsid w:val="00107C68"/>
    <w:rsid w:val="00107C98"/>
    <w:rsid w:val="0011077A"/>
    <w:rsid w:val="0011314D"/>
    <w:rsid w:val="00115E2E"/>
    <w:rsid w:val="00115FB7"/>
    <w:rsid w:val="001202D4"/>
    <w:rsid w:val="00120D45"/>
    <w:rsid w:val="001226AA"/>
    <w:rsid w:val="001250DA"/>
    <w:rsid w:val="001274B7"/>
    <w:rsid w:val="001277E9"/>
    <w:rsid w:val="00127C90"/>
    <w:rsid w:val="00127DE9"/>
    <w:rsid w:val="00130F7C"/>
    <w:rsid w:val="00131345"/>
    <w:rsid w:val="0013594E"/>
    <w:rsid w:val="001361C5"/>
    <w:rsid w:val="001369A5"/>
    <w:rsid w:val="00140BE5"/>
    <w:rsid w:val="00142074"/>
    <w:rsid w:val="00143776"/>
    <w:rsid w:val="00144E4F"/>
    <w:rsid w:val="001454DB"/>
    <w:rsid w:val="00146D5E"/>
    <w:rsid w:val="00151861"/>
    <w:rsid w:val="001529AD"/>
    <w:rsid w:val="00153602"/>
    <w:rsid w:val="00154A9A"/>
    <w:rsid w:val="0015552F"/>
    <w:rsid w:val="001615B6"/>
    <w:rsid w:val="00162A03"/>
    <w:rsid w:val="00163457"/>
    <w:rsid w:val="001640A9"/>
    <w:rsid w:val="001665AD"/>
    <w:rsid w:val="00166D14"/>
    <w:rsid w:val="001670B2"/>
    <w:rsid w:val="001718D5"/>
    <w:rsid w:val="00171FDA"/>
    <w:rsid w:val="0017332C"/>
    <w:rsid w:val="001748E2"/>
    <w:rsid w:val="001753C1"/>
    <w:rsid w:val="0017546A"/>
    <w:rsid w:val="00177A0A"/>
    <w:rsid w:val="00181933"/>
    <w:rsid w:val="00182357"/>
    <w:rsid w:val="0018412F"/>
    <w:rsid w:val="001865B1"/>
    <w:rsid w:val="00187F75"/>
    <w:rsid w:val="001904A4"/>
    <w:rsid w:val="00190CB7"/>
    <w:rsid w:val="001916BE"/>
    <w:rsid w:val="00192483"/>
    <w:rsid w:val="001942DC"/>
    <w:rsid w:val="001944C9"/>
    <w:rsid w:val="00195A4B"/>
    <w:rsid w:val="00197181"/>
    <w:rsid w:val="001977CC"/>
    <w:rsid w:val="001A06DF"/>
    <w:rsid w:val="001A1444"/>
    <w:rsid w:val="001A4BE8"/>
    <w:rsid w:val="001A4F0C"/>
    <w:rsid w:val="001A5244"/>
    <w:rsid w:val="001A7324"/>
    <w:rsid w:val="001A75AB"/>
    <w:rsid w:val="001B1A8C"/>
    <w:rsid w:val="001B1AE6"/>
    <w:rsid w:val="001B1F02"/>
    <w:rsid w:val="001B1F05"/>
    <w:rsid w:val="001B2319"/>
    <w:rsid w:val="001B3E6F"/>
    <w:rsid w:val="001B4B52"/>
    <w:rsid w:val="001B5C86"/>
    <w:rsid w:val="001B6A09"/>
    <w:rsid w:val="001B6DD2"/>
    <w:rsid w:val="001B76AC"/>
    <w:rsid w:val="001B7F62"/>
    <w:rsid w:val="001C1C2C"/>
    <w:rsid w:val="001C2193"/>
    <w:rsid w:val="001C2FF9"/>
    <w:rsid w:val="001C331B"/>
    <w:rsid w:val="001C5D9E"/>
    <w:rsid w:val="001C67D0"/>
    <w:rsid w:val="001C74E4"/>
    <w:rsid w:val="001C7E03"/>
    <w:rsid w:val="001D002A"/>
    <w:rsid w:val="001D06E4"/>
    <w:rsid w:val="001D2686"/>
    <w:rsid w:val="001D560C"/>
    <w:rsid w:val="001D6985"/>
    <w:rsid w:val="001D6E59"/>
    <w:rsid w:val="001D7405"/>
    <w:rsid w:val="001E0AD0"/>
    <w:rsid w:val="001E1D3E"/>
    <w:rsid w:val="001E228D"/>
    <w:rsid w:val="001E343A"/>
    <w:rsid w:val="001E5259"/>
    <w:rsid w:val="001E65EE"/>
    <w:rsid w:val="001E72DA"/>
    <w:rsid w:val="001E7B7C"/>
    <w:rsid w:val="001E7D58"/>
    <w:rsid w:val="001F0F86"/>
    <w:rsid w:val="001F2329"/>
    <w:rsid w:val="00201C30"/>
    <w:rsid w:val="00203A22"/>
    <w:rsid w:val="00203A8C"/>
    <w:rsid w:val="002046EE"/>
    <w:rsid w:val="00204DFD"/>
    <w:rsid w:val="00206118"/>
    <w:rsid w:val="00207826"/>
    <w:rsid w:val="0021093C"/>
    <w:rsid w:val="00210F8D"/>
    <w:rsid w:val="00212192"/>
    <w:rsid w:val="00222C31"/>
    <w:rsid w:val="00222F0D"/>
    <w:rsid w:val="00226EE3"/>
    <w:rsid w:val="00227D56"/>
    <w:rsid w:val="002311AD"/>
    <w:rsid w:val="002314F4"/>
    <w:rsid w:val="002331E8"/>
    <w:rsid w:val="00236776"/>
    <w:rsid w:val="00236E40"/>
    <w:rsid w:val="00237A38"/>
    <w:rsid w:val="002409A9"/>
    <w:rsid w:val="002422B8"/>
    <w:rsid w:val="0024579C"/>
    <w:rsid w:val="0024612C"/>
    <w:rsid w:val="00250305"/>
    <w:rsid w:val="0025182B"/>
    <w:rsid w:val="00257335"/>
    <w:rsid w:val="00260FF4"/>
    <w:rsid w:val="00261BB9"/>
    <w:rsid w:val="00261EC7"/>
    <w:rsid w:val="00262D13"/>
    <w:rsid w:val="0026582D"/>
    <w:rsid w:val="00265D6B"/>
    <w:rsid w:val="00265FAA"/>
    <w:rsid w:val="00267F10"/>
    <w:rsid w:val="002703FE"/>
    <w:rsid w:val="00272547"/>
    <w:rsid w:val="0027472F"/>
    <w:rsid w:val="00275744"/>
    <w:rsid w:val="0028008A"/>
    <w:rsid w:val="002805AF"/>
    <w:rsid w:val="0028111F"/>
    <w:rsid w:val="002824D8"/>
    <w:rsid w:val="002827B2"/>
    <w:rsid w:val="00283D41"/>
    <w:rsid w:val="00284FBD"/>
    <w:rsid w:val="002851F1"/>
    <w:rsid w:val="00290D71"/>
    <w:rsid w:val="00291FE3"/>
    <w:rsid w:val="00294856"/>
    <w:rsid w:val="0029536E"/>
    <w:rsid w:val="002A0B41"/>
    <w:rsid w:val="002A26E5"/>
    <w:rsid w:val="002A3AC1"/>
    <w:rsid w:val="002A4306"/>
    <w:rsid w:val="002A799D"/>
    <w:rsid w:val="002B033A"/>
    <w:rsid w:val="002B05D0"/>
    <w:rsid w:val="002B08E1"/>
    <w:rsid w:val="002B1E37"/>
    <w:rsid w:val="002B224E"/>
    <w:rsid w:val="002B585B"/>
    <w:rsid w:val="002B5A79"/>
    <w:rsid w:val="002B7E9C"/>
    <w:rsid w:val="002C24EE"/>
    <w:rsid w:val="002C3077"/>
    <w:rsid w:val="002C3925"/>
    <w:rsid w:val="002C5285"/>
    <w:rsid w:val="002C6919"/>
    <w:rsid w:val="002C7B9C"/>
    <w:rsid w:val="002D0265"/>
    <w:rsid w:val="002D0D1C"/>
    <w:rsid w:val="002D1E1E"/>
    <w:rsid w:val="002D2349"/>
    <w:rsid w:val="002D30CE"/>
    <w:rsid w:val="002D34C3"/>
    <w:rsid w:val="002D5F34"/>
    <w:rsid w:val="002D6BFB"/>
    <w:rsid w:val="002E0736"/>
    <w:rsid w:val="002E07C2"/>
    <w:rsid w:val="002E0A2D"/>
    <w:rsid w:val="002E145D"/>
    <w:rsid w:val="002E1E77"/>
    <w:rsid w:val="002E4DF0"/>
    <w:rsid w:val="002E67A4"/>
    <w:rsid w:val="002E69C4"/>
    <w:rsid w:val="002F0FB5"/>
    <w:rsid w:val="002F1D42"/>
    <w:rsid w:val="002F225D"/>
    <w:rsid w:val="002F3B9D"/>
    <w:rsid w:val="002F4FA0"/>
    <w:rsid w:val="002F7E6E"/>
    <w:rsid w:val="00302226"/>
    <w:rsid w:val="003025C4"/>
    <w:rsid w:val="00302DCE"/>
    <w:rsid w:val="00304D5F"/>
    <w:rsid w:val="00305101"/>
    <w:rsid w:val="00307AF2"/>
    <w:rsid w:val="00311AAD"/>
    <w:rsid w:val="00314268"/>
    <w:rsid w:val="00317E4F"/>
    <w:rsid w:val="00320C96"/>
    <w:rsid w:val="0032177D"/>
    <w:rsid w:val="00322FD8"/>
    <w:rsid w:val="00323039"/>
    <w:rsid w:val="00323DE0"/>
    <w:rsid w:val="003246E7"/>
    <w:rsid w:val="00325268"/>
    <w:rsid w:val="00327018"/>
    <w:rsid w:val="003276C8"/>
    <w:rsid w:val="003335D4"/>
    <w:rsid w:val="003336D9"/>
    <w:rsid w:val="0033452A"/>
    <w:rsid w:val="003410E3"/>
    <w:rsid w:val="00342049"/>
    <w:rsid w:val="00342740"/>
    <w:rsid w:val="00346925"/>
    <w:rsid w:val="003473BA"/>
    <w:rsid w:val="00350830"/>
    <w:rsid w:val="003528E1"/>
    <w:rsid w:val="00352C00"/>
    <w:rsid w:val="00353517"/>
    <w:rsid w:val="00355252"/>
    <w:rsid w:val="00355C10"/>
    <w:rsid w:val="00356031"/>
    <w:rsid w:val="003563E7"/>
    <w:rsid w:val="0036201D"/>
    <w:rsid w:val="00363352"/>
    <w:rsid w:val="00365561"/>
    <w:rsid w:val="003657EB"/>
    <w:rsid w:val="00365A2A"/>
    <w:rsid w:val="003715BC"/>
    <w:rsid w:val="003723E4"/>
    <w:rsid w:val="0037331F"/>
    <w:rsid w:val="003760B7"/>
    <w:rsid w:val="00376F66"/>
    <w:rsid w:val="003772DF"/>
    <w:rsid w:val="003779D8"/>
    <w:rsid w:val="00377EA3"/>
    <w:rsid w:val="00380088"/>
    <w:rsid w:val="00380E6A"/>
    <w:rsid w:val="0038151A"/>
    <w:rsid w:val="003838D6"/>
    <w:rsid w:val="00383DF9"/>
    <w:rsid w:val="00383EA3"/>
    <w:rsid w:val="00385320"/>
    <w:rsid w:val="003853A9"/>
    <w:rsid w:val="00385554"/>
    <w:rsid w:val="00385B01"/>
    <w:rsid w:val="00387B20"/>
    <w:rsid w:val="00390EBD"/>
    <w:rsid w:val="003A06D2"/>
    <w:rsid w:val="003A1480"/>
    <w:rsid w:val="003A3391"/>
    <w:rsid w:val="003A360B"/>
    <w:rsid w:val="003A3615"/>
    <w:rsid w:val="003A4503"/>
    <w:rsid w:val="003A5463"/>
    <w:rsid w:val="003A552A"/>
    <w:rsid w:val="003A5752"/>
    <w:rsid w:val="003A607E"/>
    <w:rsid w:val="003B1596"/>
    <w:rsid w:val="003B3412"/>
    <w:rsid w:val="003B4C4D"/>
    <w:rsid w:val="003B5475"/>
    <w:rsid w:val="003C046F"/>
    <w:rsid w:val="003C16A9"/>
    <w:rsid w:val="003C21E1"/>
    <w:rsid w:val="003C2C24"/>
    <w:rsid w:val="003C4221"/>
    <w:rsid w:val="003C4AC4"/>
    <w:rsid w:val="003C7A6E"/>
    <w:rsid w:val="003D3727"/>
    <w:rsid w:val="003D4422"/>
    <w:rsid w:val="003D62F0"/>
    <w:rsid w:val="003D66F0"/>
    <w:rsid w:val="003E170D"/>
    <w:rsid w:val="003E1CFC"/>
    <w:rsid w:val="003E23D8"/>
    <w:rsid w:val="003E5265"/>
    <w:rsid w:val="003E57FE"/>
    <w:rsid w:val="003E5F3D"/>
    <w:rsid w:val="003E5FF6"/>
    <w:rsid w:val="003E6310"/>
    <w:rsid w:val="003E6C3E"/>
    <w:rsid w:val="003F0D99"/>
    <w:rsid w:val="003F1892"/>
    <w:rsid w:val="003F456A"/>
    <w:rsid w:val="003F53B5"/>
    <w:rsid w:val="003F59FE"/>
    <w:rsid w:val="00400C26"/>
    <w:rsid w:val="00401478"/>
    <w:rsid w:val="00401FDA"/>
    <w:rsid w:val="00402515"/>
    <w:rsid w:val="00405AD0"/>
    <w:rsid w:val="00411367"/>
    <w:rsid w:val="0041301E"/>
    <w:rsid w:val="00413AB0"/>
    <w:rsid w:val="0041455B"/>
    <w:rsid w:val="00415ECB"/>
    <w:rsid w:val="00423246"/>
    <w:rsid w:val="004251E7"/>
    <w:rsid w:val="00425E5C"/>
    <w:rsid w:val="004307C3"/>
    <w:rsid w:val="0043148B"/>
    <w:rsid w:val="0043172E"/>
    <w:rsid w:val="00436A89"/>
    <w:rsid w:val="004402D7"/>
    <w:rsid w:val="00442C9A"/>
    <w:rsid w:val="00443414"/>
    <w:rsid w:val="00443D6C"/>
    <w:rsid w:val="00446C03"/>
    <w:rsid w:val="00450BED"/>
    <w:rsid w:val="004524A0"/>
    <w:rsid w:val="00456F6B"/>
    <w:rsid w:val="00457492"/>
    <w:rsid w:val="004606CD"/>
    <w:rsid w:val="004609A4"/>
    <w:rsid w:val="004610C9"/>
    <w:rsid w:val="0046159E"/>
    <w:rsid w:val="00463E91"/>
    <w:rsid w:val="0046402D"/>
    <w:rsid w:val="004649D6"/>
    <w:rsid w:val="00465924"/>
    <w:rsid w:val="00467494"/>
    <w:rsid w:val="004677B0"/>
    <w:rsid w:val="00470074"/>
    <w:rsid w:val="004703AA"/>
    <w:rsid w:val="00470574"/>
    <w:rsid w:val="004707D0"/>
    <w:rsid w:val="0047089A"/>
    <w:rsid w:val="004710AB"/>
    <w:rsid w:val="004756EF"/>
    <w:rsid w:val="00477DB0"/>
    <w:rsid w:val="004817CE"/>
    <w:rsid w:val="00481FD5"/>
    <w:rsid w:val="0048255D"/>
    <w:rsid w:val="004859B4"/>
    <w:rsid w:val="00485C3F"/>
    <w:rsid w:val="0049112F"/>
    <w:rsid w:val="00491D7E"/>
    <w:rsid w:val="00491DCC"/>
    <w:rsid w:val="0049208C"/>
    <w:rsid w:val="00493CE4"/>
    <w:rsid w:val="004952CB"/>
    <w:rsid w:val="0049590A"/>
    <w:rsid w:val="00495E3F"/>
    <w:rsid w:val="00497502"/>
    <w:rsid w:val="0049763B"/>
    <w:rsid w:val="004A1099"/>
    <w:rsid w:val="004A1308"/>
    <w:rsid w:val="004A13D1"/>
    <w:rsid w:val="004A16EF"/>
    <w:rsid w:val="004A1BD9"/>
    <w:rsid w:val="004A28E7"/>
    <w:rsid w:val="004A4040"/>
    <w:rsid w:val="004A6B0F"/>
    <w:rsid w:val="004A7336"/>
    <w:rsid w:val="004A73E1"/>
    <w:rsid w:val="004B01C0"/>
    <w:rsid w:val="004B2BE5"/>
    <w:rsid w:val="004B3E94"/>
    <w:rsid w:val="004B455C"/>
    <w:rsid w:val="004B4F0A"/>
    <w:rsid w:val="004B65B5"/>
    <w:rsid w:val="004B69C5"/>
    <w:rsid w:val="004C189A"/>
    <w:rsid w:val="004C33D9"/>
    <w:rsid w:val="004C4036"/>
    <w:rsid w:val="004C4B0F"/>
    <w:rsid w:val="004C57E3"/>
    <w:rsid w:val="004C5DDF"/>
    <w:rsid w:val="004C76A3"/>
    <w:rsid w:val="004D0094"/>
    <w:rsid w:val="004D08EA"/>
    <w:rsid w:val="004D1379"/>
    <w:rsid w:val="004D22B7"/>
    <w:rsid w:val="004D32F4"/>
    <w:rsid w:val="004D3F20"/>
    <w:rsid w:val="004D494B"/>
    <w:rsid w:val="004D748E"/>
    <w:rsid w:val="004D778D"/>
    <w:rsid w:val="004E0102"/>
    <w:rsid w:val="004E1971"/>
    <w:rsid w:val="004E41A4"/>
    <w:rsid w:val="004E561B"/>
    <w:rsid w:val="004F08C8"/>
    <w:rsid w:val="004F1158"/>
    <w:rsid w:val="004F13BC"/>
    <w:rsid w:val="004F2C90"/>
    <w:rsid w:val="004F31C7"/>
    <w:rsid w:val="004F39F0"/>
    <w:rsid w:val="004F6DEA"/>
    <w:rsid w:val="005001E5"/>
    <w:rsid w:val="005009E0"/>
    <w:rsid w:val="00502361"/>
    <w:rsid w:val="00506C86"/>
    <w:rsid w:val="00507570"/>
    <w:rsid w:val="00514B22"/>
    <w:rsid w:val="00515314"/>
    <w:rsid w:val="005171AC"/>
    <w:rsid w:val="00517F5E"/>
    <w:rsid w:val="0052285C"/>
    <w:rsid w:val="00523FFF"/>
    <w:rsid w:val="00524224"/>
    <w:rsid w:val="005251B8"/>
    <w:rsid w:val="005252AC"/>
    <w:rsid w:val="005265EC"/>
    <w:rsid w:val="00527802"/>
    <w:rsid w:val="00530795"/>
    <w:rsid w:val="005330B6"/>
    <w:rsid w:val="00533478"/>
    <w:rsid w:val="005339AD"/>
    <w:rsid w:val="005366CF"/>
    <w:rsid w:val="005377F7"/>
    <w:rsid w:val="00542241"/>
    <w:rsid w:val="005425AF"/>
    <w:rsid w:val="005430AE"/>
    <w:rsid w:val="005440C9"/>
    <w:rsid w:val="00545F67"/>
    <w:rsid w:val="0054628B"/>
    <w:rsid w:val="005478DF"/>
    <w:rsid w:val="00551E2F"/>
    <w:rsid w:val="00552456"/>
    <w:rsid w:val="00554CA9"/>
    <w:rsid w:val="00554F33"/>
    <w:rsid w:val="00555288"/>
    <w:rsid w:val="0055587E"/>
    <w:rsid w:val="005559ED"/>
    <w:rsid w:val="00555F4A"/>
    <w:rsid w:val="005563E2"/>
    <w:rsid w:val="00560B0E"/>
    <w:rsid w:val="00560F44"/>
    <w:rsid w:val="005612B1"/>
    <w:rsid w:val="00562BC6"/>
    <w:rsid w:val="00564EF6"/>
    <w:rsid w:val="0056545C"/>
    <w:rsid w:val="00570373"/>
    <w:rsid w:val="00572634"/>
    <w:rsid w:val="005768F0"/>
    <w:rsid w:val="0057729A"/>
    <w:rsid w:val="005777DE"/>
    <w:rsid w:val="005802E6"/>
    <w:rsid w:val="00582C0A"/>
    <w:rsid w:val="00583915"/>
    <w:rsid w:val="00583B06"/>
    <w:rsid w:val="00583E71"/>
    <w:rsid w:val="00584410"/>
    <w:rsid w:val="00584AE0"/>
    <w:rsid w:val="00586C0F"/>
    <w:rsid w:val="005909AA"/>
    <w:rsid w:val="00591428"/>
    <w:rsid w:val="00591D1F"/>
    <w:rsid w:val="00591FE7"/>
    <w:rsid w:val="00592B60"/>
    <w:rsid w:val="005954BD"/>
    <w:rsid w:val="00595DFD"/>
    <w:rsid w:val="00596020"/>
    <w:rsid w:val="00596CE5"/>
    <w:rsid w:val="00597DA9"/>
    <w:rsid w:val="005A0F96"/>
    <w:rsid w:val="005A213D"/>
    <w:rsid w:val="005A2216"/>
    <w:rsid w:val="005A315A"/>
    <w:rsid w:val="005A3BF8"/>
    <w:rsid w:val="005A640B"/>
    <w:rsid w:val="005B1625"/>
    <w:rsid w:val="005B1C44"/>
    <w:rsid w:val="005B2600"/>
    <w:rsid w:val="005B3ACC"/>
    <w:rsid w:val="005B5A9D"/>
    <w:rsid w:val="005B7D21"/>
    <w:rsid w:val="005C1708"/>
    <w:rsid w:val="005C17EA"/>
    <w:rsid w:val="005C21D0"/>
    <w:rsid w:val="005C2C6B"/>
    <w:rsid w:val="005C341D"/>
    <w:rsid w:val="005C343D"/>
    <w:rsid w:val="005C49F8"/>
    <w:rsid w:val="005C5CAF"/>
    <w:rsid w:val="005C5D7B"/>
    <w:rsid w:val="005C646B"/>
    <w:rsid w:val="005C64A9"/>
    <w:rsid w:val="005D1988"/>
    <w:rsid w:val="005D1F1C"/>
    <w:rsid w:val="005D2E38"/>
    <w:rsid w:val="005D32A3"/>
    <w:rsid w:val="005D640A"/>
    <w:rsid w:val="005D6E38"/>
    <w:rsid w:val="005D7C54"/>
    <w:rsid w:val="005D7DB5"/>
    <w:rsid w:val="005E0D33"/>
    <w:rsid w:val="005E618F"/>
    <w:rsid w:val="005E75CF"/>
    <w:rsid w:val="005F0FB2"/>
    <w:rsid w:val="005F13D4"/>
    <w:rsid w:val="005F187A"/>
    <w:rsid w:val="005F18D8"/>
    <w:rsid w:val="005F1E9F"/>
    <w:rsid w:val="005F2724"/>
    <w:rsid w:val="005F3FB6"/>
    <w:rsid w:val="005F43F4"/>
    <w:rsid w:val="005F5172"/>
    <w:rsid w:val="005F62CA"/>
    <w:rsid w:val="00600422"/>
    <w:rsid w:val="0060636B"/>
    <w:rsid w:val="00606EFC"/>
    <w:rsid w:val="00607530"/>
    <w:rsid w:val="0061490B"/>
    <w:rsid w:val="006156D2"/>
    <w:rsid w:val="00615A4F"/>
    <w:rsid w:val="00616FE2"/>
    <w:rsid w:val="00616FEC"/>
    <w:rsid w:val="006206AB"/>
    <w:rsid w:val="00620A79"/>
    <w:rsid w:val="006219F4"/>
    <w:rsid w:val="00621B85"/>
    <w:rsid w:val="00622977"/>
    <w:rsid w:val="00623467"/>
    <w:rsid w:val="00625900"/>
    <w:rsid w:val="00625DC3"/>
    <w:rsid w:val="0062631E"/>
    <w:rsid w:val="0062784B"/>
    <w:rsid w:val="00627992"/>
    <w:rsid w:val="00627AD6"/>
    <w:rsid w:val="00627ECA"/>
    <w:rsid w:val="00631F26"/>
    <w:rsid w:val="006347F7"/>
    <w:rsid w:val="00635E39"/>
    <w:rsid w:val="00640061"/>
    <w:rsid w:val="00640139"/>
    <w:rsid w:val="00644D02"/>
    <w:rsid w:val="00646626"/>
    <w:rsid w:val="00646D14"/>
    <w:rsid w:val="00647148"/>
    <w:rsid w:val="006473F3"/>
    <w:rsid w:val="00647F96"/>
    <w:rsid w:val="0065008B"/>
    <w:rsid w:val="006513AA"/>
    <w:rsid w:val="006515EA"/>
    <w:rsid w:val="0065203C"/>
    <w:rsid w:val="00652E3B"/>
    <w:rsid w:val="0065356A"/>
    <w:rsid w:val="0066042F"/>
    <w:rsid w:val="00660905"/>
    <w:rsid w:val="00662703"/>
    <w:rsid w:val="00662A4D"/>
    <w:rsid w:val="006632AB"/>
    <w:rsid w:val="00663782"/>
    <w:rsid w:val="00666307"/>
    <w:rsid w:val="006663C3"/>
    <w:rsid w:val="00666520"/>
    <w:rsid w:val="006667C2"/>
    <w:rsid w:val="00667FEB"/>
    <w:rsid w:val="0067165E"/>
    <w:rsid w:val="006721A8"/>
    <w:rsid w:val="00674027"/>
    <w:rsid w:val="006765E4"/>
    <w:rsid w:val="00676DB3"/>
    <w:rsid w:val="00677873"/>
    <w:rsid w:val="00680988"/>
    <w:rsid w:val="006817D3"/>
    <w:rsid w:val="00681F2B"/>
    <w:rsid w:val="006821D2"/>
    <w:rsid w:val="00685593"/>
    <w:rsid w:val="00685865"/>
    <w:rsid w:val="00685FE5"/>
    <w:rsid w:val="006866F9"/>
    <w:rsid w:val="006872E0"/>
    <w:rsid w:val="00687452"/>
    <w:rsid w:val="00687CB9"/>
    <w:rsid w:val="00690C37"/>
    <w:rsid w:val="00691B91"/>
    <w:rsid w:val="00691C9D"/>
    <w:rsid w:val="006942C8"/>
    <w:rsid w:val="00694855"/>
    <w:rsid w:val="0069620C"/>
    <w:rsid w:val="0069745F"/>
    <w:rsid w:val="00697850"/>
    <w:rsid w:val="006A170B"/>
    <w:rsid w:val="006A2E8E"/>
    <w:rsid w:val="006A34BB"/>
    <w:rsid w:val="006A35BA"/>
    <w:rsid w:val="006A3D72"/>
    <w:rsid w:val="006A7018"/>
    <w:rsid w:val="006A71F2"/>
    <w:rsid w:val="006A74DF"/>
    <w:rsid w:val="006B0ACA"/>
    <w:rsid w:val="006B0DF5"/>
    <w:rsid w:val="006B1323"/>
    <w:rsid w:val="006B1825"/>
    <w:rsid w:val="006B39FF"/>
    <w:rsid w:val="006B4D23"/>
    <w:rsid w:val="006B658C"/>
    <w:rsid w:val="006B7442"/>
    <w:rsid w:val="006C1EC1"/>
    <w:rsid w:val="006C3B43"/>
    <w:rsid w:val="006C47E9"/>
    <w:rsid w:val="006C7872"/>
    <w:rsid w:val="006C7B52"/>
    <w:rsid w:val="006C7C6A"/>
    <w:rsid w:val="006D0C5B"/>
    <w:rsid w:val="006D12E0"/>
    <w:rsid w:val="006D1480"/>
    <w:rsid w:val="006D1E63"/>
    <w:rsid w:val="006D2413"/>
    <w:rsid w:val="006D2E80"/>
    <w:rsid w:val="006D2F15"/>
    <w:rsid w:val="006D30B3"/>
    <w:rsid w:val="006D3218"/>
    <w:rsid w:val="006D3402"/>
    <w:rsid w:val="006D34C2"/>
    <w:rsid w:val="006D3BA3"/>
    <w:rsid w:val="006D52DD"/>
    <w:rsid w:val="006D62ED"/>
    <w:rsid w:val="006D6FF8"/>
    <w:rsid w:val="006E0745"/>
    <w:rsid w:val="006E3362"/>
    <w:rsid w:val="006E4F20"/>
    <w:rsid w:val="006E5746"/>
    <w:rsid w:val="006E7859"/>
    <w:rsid w:val="006F167B"/>
    <w:rsid w:val="006F43D5"/>
    <w:rsid w:val="006F70A3"/>
    <w:rsid w:val="007009D7"/>
    <w:rsid w:val="00700A82"/>
    <w:rsid w:val="00700E46"/>
    <w:rsid w:val="00701625"/>
    <w:rsid w:val="00701888"/>
    <w:rsid w:val="00702914"/>
    <w:rsid w:val="00703B92"/>
    <w:rsid w:val="00704436"/>
    <w:rsid w:val="00705C23"/>
    <w:rsid w:val="00705CA3"/>
    <w:rsid w:val="0070633D"/>
    <w:rsid w:val="0070689C"/>
    <w:rsid w:val="007139D9"/>
    <w:rsid w:val="00713F0D"/>
    <w:rsid w:val="0071415D"/>
    <w:rsid w:val="00716338"/>
    <w:rsid w:val="00716F09"/>
    <w:rsid w:val="007207C1"/>
    <w:rsid w:val="00722AFC"/>
    <w:rsid w:val="00726D4C"/>
    <w:rsid w:val="00730305"/>
    <w:rsid w:val="00731176"/>
    <w:rsid w:val="00732E53"/>
    <w:rsid w:val="00736843"/>
    <w:rsid w:val="0073719A"/>
    <w:rsid w:val="0074035F"/>
    <w:rsid w:val="00741B75"/>
    <w:rsid w:val="007421D8"/>
    <w:rsid w:val="007437D6"/>
    <w:rsid w:val="007465D6"/>
    <w:rsid w:val="00747AEE"/>
    <w:rsid w:val="0075034D"/>
    <w:rsid w:val="00751B23"/>
    <w:rsid w:val="0075335D"/>
    <w:rsid w:val="00754DD5"/>
    <w:rsid w:val="00755754"/>
    <w:rsid w:val="00756654"/>
    <w:rsid w:val="00757975"/>
    <w:rsid w:val="00760B05"/>
    <w:rsid w:val="00761236"/>
    <w:rsid w:val="007614D2"/>
    <w:rsid w:val="007616D3"/>
    <w:rsid w:val="00762523"/>
    <w:rsid w:val="00763343"/>
    <w:rsid w:val="007710EB"/>
    <w:rsid w:val="00771A3B"/>
    <w:rsid w:val="0077227B"/>
    <w:rsid w:val="007736C2"/>
    <w:rsid w:val="007737FF"/>
    <w:rsid w:val="007743CE"/>
    <w:rsid w:val="00775F70"/>
    <w:rsid w:val="00777682"/>
    <w:rsid w:val="00777841"/>
    <w:rsid w:val="0078020F"/>
    <w:rsid w:val="00780DAB"/>
    <w:rsid w:val="007833DA"/>
    <w:rsid w:val="007834FA"/>
    <w:rsid w:val="00783ACE"/>
    <w:rsid w:val="007849B9"/>
    <w:rsid w:val="00785066"/>
    <w:rsid w:val="00786303"/>
    <w:rsid w:val="00792421"/>
    <w:rsid w:val="0079309E"/>
    <w:rsid w:val="0079765F"/>
    <w:rsid w:val="007A04F7"/>
    <w:rsid w:val="007A0EA1"/>
    <w:rsid w:val="007A2016"/>
    <w:rsid w:val="007A2863"/>
    <w:rsid w:val="007A2D78"/>
    <w:rsid w:val="007A54DE"/>
    <w:rsid w:val="007A58B6"/>
    <w:rsid w:val="007A6467"/>
    <w:rsid w:val="007A668E"/>
    <w:rsid w:val="007A77DA"/>
    <w:rsid w:val="007B209B"/>
    <w:rsid w:val="007B3406"/>
    <w:rsid w:val="007B4301"/>
    <w:rsid w:val="007B5EA9"/>
    <w:rsid w:val="007B6653"/>
    <w:rsid w:val="007B66D1"/>
    <w:rsid w:val="007B6BF2"/>
    <w:rsid w:val="007B764F"/>
    <w:rsid w:val="007B77A4"/>
    <w:rsid w:val="007B7D4A"/>
    <w:rsid w:val="007C0740"/>
    <w:rsid w:val="007C2D50"/>
    <w:rsid w:val="007C2E08"/>
    <w:rsid w:val="007C54D1"/>
    <w:rsid w:val="007C5CBE"/>
    <w:rsid w:val="007C6122"/>
    <w:rsid w:val="007C7557"/>
    <w:rsid w:val="007D0284"/>
    <w:rsid w:val="007D0B23"/>
    <w:rsid w:val="007D1B15"/>
    <w:rsid w:val="007D1FE4"/>
    <w:rsid w:val="007D426A"/>
    <w:rsid w:val="007D5416"/>
    <w:rsid w:val="007D6269"/>
    <w:rsid w:val="007D7760"/>
    <w:rsid w:val="007E07A0"/>
    <w:rsid w:val="007E12B4"/>
    <w:rsid w:val="007E1D46"/>
    <w:rsid w:val="007E2B90"/>
    <w:rsid w:val="007E388B"/>
    <w:rsid w:val="007E708F"/>
    <w:rsid w:val="007E7D8F"/>
    <w:rsid w:val="007F27DD"/>
    <w:rsid w:val="007F2CC8"/>
    <w:rsid w:val="007F2D31"/>
    <w:rsid w:val="007F3411"/>
    <w:rsid w:val="007F69E2"/>
    <w:rsid w:val="00800B4F"/>
    <w:rsid w:val="008015AD"/>
    <w:rsid w:val="00803F03"/>
    <w:rsid w:val="00805079"/>
    <w:rsid w:val="008050B9"/>
    <w:rsid w:val="008057F9"/>
    <w:rsid w:val="0080678B"/>
    <w:rsid w:val="00806E34"/>
    <w:rsid w:val="00810DFB"/>
    <w:rsid w:val="00813AC9"/>
    <w:rsid w:val="00813C75"/>
    <w:rsid w:val="00816B3E"/>
    <w:rsid w:val="00820638"/>
    <w:rsid w:val="00820B6E"/>
    <w:rsid w:val="00821841"/>
    <w:rsid w:val="00821F71"/>
    <w:rsid w:val="00822DF7"/>
    <w:rsid w:val="008250A9"/>
    <w:rsid w:val="00826AE8"/>
    <w:rsid w:val="00830A53"/>
    <w:rsid w:val="008310FA"/>
    <w:rsid w:val="00831DD8"/>
    <w:rsid w:val="00831FB6"/>
    <w:rsid w:val="00832A53"/>
    <w:rsid w:val="008333AB"/>
    <w:rsid w:val="008341BB"/>
    <w:rsid w:val="00834FAD"/>
    <w:rsid w:val="008405D3"/>
    <w:rsid w:val="008421E9"/>
    <w:rsid w:val="00842E88"/>
    <w:rsid w:val="008439BA"/>
    <w:rsid w:val="00846383"/>
    <w:rsid w:val="008465D3"/>
    <w:rsid w:val="0084680F"/>
    <w:rsid w:val="00846F7C"/>
    <w:rsid w:val="00847158"/>
    <w:rsid w:val="0084795A"/>
    <w:rsid w:val="00847C83"/>
    <w:rsid w:val="00847FB3"/>
    <w:rsid w:val="00850B1A"/>
    <w:rsid w:val="008536F8"/>
    <w:rsid w:val="008548F2"/>
    <w:rsid w:val="00854F4C"/>
    <w:rsid w:val="00855BCA"/>
    <w:rsid w:val="008560C4"/>
    <w:rsid w:val="008568AB"/>
    <w:rsid w:val="00856C1D"/>
    <w:rsid w:val="00857BCB"/>
    <w:rsid w:val="00861120"/>
    <w:rsid w:val="008638FF"/>
    <w:rsid w:val="00863C55"/>
    <w:rsid w:val="008647AD"/>
    <w:rsid w:val="00871DC6"/>
    <w:rsid w:val="00872E03"/>
    <w:rsid w:val="00875339"/>
    <w:rsid w:val="00876174"/>
    <w:rsid w:val="00876723"/>
    <w:rsid w:val="00876F59"/>
    <w:rsid w:val="00877887"/>
    <w:rsid w:val="008813E5"/>
    <w:rsid w:val="00882EE6"/>
    <w:rsid w:val="0089257B"/>
    <w:rsid w:val="0089357F"/>
    <w:rsid w:val="00893DB5"/>
    <w:rsid w:val="0089497E"/>
    <w:rsid w:val="008951A6"/>
    <w:rsid w:val="00895A9C"/>
    <w:rsid w:val="008A1875"/>
    <w:rsid w:val="008A67FB"/>
    <w:rsid w:val="008A78EB"/>
    <w:rsid w:val="008A7984"/>
    <w:rsid w:val="008B0796"/>
    <w:rsid w:val="008B462B"/>
    <w:rsid w:val="008B638F"/>
    <w:rsid w:val="008B77BE"/>
    <w:rsid w:val="008C477D"/>
    <w:rsid w:val="008C6AAB"/>
    <w:rsid w:val="008C7B8C"/>
    <w:rsid w:val="008C7E0F"/>
    <w:rsid w:val="008D0C46"/>
    <w:rsid w:val="008D1187"/>
    <w:rsid w:val="008D1719"/>
    <w:rsid w:val="008D17F8"/>
    <w:rsid w:val="008D3747"/>
    <w:rsid w:val="008D4B1E"/>
    <w:rsid w:val="008D55B4"/>
    <w:rsid w:val="008D5757"/>
    <w:rsid w:val="008D5778"/>
    <w:rsid w:val="008D5E05"/>
    <w:rsid w:val="008D7072"/>
    <w:rsid w:val="008D789E"/>
    <w:rsid w:val="008E19CE"/>
    <w:rsid w:val="008E2933"/>
    <w:rsid w:val="008E493D"/>
    <w:rsid w:val="008F1989"/>
    <w:rsid w:val="008F1ABF"/>
    <w:rsid w:val="008F2121"/>
    <w:rsid w:val="008F56F0"/>
    <w:rsid w:val="008F6635"/>
    <w:rsid w:val="008F6955"/>
    <w:rsid w:val="008F6BBA"/>
    <w:rsid w:val="009000BB"/>
    <w:rsid w:val="009066ED"/>
    <w:rsid w:val="0090796E"/>
    <w:rsid w:val="00907BD5"/>
    <w:rsid w:val="00907CB7"/>
    <w:rsid w:val="00910B2D"/>
    <w:rsid w:val="009124C2"/>
    <w:rsid w:val="00913BED"/>
    <w:rsid w:val="00913C7C"/>
    <w:rsid w:val="0091634E"/>
    <w:rsid w:val="009164D2"/>
    <w:rsid w:val="009165F7"/>
    <w:rsid w:val="009177AE"/>
    <w:rsid w:val="009206C5"/>
    <w:rsid w:val="009246EA"/>
    <w:rsid w:val="009259B1"/>
    <w:rsid w:val="00925ED2"/>
    <w:rsid w:val="00927BA3"/>
    <w:rsid w:val="00927F20"/>
    <w:rsid w:val="009302E1"/>
    <w:rsid w:val="0093096C"/>
    <w:rsid w:val="00933B9C"/>
    <w:rsid w:val="00933FBE"/>
    <w:rsid w:val="009357A7"/>
    <w:rsid w:val="00940B64"/>
    <w:rsid w:val="00943ED4"/>
    <w:rsid w:val="0094558D"/>
    <w:rsid w:val="009467AA"/>
    <w:rsid w:val="00951C13"/>
    <w:rsid w:val="00952ABD"/>
    <w:rsid w:val="00953C44"/>
    <w:rsid w:val="009552A3"/>
    <w:rsid w:val="009553D8"/>
    <w:rsid w:val="00956CB4"/>
    <w:rsid w:val="009578C5"/>
    <w:rsid w:val="009602A5"/>
    <w:rsid w:val="00961900"/>
    <w:rsid w:val="00962450"/>
    <w:rsid w:val="00962543"/>
    <w:rsid w:val="00962B6A"/>
    <w:rsid w:val="0096371D"/>
    <w:rsid w:val="00970878"/>
    <w:rsid w:val="00970CB2"/>
    <w:rsid w:val="00972367"/>
    <w:rsid w:val="0097291D"/>
    <w:rsid w:val="0097574D"/>
    <w:rsid w:val="009801FD"/>
    <w:rsid w:val="0098036C"/>
    <w:rsid w:val="009823D7"/>
    <w:rsid w:val="00982743"/>
    <w:rsid w:val="0098350F"/>
    <w:rsid w:val="0098446E"/>
    <w:rsid w:val="009854C3"/>
    <w:rsid w:val="009856DB"/>
    <w:rsid w:val="00986278"/>
    <w:rsid w:val="0099020A"/>
    <w:rsid w:val="0099084C"/>
    <w:rsid w:val="00993F84"/>
    <w:rsid w:val="00994994"/>
    <w:rsid w:val="009949BE"/>
    <w:rsid w:val="009951C5"/>
    <w:rsid w:val="009951FB"/>
    <w:rsid w:val="0099549B"/>
    <w:rsid w:val="00995BAF"/>
    <w:rsid w:val="009979CD"/>
    <w:rsid w:val="009A154D"/>
    <w:rsid w:val="009A3727"/>
    <w:rsid w:val="009A37E5"/>
    <w:rsid w:val="009A4691"/>
    <w:rsid w:val="009A68F9"/>
    <w:rsid w:val="009B047A"/>
    <w:rsid w:val="009B074C"/>
    <w:rsid w:val="009B1FF7"/>
    <w:rsid w:val="009B2440"/>
    <w:rsid w:val="009B2509"/>
    <w:rsid w:val="009B29DF"/>
    <w:rsid w:val="009B353C"/>
    <w:rsid w:val="009B3E62"/>
    <w:rsid w:val="009B46C8"/>
    <w:rsid w:val="009B7A57"/>
    <w:rsid w:val="009C1811"/>
    <w:rsid w:val="009C1BF3"/>
    <w:rsid w:val="009C3AA8"/>
    <w:rsid w:val="009C4D49"/>
    <w:rsid w:val="009C504D"/>
    <w:rsid w:val="009C5A79"/>
    <w:rsid w:val="009C5D45"/>
    <w:rsid w:val="009C670F"/>
    <w:rsid w:val="009C74A9"/>
    <w:rsid w:val="009C7991"/>
    <w:rsid w:val="009C7D1D"/>
    <w:rsid w:val="009D10C9"/>
    <w:rsid w:val="009D1385"/>
    <w:rsid w:val="009D6B22"/>
    <w:rsid w:val="009D7896"/>
    <w:rsid w:val="009E2F9C"/>
    <w:rsid w:val="009E4818"/>
    <w:rsid w:val="009E5993"/>
    <w:rsid w:val="009E60A5"/>
    <w:rsid w:val="009F0648"/>
    <w:rsid w:val="009F0704"/>
    <w:rsid w:val="009F0DE5"/>
    <w:rsid w:val="009F4991"/>
    <w:rsid w:val="009F5016"/>
    <w:rsid w:val="009F69B2"/>
    <w:rsid w:val="009F70EE"/>
    <w:rsid w:val="009F76AD"/>
    <w:rsid w:val="00A00C06"/>
    <w:rsid w:val="00A01B19"/>
    <w:rsid w:val="00A051F8"/>
    <w:rsid w:val="00A07088"/>
    <w:rsid w:val="00A07B0B"/>
    <w:rsid w:val="00A10C18"/>
    <w:rsid w:val="00A11CB8"/>
    <w:rsid w:val="00A1484C"/>
    <w:rsid w:val="00A14CE7"/>
    <w:rsid w:val="00A15094"/>
    <w:rsid w:val="00A16A99"/>
    <w:rsid w:val="00A17516"/>
    <w:rsid w:val="00A202E4"/>
    <w:rsid w:val="00A216F7"/>
    <w:rsid w:val="00A2225E"/>
    <w:rsid w:val="00A22E9B"/>
    <w:rsid w:val="00A24485"/>
    <w:rsid w:val="00A24537"/>
    <w:rsid w:val="00A24779"/>
    <w:rsid w:val="00A24C4E"/>
    <w:rsid w:val="00A261D0"/>
    <w:rsid w:val="00A26AAC"/>
    <w:rsid w:val="00A27815"/>
    <w:rsid w:val="00A336AA"/>
    <w:rsid w:val="00A34203"/>
    <w:rsid w:val="00A34414"/>
    <w:rsid w:val="00A349AF"/>
    <w:rsid w:val="00A355E0"/>
    <w:rsid w:val="00A43627"/>
    <w:rsid w:val="00A44333"/>
    <w:rsid w:val="00A445DB"/>
    <w:rsid w:val="00A44FD6"/>
    <w:rsid w:val="00A45355"/>
    <w:rsid w:val="00A454C2"/>
    <w:rsid w:val="00A454EB"/>
    <w:rsid w:val="00A459BF"/>
    <w:rsid w:val="00A51C7D"/>
    <w:rsid w:val="00A54F0B"/>
    <w:rsid w:val="00A55A94"/>
    <w:rsid w:val="00A5608A"/>
    <w:rsid w:val="00A562DE"/>
    <w:rsid w:val="00A56636"/>
    <w:rsid w:val="00A567AB"/>
    <w:rsid w:val="00A56B75"/>
    <w:rsid w:val="00A56D2F"/>
    <w:rsid w:val="00A57078"/>
    <w:rsid w:val="00A603E4"/>
    <w:rsid w:val="00A612AF"/>
    <w:rsid w:val="00A62F4B"/>
    <w:rsid w:val="00A64734"/>
    <w:rsid w:val="00A649DE"/>
    <w:rsid w:val="00A6502B"/>
    <w:rsid w:val="00A66698"/>
    <w:rsid w:val="00A717B9"/>
    <w:rsid w:val="00A72FE1"/>
    <w:rsid w:val="00A757EA"/>
    <w:rsid w:val="00A7718A"/>
    <w:rsid w:val="00A808BE"/>
    <w:rsid w:val="00A831B4"/>
    <w:rsid w:val="00A85D73"/>
    <w:rsid w:val="00A864AF"/>
    <w:rsid w:val="00A90591"/>
    <w:rsid w:val="00A90BC3"/>
    <w:rsid w:val="00A90E34"/>
    <w:rsid w:val="00A90FCE"/>
    <w:rsid w:val="00A91A9C"/>
    <w:rsid w:val="00A91D2F"/>
    <w:rsid w:val="00A91D6B"/>
    <w:rsid w:val="00A953AD"/>
    <w:rsid w:val="00A9602B"/>
    <w:rsid w:val="00A9792D"/>
    <w:rsid w:val="00AA2189"/>
    <w:rsid w:val="00AA309B"/>
    <w:rsid w:val="00AA41FD"/>
    <w:rsid w:val="00AA487C"/>
    <w:rsid w:val="00AA5122"/>
    <w:rsid w:val="00AA5123"/>
    <w:rsid w:val="00AA65FE"/>
    <w:rsid w:val="00AA70CC"/>
    <w:rsid w:val="00AB209B"/>
    <w:rsid w:val="00AB6A2B"/>
    <w:rsid w:val="00AB7AF4"/>
    <w:rsid w:val="00AC32CE"/>
    <w:rsid w:val="00AC40B3"/>
    <w:rsid w:val="00AC5307"/>
    <w:rsid w:val="00AC5851"/>
    <w:rsid w:val="00AC58FF"/>
    <w:rsid w:val="00AC6FAE"/>
    <w:rsid w:val="00AD0DF2"/>
    <w:rsid w:val="00AD0FAF"/>
    <w:rsid w:val="00AD132A"/>
    <w:rsid w:val="00AD2054"/>
    <w:rsid w:val="00AD212C"/>
    <w:rsid w:val="00AD30B4"/>
    <w:rsid w:val="00AD3383"/>
    <w:rsid w:val="00AD3850"/>
    <w:rsid w:val="00AD533E"/>
    <w:rsid w:val="00AD5C3E"/>
    <w:rsid w:val="00AE0D64"/>
    <w:rsid w:val="00AE2D0F"/>
    <w:rsid w:val="00AE5820"/>
    <w:rsid w:val="00AE5D59"/>
    <w:rsid w:val="00AE7CE4"/>
    <w:rsid w:val="00AF2A13"/>
    <w:rsid w:val="00AF3E80"/>
    <w:rsid w:val="00AF428D"/>
    <w:rsid w:val="00AF452C"/>
    <w:rsid w:val="00AF48D2"/>
    <w:rsid w:val="00AF576E"/>
    <w:rsid w:val="00AF6FC8"/>
    <w:rsid w:val="00AF745B"/>
    <w:rsid w:val="00AF7CA9"/>
    <w:rsid w:val="00B0324A"/>
    <w:rsid w:val="00B03EAC"/>
    <w:rsid w:val="00B04E03"/>
    <w:rsid w:val="00B05501"/>
    <w:rsid w:val="00B0642F"/>
    <w:rsid w:val="00B06DD9"/>
    <w:rsid w:val="00B0755E"/>
    <w:rsid w:val="00B07DF5"/>
    <w:rsid w:val="00B1093D"/>
    <w:rsid w:val="00B1179E"/>
    <w:rsid w:val="00B11B09"/>
    <w:rsid w:val="00B12643"/>
    <w:rsid w:val="00B129DB"/>
    <w:rsid w:val="00B130DE"/>
    <w:rsid w:val="00B155DE"/>
    <w:rsid w:val="00B15E75"/>
    <w:rsid w:val="00B1651E"/>
    <w:rsid w:val="00B16E9E"/>
    <w:rsid w:val="00B16F60"/>
    <w:rsid w:val="00B20D28"/>
    <w:rsid w:val="00B239A7"/>
    <w:rsid w:val="00B26B17"/>
    <w:rsid w:val="00B30155"/>
    <w:rsid w:val="00B33100"/>
    <w:rsid w:val="00B36F46"/>
    <w:rsid w:val="00B3731D"/>
    <w:rsid w:val="00B37A68"/>
    <w:rsid w:val="00B37F45"/>
    <w:rsid w:val="00B41D2F"/>
    <w:rsid w:val="00B43C01"/>
    <w:rsid w:val="00B44040"/>
    <w:rsid w:val="00B44876"/>
    <w:rsid w:val="00B50D5B"/>
    <w:rsid w:val="00B52A41"/>
    <w:rsid w:val="00B530CD"/>
    <w:rsid w:val="00B53394"/>
    <w:rsid w:val="00B54245"/>
    <w:rsid w:val="00B6087E"/>
    <w:rsid w:val="00B6112F"/>
    <w:rsid w:val="00B61ED2"/>
    <w:rsid w:val="00B624B2"/>
    <w:rsid w:val="00B6344A"/>
    <w:rsid w:val="00B646AB"/>
    <w:rsid w:val="00B678AC"/>
    <w:rsid w:val="00B67CD4"/>
    <w:rsid w:val="00B701A2"/>
    <w:rsid w:val="00B70D57"/>
    <w:rsid w:val="00B71672"/>
    <w:rsid w:val="00B71960"/>
    <w:rsid w:val="00B71BB4"/>
    <w:rsid w:val="00B73878"/>
    <w:rsid w:val="00B819CD"/>
    <w:rsid w:val="00B84BE9"/>
    <w:rsid w:val="00B91256"/>
    <w:rsid w:val="00B91EC1"/>
    <w:rsid w:val="00B93E4D"/>
    <w:rsid w:val="00B9412C"/>
    <w:rsid w:val="00B94CA5"/>
    <w:rsid w:val="00B952ED"/>
    <w:rsid w:val="00B95B3D"/>
    <w:rsid w:val="00B96321"/>
    <w:rsid w:val="00BA01D5"/>
    <w:rsid w:val="00BA0C02"/>
    <w:rsid w:val="00BA1760"/>
    <w:rsid w:val="00BA3EF9"/>
    <w:rsid w:val="00BA47FC"/>
    <w:rsid w:val="00BA4D11"/>
    <w:rsid w:val="00BA581E"/>
    <w:rsid w:val="00BB056D"/>
    <w:rsid w:val="00BB339B"/>
    <w:rsid w:val="00BB39E7"/>
    <w:rsid w:val="00BB3ED0"/>
    <w:rsid w:val="00BB6838"/>
    <w:rsid w:val="00BC1F8F"/>
    <w:rsid w:val="00BC3009"/>
    <w:rsid w:val="00BC4CE3"/>
    <w:rsid w:val="00BC5108"/>
    <w:rsid w:val="00BC513E"/>
    <w:rsid w:val="00BC6598"/>
    <w:rsid w:val="00BD1EE2"/>
    <w:rsid w:val="00BD40A1"/>
    <w:rsid w:val="00BD50D0"/>
    <w:rsid w:val="00BD6CFE"/>
    <w:rsid w:val="00BE0B62"/>
    <w:rsid w:val="00BE0FA5"/>
    <w:rsid w:val="00BE30AF"/>
    <w:rsid w:val="00BE3192"/>
    <w:rsid w:val="00BE3A45"/>
    <w:rsid w:val="00BE66BD"/>
    <w:rsid w:val="00BE7602"/>
    <w:rsid w:val="00BE769B"/>
    <w:rsid w:val="00BF0CB1"/>
    <w:rsid w:val="00BF147A"/>
    <w:rsid w:val="00BF3FE7"/>
    <w:rsid w:val="00BF73A0"/>
    <w:rsid w:val="00C01978"/>
    <w:rsid w:val="00C01F29"/>
    <w:rsid w:val="00C02067"/>
    <w:rsid w:val="00C02F00"/>
    <w:rsid w:val="00C03304"/>
    <w:rsid w:val="00C034F9"/>
    <w:rsid w:val="00C039ED"/>
    <w:rsid w:val="00C055CC"/>
    <w:rsid w:val="00C055F5"/>
    <w:rsid w:val="00C05EC8"/>
    <w:rsid w:val="00C05FB1"/>
    <w:rsid w:val="00C06B81"/>
    <w:rsid w:val="00C07812"/>
    <w:rsid w:val="00C10206"/>
    <w:rsid w:val="00C14548"/>
    <w:rsid w:val="00C15406"/>
    <w:rsid w:val="00C17CF4"/>
    <w:rsid w:val="00C23A2E"/>
    <w:rsid w:val="00C27B28"/>
    <w:rsid w:val="00C3183C"/>
    <w:rsid w:val="00C33933"/>
    <w:rsid w:val="00C35B33"/>
    <w:rsid w:val="00C36290"/>
    <w:rsid w:val="00C364B5"/>
    <w:rsid w:val="00C43567"/>
    <w:rsid w:val="00C44E19"/>
    <w:rsid w:val="00C45564"/>
    <w:rsid w:val="00C45C3F"/>
    <w:rsid w:val="00C45CE5"/>
    <w:rsid w:val="00C46327"/>
    <w:rsid w:val="00C5038E"/>
    <w:rsid w:val="00C507FB"/>
    <w:rsid w:val="00C50BB1"/>
    <w:rsid w:val="00C50F79"/>
    <w:rsid w:val="00C51959"/>
    <w:rsid w:val="00C53F95"/>
    <w:rsid w:val="00C54E1A"/>
    <w:rsid w:val="00C5578D"/>
    <w:rsid w:val="00C55909"/>
    <w:rsid w:val="00C55E00"/>
    <w:rsid w:val="00C57391"/>
    <w:rsid w:val="00C576B8"/>
    <w:rsid w:val="00C57C6E"/>
    <w:rsid w:val="00C60129"/>
    <w:rsid w:val="00C60172"/>
    <w:rsid w:val="00C60769"/>
    <w:rsid w:val="00C61B70"/>
    <w:rsid w:val="00C620E8"/>
    <w:rsid w:val="00C63C64"/>
    <w:rsid w:val="00C64B49"/>
    <w:rsid w:val="00C7067A"/>
    <w:rsid w:val="00C71675"/>
    <w:rsid w:val="00C71EE2"/>
    <w:rsid w:val="00C72390"/>
    <w:rsid w:val="00C73185"/>
    <w:rsid w:val="00C7320A"/>
    <w:rsid w:val="00C74456"/>
    <w:rsid w:val="00C7629D"/>
    <w:rsid w:val="00C77025"/>
    <w:rsid w:val="00C81E7F"/>
    <w:rsid w:val="00C83396"/>
    <w:rsid w:val="00C84AB7"/>
    <w:rsid w:val="00C9047B"/>
    <w:rsid w:val="00C92E9E"/>
    <w:rsid w:val="00C933EF"/>
    <w:rsid w:val="00C945AB"/>
    <w:rsid w:val="00C9614E"/>
    <w:rsid w:val="00C975D1"/>
    <w:rsid w:val="00CA01F1"/>
    <w:rsid w:val="00CA1011"/>
    <w:rsid w:val="00CA25BD"/>
    <w:rsid w:val="00CA3489"/>
    <w:rsid w:val="00CA68B5"/>
    <w:rsid w:val="00CB0E28"/>
    <w:rsid w:val="00CB34A7"/>
    <w:rsid w:val="00CB4669"/>
    <w:rsid w:val="00CB592C"/>
    <w:rsid w:val="00CB6ABF"/>
    <w:rsid w:val="00CB734A"/>
    <w:rsid w:val="00CC10E3"/>
    <w:rsid w:val="00CC1779"/>
    <w:rsid w:val="00CC3FB0"/>
    <w:rsid w:val="00CC4858"/>
    <w:rsid w:val="00CC51AB"/>
    <w:rsid w:val="00CC6644"/>
    <w:rsid w:val="00CC6CB5"/>
    <w:rsid w:val="00CD266B"/>
    <w:rsid w:val="00CD6B63"/>
    <w:rsid w:val="00CD7AF5"/>
    <w:rsid w:val="00CD7D74"/>
    <w:rsid w:val="00CD7F30"/>
    <w:rsid w:val="00CE19C3"/>
    <w:rsid w:val="00CE261B"/>
    <w:rsid w:val="00CE3791"/>
    <w:rsid w:val="00CE4C10"/>
    <w:rsid w:val="00CE7076"/>
    <w:rsid w:val="00CE7580"/>
    <w:rsid w:val="00CF01A4"/>
    <w:rsid w:val="00CF0F4A"/>
    <w:rsid w:val="00CF2773"/>
    <w:rsid w:val="00CF5ACA"/>
    <w:rsid w:val="00D02967"/>
    <w:rsid w:val="00D042B1"/>
    <w:rsid w:val="00D0441A"/>
    <w:rsid w:val="00D05875"/>
    <w:rsid w:val="00D071CA"/>
    <w:rsid w:val="00D0794F"/>
    <w:rsid w:val="00D10A93"/>
    <w:rsid w:val="00D10B3F"/>
    <w:rsid w:val="00D10C4E"/>
    <w:rsid w:val="00D113D5"/>
    <w:rsid w:val="00D1175F"/>
    <w:rsid w:val="00D11B95"/>
    <w:rsid w:val="00D12312"/>
    <w:rsid w:val="00D1256C"/>
    <w:rsid w:val="00D146CD"/>
    <w:rsid w:val="00D15013"/>
    <w:rsid w:val="00D327AD"/>
    <w:rsid w:val="00D3484B"/>
    <w:rsid w:val="00D34CEA"/>
    <w:rsid w:val="00D3611F"/>
    <w:rsid w:val="00D36856"/>
    <w:rsid w:val="00D37904"/>
    <w:rsid w:val="00D37C93"/>
    <w:rsid w:val="00D41DBA"/>
    <w:rsid w:val="00D4317E"/>
    <w:rsid w:val="00D4323E"/>
    <w:rsid w:val="00D44C92"/>
    <w:rsid w:val="00D450EF"/>
    <w:rsid w:val="00D47F3B"/>
    <w:rsid w:val="00D50A6A"/>
    <w:rsid w:val="00D51A90"/>
    <w:rsid w:val="00D51E76"/>
    <w:rsid w:val="00D521F5"/>
    <w:rsid w:val="00D52313"/>
    <w:rsid w:val="00D5588F"/>
    <w:rsid w:val="00D55C7F"/>
    <w:rsid w:val="00D617C0"/>
    <w:rsid w:val="00D6204F"/>
    <w:rsid w:val="00D62C9E"/>
    <w:rsid w:val="00D63505"/>
    <w:rsid w:val="00D63F6E"/>
    <w:rsid w:val="00D6407A"/>
    <w:rsid w:val="00D64987"/>
    <w:rsid w:val="00D66FB2"/>
    <w:rsid w:val="00D701AA"/>
    <w:rsid w:val="00D708C4"/>
    <w:rsid w:val="00D709FA"/>
    <w:rsid w:val="00D71095"/>
    <w:rsid w:val="00D718FC"/>
    <w:rsid w:val="00D7412D"/>
    <w:rsid w:val="00D7480F"/>
    <w:rsid w:val="00D74ACF"/>
    <w:rsid w:val="00D75C80"/>
    <w:rsid w:val="00D7764E"/>
    <w:rsid w:val="00D77E8D"/>
    <w:rsid w:val="00D82D95"/>
    <w:rsid w:val="00D832C9"/>
    <w:rsid w:val="00D835AB"/>
    <w:rsid w:val="00D84D1E"/>
    <w:rsid w:val="00D851DB"/>
    <w:rsid w:val="00D879E4"/>
    <w:rsid w:val="00D91A87"/>
    <w:rsid w:val="00D91B6A"/>
    <w:rsid w:val="00D91BFF"/>
    <w:rsid w:val="00D91ECB"/>
    <w:rsid w:val="00D929E4"/>
    <w:rsid w:val="00D96732"/>
    <w:rsid w:val="00D96AF7"/>
    <w:rsid w:val="00D976E5"/>
    <w:rsid w:val="00DA094D"/>
    <w:rsid w:val="00DA20D8"/>
    <w:rsid w:val="00DA2EC1"/>
    <w:rsid w:val="00DA4B3C"/>
    <w:rsid w:val="00DA5F29"/>
    <w:rsid w:val="00DB3755"/>
    <w:rsid w:val="00DB3E84"/>
    <w:rsid w:val="00DB4522"/>
    <w:rsid w:val="00DB60F6"/>
    <w:rsid w:val="00DC033E"/>
    <w:rsid w:val="00DC0AB5"/>
    <w:rsid w:val="00DC3078"/>
    <w:rsid w:val="00DC419E"/>
    <w:rsid w:val="00DC4BFB"/>
    <w:rsid w:val="00DC5F5A"/>
    <w:rsid w:val="00DC672E"/>
    <w:rsid w:val="00DD12E4"/>
    <w:rsid w:val="00DD3786"/>
    <w:rsid w:val="00DD37C5"/>
    <w:rsid w:val="00DD4B32"/>
    <w:rsid w:val="00DD5DA5"/>
    <w:rsid w:val="00DE276B"/>
    <w:rsid w:val="00DE3596"/>
    <w:rsid w:val="00DE4331"/>
    <w:rsid w:val="00DE50BA"/>
    <w:rsid w:val="00DF23F0"/>
    <w:rsid w:val="00DF24A2"/>
    <w:rsid w:val="00DF5B34"/>
    <w:rsid w:val="00E008B8"/>
    <w:rsid w:val="00E00FCC"/>
    <w:rsid w:val="00E01105"/>
    <w:rsid w:val="00E030A8"/>
    <w:rsid w:val="00E04193"/>
    <w:rsid w:val="00E05BFA"/>
    <w:rsid w:val="00E0673E"/>
    <w:rsid w:val="00E077C8"/>
    <w:rsid w:val="00E07F95"/>
    <w:rsid w:val="00E10ACB"/>
    <w:rsid w:val="00E1192A"/>
    <w:rsid w:val="00E11E0A"/>
    <w:rsid w:val="00E121FD"/>
    <w:rsid w:val="00E14BE2"/>
    <w:rsid w:val="00E16158"/>
    <w:rsid w:val="00E204B7"/>
    <w:rsid w:val="00E2263F"/>
    <w:rsid w:val="00E2344F"/>
    <w:rsid w:val="00E24A6F"/>
    <w:rsid w:val="00E2602F"/>
    <w:rsid w:val="00E26F8E"/>
    <w:rsid w:val="00E30080"/>
    <w:rsid w:val="00E31068"/>
    <w:rsid w:val="00E31FAE"/>
    <w:rsid w:val="00E33C68"/>
    <w:rsid w:val="00E3440F"/>
    <w:rsid w:val="00E34478"/>
    <w:rsid w:val="00E35AE3"/>
    <w:rsid w:val="00E35FD5"/>
    <w:rsid w:val="00E376F3"/>
    <w:rsid w:val="00E37A41"/>
    <w:rsid w:val="00E41817"/>
    <w:rsid w:val="00E42E23"/>
    <w:rsid w:val="00E43D3A"/>
    <w:rsid w:val="00E461F8"/>
    <w:rsid w:val="00E466A7"/>
    <w:rsid w:val="00E510C2"/>
    <w:rsid w:val="00E536F1"/>
    <w:rsid w:val="00E574BC"/>
    <w:rsid w:val="00E57E92"/>
    <w:rsid w:val="00E629F0"/>
    <w:rsid w:val="00E6306A"/>
    <w:rsid w:val="00E63D11"/>
    <w:rsid w:val="00E64A1F"/>
    <w:rsid w:val="00E65E10"/>
    <w:rsid w:val="00E66894"/>
    <w:rsid w:val="00E70362"/>
    <w:rsid w:val="00E7099F"/>
    <w:rsid w:val="00E75F01"/>
    <w:rsid w:val="00E7609B"/>
    <w:rsid w:val="00E76267"/>
    <w:rsid w:val="00E76F3F"/>
    <w:rsid w:val="00E77262"/>
    <w:rsid w:val="00E7738D"/>
    <w:rsid w:val="00E816AE"/>
    <w:rsid w:val="00E83BFE"/>
    <w:rsid w:val="00E83CA0"/>
    <w:rsid w:val="00E85D91"/>
    <w:rsid w:val="00E86E8A"/>
    <w:rsid w:val="00E87876"/>
    <w:rsid w:val="00E87E9C"/>
    <w:rsid w:val="00E9040A"/>
    <w:rsid w:val="00E90EB6"/>
    <w:rsid w:val="00E91EC6"/>
    <w:rsid w:val="00E97229"/>
    <w:rsid w:val="00EA0E39"/>
    <w:rsid w:val="00EA7F58"/>
    <w:rsid w:val="00EB1B08"/>
    <w:rsid w:val="00EB1B70"/>
    <w:rsid w:val="00EB448D"/>
    <w:rsid w:val="00EB6BBE"/>
    <w:rsid w:val="00EB70BB"/>
    <w:rsid w:val="00EC13CD"/>
    <w:rsid w:val="00EC2487"/>
    <w:rsid w:val="00EC2BDB"/>
    <w:rsid w:val="00EC36ED"/>
    <w:rsid w:val="00EC52AA"/>
    <w:rsid w:val="00EC5A07"/>
    <w:rsid w:val="00EC6782"/>
    <w:rsid w:val="00ED38C7"/>
    <w:rsid w:val="00ED3ACD"/>
    <w:rsid w:val="00ED4028"/>
    <w:rsid w:val="00ED4F16"/>
    <w:rsid w:val="00ED5B6B"/>
    <w:rsid w:val="00EE1ACC"/>
    <w:rsid w:val="00EE1B36"/>
    <w:rsid w:val="00EE411D"/>
    <w:rsid w:val="00EE4EB6"/>
    <w:rsid w:val="00EF0523"/>
    <w:rsid w:val="00EF08EA"/>
    <w:rsid w:val="00EF31C2"/>
    <w:rsid w:val="00EF3611"/>
    <w:rsid w:val="00EF4328"/>
    <w:rsid w:val="00EF5499"/>
    <w:rsid w:val="00EF6856"/>
    <w:rsid w:val="00EF6B5D"/>
    <w:rsid w:val="00EF6BBC"/>
    <w:rsid w:val="00F0057C"/>
    <w:rsid w:val="00F01FFC"/>
    <w:rsid w:val="00F03635"/>
    <w:rsid w:val="00F0519A"/>
    <w:rsid w:val="00F0579E"/>
    <w:rsid w:val="00F0605D"/>
    <w:rsid w:val="00F068B4"/>
    <w:rsid w:val="00F1086B"/>
    <w:rsid w:val="00F13697"/>
    <w:rsid w:val="00F159FE"/>
    <w:rsid w:val="00F176DB"/>
    <w:rsid w:val="00F21E13"/>
    <w:rsid w:val="00F22118"/>
    <w:rsid w:val="00F223C7"/>
    <w:rsid w:val="00F22422"/>
    <w:rsid w:val="00F22E7A"/>
    <w:rsid w:val="00F23E54"/>
    <w:rsid w:val="00F24346"/>
    <w:rsid w:val="00F25CBC"/>
    <w:rsid w:val="00F272D9"/>
    <w:rsid w:val="00F27F72"/>
    <w:rsid w:val="00F30C63"/>
    <w:rsid w:val="00F30FD7"/>
    <w:rsid w:val="00F3134B"/>
    <w:rsid w:val="00F3198B"/>
    <w:rsid w:val="00F32AC3"/>
    <w:rsid w:val="00F339C7"/>
    <w:rsid w:val="00F35CAA"/>
    <w:rsid w:val="00F36CF1"/>
    <w:rsid w:val="00F4004F"/>
    <w:rsid w:val="00F41C36"/>
    <w:rsid w:val="00F42ACA"/>
    <w:rsid w:val="00F42BD7"/>
    <w:rsid w:val="00F43225"/>
    <w:rsid w:val="00F4324F"/>
    <w:rsid w:val="00F44EB6"/>
    <w:rsid w:val="00F45B06"/>
    <w:rsid w:val="00F45CED"/>
    <w:rsid w:val="00F4709D"/>
    <w:rsid w:val="00F54A09"/>
    <w:rsid w:val="00F5530E"/>
    <w:rsid w:val="00F600C8"/>
    <w:rsid w:val="00F608C2"/>
    <w:rsid w:val="00F60D1F"/>
    <w:rsid w:val="00F635CE"/>
    <w:rsid w:val="00F64B0A"/>
    <w:rsid w:val="00F64B42"/>
    <w:rsid w:val="00F65168"/>
    <w:rsid w:val="00F66B05"/>
    <w:rsid w:val="00F67C7C"/>
    <w:rsid w:val="00F71DFA"/>
    <w:rsid w:val="00F7263F"/>
    <w:rsid w:val="00F72AFC"/>
    <w:rsid w:val="00F733FF"/>
    <w:rsid w:val="00F7363A"/>
    <w:rsid w:val="00F7363B"/>
    <w:rsid w:val="00F7600A"/>
    <w:rsid w:val="00F772DC"/>
    <w:rsid w:val="00F77849"/>
    <w:rsid w:val="00F8032A"/>
    <w:rsid w:val="00F80A0F"/>
    <w:rsid w:val="00F837BA"/>
    <w:rsid w:val="00F845FC"/>
    <w:rsid w:val="00F85ACB"/>
    <w:rsid w:val="00F90D91"/>
    <w:rsid w:val="00F93320"/>
    <w:rsid w:val="00F94815"/>
    <w:rsid w:val="00F970A3"/>
    <w:rsid w:val="00F977AF"/>
    <w:rsid w:val="00F97EE2"/>
    <w:rsid w:val="00FA0792"/>
    <w:rsid w:val="00FA19B9"/>
    <w:rsid w:val="00FA29E9"/>
    <w:rsid w:val="00FA2CFE"/>
    <w:rsid w:val="00FA2D66"/>
    <w:rsid w:val="00FA309D"/>
    <w:rsid w:val="00FA575E"/>
    <w:rsid w:val="00FA6046"/>
    <w:rsid w:val="00FA66D1"/>
    <w:rsid w:val="00FA7865"/>
    <w:rsid w:val="00FB339F"/>
    <w:rsid w:val="00FB499B"/>
    <w:rsid w:val="00FB54FD"/>
    <w:rsid w:val="00FB5E68"/>
    <w:rsid w:val="00FB6639"/>
    <w:rsid w:val="00FB6B48"/>
    <w:rsid w:val="00FB7ED4"/>
    <w:rsid w:val="00FC188E"/>
    <w:rsid w:val="00FC2F7D"/>
    <w:rsid w:val="00FC542C"/>
    <w:rsid w:val="00FC7702"/>
    <w:rsid w:val="00FD05BE"/>
    <w:rsid w:val="00FD079D"/>
    <w:rsid w:val="00FD096B"/>
    <w:rsid w:val="00FD38BA"/>
    <w:rsid w:val="00FD43FB"/>
    <w:rsid w:val="00FD62C6"/>
    <w:rsid w:val="00FD710C"/>
    <w:rsid w:val="00FE008B"/>
    <w:rsid w:val="00FE0F21"/>
    <w:rsid w:val="00FE1D85"/>
    <w:rsid w:val="00FE2287"/>
    <w:rsid w:val="00FE33E0"/>
    <w:rsid w:val="00FE6C12"/>
    <w:rsid w:val="00FF044A"/>
    <w:rsid w:val="00FF273D"/>
    <w:rsid w:val="00FF3BC4"/>
    <w:rsid w:val="00FF3DB1"/>
    <w:rsid w:val="00FF5302"/>
    <w:rsid w:val="00FF59CD"/>
    <w:rsid w:val="00FF5CEE"/>
    <w:rsid w:val="00FF60D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54427"/>
  <w15:docId w15:val="{C35E0283-4892-4D5D-BC09-02A1EC24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A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432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A37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221"/>
    <w:pPr>
      <w:ind w:left="720"/>
      <w:contextualSpacing/>
    </w:pPr>
  </w:style>
  <w:style w:type="paragraph" w:styleId="BalloonText">
    <w:name w:val="Balloon Text"/>
    <w:basedOn w:val="Normal"/>
    <w:link w:val="BalloonTextChar"/>
    <w:uiPriority w:val="99"/>
    <w:semiHidden/>
    <w:unhideWhenUsed/>
    <w:rsid w:val="002E6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9C4"/>
    <w:rPr>
      <w:rFonts w:ascii="Segoe UI" w:hAnsi="Segoe UI" w:cs="Segoe UI"/>
      <w:sz w:val="18"/>
      <w:szCs w:val="18"/>
    </w:rPr>
  </w:style>
  <w:style w:type="paragraph" w:styleId="FootnoteText">
    <w:name w:val="footnote text"/>
    <w:basedOn w:val="Normal"/>
    <w:link w:val="FootnoteTextChar"/>
    <w:uiPriority w:val="99"/>
    <w:semiHidden/>
    <w:unhideWhenUsed/>
    <w:rsid w:val="00EF43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328"/>
    <w:rPr>
      <w:sz w:val="20"/>
      <w:szCs w:val="20"/>
    </w:rPr>
  </w:style>
  <w:style w:type="character" w:styleId="FootnoteReference">
    <w:name w:val="footnote reference"/>
    <w:basedOn w:val="DefaultParagraphFont"/>
    <w:uiPriority w:val="99"/>
    <w:semiHidden/>
    <w:unhideWhenUsed/>
    <w:rsid w:val="00EF4328"/>
    <w:rPr>
      <w:vertAlign w:val="superscript"/>
    </w:rPr>
  </w:style>
  <w:style w:type="character" w:styleId="CommentReference">
    <w:name w:val="annotation reference"/>
    <w:basedOn w:val="DefaultParagraphFont"/>
    <w:uiPriority w:val="99"/>
    <w:semiHidden/>
    <w:unhideWhenUsed/>
    <w:rsid w:val="00625DC3"/>
    <w:rPr>
      <w:sz w:val="16"/>
      <w:szCs w:val="16"/>
    </w:rPr>
  </w:style>
  <w:style w:type="paragraph" w:styleId="CommentText">
    <w:name w:val="annotation text"/>
    <w:basedOn w:val="Normal"/>
    <w:link w:val="CommentTextChar"/>
    <w:uiPriority w:val="99"/>
    <w:semiHidden/>
    <w:unhideWhenUsed/>
    <w:rsid w:val="00625DC3"/>
    <w:pPr>
      <w:spacing w:line="240" w:lineRule="auto"/>
    </w:pPr>
    <w:rPr>
      <w:sz w:val="20"/>
      <w:szCs w:val="20"/>
    </w:rPr>
  </w:style>
  <w:style w:type="character" w:customStyle="1" w:styleId="CommentTextChar">
    <w:name w:val="Comment Text Char"/>
    <w:basedOn w:val="DefaultParagraphFont"/>
    <w:link w:val="CommentText"/>
    <w:uiPriority w:val="99"/>
    <w:semiHidden/>
    <w:rsid w:val="00625DC3"/>
    <w:rPr>
      <w:sz w:val="20"/>
      <w:szCs w:val="20"/>
    </w:rPr>
  </w:style>
  <w:style w:type="paragraph" w:styleId="CommentSubject">
    <w:name w:val="annotation subject"/>
    <w:basedOn w:val="CommentText"/>
    <w:next w:val="CommentText"/>
    <w:link w:val="CommentSubjectChar"/>
    <w:uiPriority w:val="99"/>
    <w:semiHidden/>
    <w:unhideWhenUsed/>
    <w:rsid w:val="00625DC3"/>
    <w:rPr>
      <w:b/>
      <w:bCs/>
    </w:rPr>
  </w:style>
  <w:style w:type="character" w:customStyle="1" w:styleId="CommentSubjectChar">
    <w:name w:val="Comment Subject Char"/>
    <w:basedOn w:val="CommentTextChar"/>
    <w:link w:val="CommentSubject"/>
    <w:uiPriority w:val="99"/>
    <w:semiHidden/>
    <w:rsid w:val="00625DC3"/>
    <w:rPr>
      <w:b/>
      <w:bCs/>
      <w:sz w:val="20"/>
      <w:szCs w:val="20"/>
    </w:rPr>
  </w:style>
  <w:style w:type="paragraph" w:styleId="Header">
    <w:name w:val="header"/>
    <w:basedOn w:val="Normal"/>
    <w:link w:val="HeaderChar"/>
    <w:uiPriority w:val="99"/>
    <w:unhideWhenUsed/>
    <w:rsid w:val="00250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305"/>
  </w:style>
  <w:style w:type="paragraph" w:styleId="Footer">
    <w:name w:val="footer"/>
    <w:basedOn w:val="Normal"/>
    <w:link w:val="FooterChar"/>
    <w:uiPriority w:val="99"/>
    <w:unhideWhenUsed/>
    <w:rsid w:val="00250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305"/>
  </w:style>
  <w:style w:type="character" w:customStyle="1" w:styleId="Heading1Char">
    <w:name w:val="Heading 1 Char"/>
    <w:basedOn w:val="DefaultParagraphFont"/>
    <w:link w:val="Heading1"/>
    <w:uiPriority w:val="9"/>
    <w:rsid w:val="00CF5AC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F5ACA"/>
    <w:pPr>
      <w:outlineLvl w:val="9"/>
    </w:pPr>
    <w:rPr>
      <w:lang w:val="en-US"/>
    </w:rPr>
  </w:style>
  <w:style w:type="paragraph" w:styleId="TOC1">
    <w:name w:val="toc 1"/>
    <w:basedOn w:val="Normal"/>
    <w:next w:val="Normal"/>
    <w:autoRedefine/>
    <w:uiPriority w:val="39"/>
    <w:unhideWhenUsed/>
    <w:rsid w:val="00CF5ACA"/>
    <w:pPr>
      <w:spacing w:after="100"/>
    </w:pPr>
  </w:style>
  <w:style w:type="paragraph" w:styleId="TOC2">
    <w:name w:val="toc 2"/>
    <w:basedOn w:val="Normal"/>
    <w:next w:val="Normal"/>
    <w:autoRedefine/>
    <w:uiPriority w:val="39"/>
    <w:unhideWhenUsed/>
    <w:rsid w:val="00CF5ACA"/>
    <w:pPr>
      <w:spacing w:after="100"/>
      <w:ind w:left="220"/>
    </w:pPr>
  </w:style>
  <w:style w:type="character" w:styleId="Hyperlink">
    <w:name w:val="Hyperlink"/>
    <w:basedOn w:val="DefaultParagraphFont"/>
    <w:uiPriority w:val="99"/>
    <w:unhideWhenUsed/>
    <w:rsid w:val="00CF5ACA"/>
    <w:rPr>
      <w:color w:val="0563C1" w:themeColor="hyperlink"/>
      <w:u w:val="single"/>
    </w:rPr>
  </w:style>
  <w:style w:type="table" w:styleId="TableGrid">
    <w:name w:val="Table Grid"/>
    <w:basedOn w:val="TableNormal"/>
    <w:uiPriority w:val="39"/>
    <w:rsid w:val="001A7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00E46"/>
    <w:pPr>
      <w:spacing w:after="0" w:line="240" w:lineRule="auto"/>
    </w:pPr>
    <w:rPr>
      <w:rFonts w:eastAsiaTheme="minorEastAsia"/>
      <w:lang w:eastAsia="es-PE"/>
    </w:rPr>
  </w:style>
  <w:style w:type="character" w:customStyle="1" w:styleId="NoSpacingChar">
    <w:name w:val="No Spacing Char"/>
    <w:basedOn w:val="DefaultParagraphFont"/>
    <w:link w:val="NoSpacing"/>
    <w:uiPriority w:val="1"/>
    <w:rsid w:val="00700E46"/>
    <w:rPr>
      <w:rFonts w:eastAsiaTheme="minorEastAsia"/>
      <w:lang w:eastAsia="es-PE"/>
    </w:rPr>
  </w:style>
  <w:style w:type="character" w:customStyle="1" w:styleId="Heading3Char">
    <w:name w:val="Heading 3 Char"/>
    <w:basedOn w:val="DefaultParagraphFont"/>
    <w:link w:val="Heading3"/>
    <w:uiPriority w:val="9"/>
    <w:semiHidden/>
    <w:rsid w:val="009A3727"/>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9A3727"/>
    <w:pPr>
      <w:spacing w:after="100"/>
      <w:ind w:left="440"/>
    </w:pPr>
  </w:style>
  <w:style w:type="character" w:customStyle="1" w:styleId="Heading2Char">
    <w:name w:val="Heading 2 Char"/>
    <w:basedOn w:val="DefaultParagraphFont"/>
    <w:link w:val="Heading2"/>
    <w:uiPriority w:val="9"/>
    <w:semiHidden/>
    <w:rsid w:val="00F4324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2728">
      <w:bodyDiv w:val="1"/>
      <w:marLeft w:val="0"/>
      <w:marRight w:val="0"/>
      <w:marTop w:val="0"/>
      <w:marBottom w:val="0"/>
      <w:divBdr>
        <w:top w:val="none" w:sz="0" w:space="0" w:color="auto"/>
        <w:left w:val="none" w:sz="0" w:space="0" w:color="auto"/>
        <w:bottom w:val="none" w:sz="0" w:space="0" w:color="auto"/>
        <w:right w:val="none" w:sz="0" w:space="0" w:color="auto"/>
      </w:divBdr>
    </w:div>
    <w:div w:id="60560419">
      <w:bodyDiv w:val="1"/>
      <w:marLeft w:val="0"/>
      <w:marRight w:val="0"/>
      <w:marTop w:val="0"/>
      <w:marBottom w:val="0"/>
      <w:divBdr>
        <w:top w:val="none" w:sz="0" w:space="0" w:color="auto"/>
        <w:left w:val="none" w:sz="0" w:space="0" w:color="auto"/>
        <w:bottom w:val="none" w:sz="0" w:space="0" w:color="auto"/>
        <w:right w:val="none" w:sz="0" w:space="0" w:color="auto"/>
      </w:divBdr>
    </w:div>
    <w:div w:id="85155345">
      <w:bodyDiv w:val="1"/>
      <w:marLeft w:val="0"/>
      <w:marRight w:val="0"/>
      <w:marTop w:val="0"/>
      <w:marBottom w:val="0"/>
      <w:divBdr>
        <w:top w:val="none" w:sz="0" w:space="0" w:color="auto"/>
        <w:left w:val="none" w:sz="0" w:space="0" w:color="auto"/>
        <w:bottom w:val="none" w:sz="0" w:space="0" w:color="auto"/>
        <w:right w:val="none" w:sz="0" w:space="0" w:color="auto"/>
      </w:divBdr>
    </w:div>
    <w:div w:id="128786174">
      <w:bodyDiv w:val="1"/>
      <w:marLeft w:val="0"/>
      <w:marRight w:val="0"/>
      <w:marTop w:val="0"/>
      <w:marBottom w:val="0"/>
      <w:divBdr>
        <w:top w:val="none" w:sz="0" w:space="0" w:color="auto"/>
        <w:left w:val="none" w:sz="0" w:space="0" w:color="auto"/>
        <w:bottom w:val="none" w:sz="0" w:space="0" w:color="auto"/>
        <w:right w:val="none" w:sz="0" w:space="0" w:color="auto"/>
      </w:divBdr>
    </w:div>
    <w:div w:id="145586929">
      <w:bodyDiv w:val="1"/>
      <w:marLeft w:val="0"/>
      <w:marRight w:val="0"/>
      <w:marTop w:val="0"/>
      <w:marBottom w:val="0"/>
      <w:divBdr>
        <w:top w:val="none" w:sz="0" w:space="0" w:color="auto"/>
        <w:left w:val="none" w:sz="0" w:space="0" w:color="auto"/>
        <w:bottom w:val="none" w:sz="0" w:space="0" w:color="auto"/>
        <w:right w:val="none" w:sz="0" w:space="0" w:color="auto"/>
      </w:divBdr>
    </w:div>
    <w:div w:id="249003453">
      <w:bodyDiv w:val="1"/>
      <w:marLeft w:val="0"/>
      <w:marRight w:val="0"/>
      <w:marTop w:val="0"/>
      <w:marBottom w:val="0"/>
      <w:divBdr>
        <w:top w:val="none" w:sz="0" w:space="0" w:color="auto"/>
        <w:left w:val="none" w:sz="0" w:space="0" w:color="auto"/>
        <w:bottom w:val="none" w:sz="0" w:space="0" w:color="auto"/>
        <w:right w:val="none" w:sz="0" w:space="0" w:color="auto"/>
      </w:divBdr>
    </w:div>
    <w:div w:id="391778032">
      <w:bodyDiv w:val="1"/>
      <w:marLeft w:val="0"/>
      <w:marRight w:val="0"/>
      <w:marTop w:val="0"/>
      <w:marBottom w:val="0"/>
      <w:divBdr>
        <w:top w:val="none" w:sz="0" w:space="0" w:color="auto"/>
        <w:left w:val="none" w:sz="0" w:space="0" w:color="auto"/>
        <w:bottom w:val="none" w:sz="0" w:space="0" w:color="auto"/>
        <w:right w:val="none" w:sz="0" w:space="0" w:color="auto"/>
      </w:divBdr>
    </w:div>
    <w:div w:id="413671026">
      <w:bodyDiv w:val="1"/>
      <w:marLeft w:val="0"/>
      <w:marRight w:val="0"/>
      <w:marTop w:val="0"/>
      <w:marBottom w:val="0"/>
      <w:divBdr>
        <w:top w:val="none" w:sz="0" w:space="0" w:color="auto"/>
        <w:left w:val="none" w:sz="0" w:space="0" w:color="auto"/>
        <w:bottom w:val="none" w:sz="0" w:space="0" w:color="auto"/>
        <w:right w:val="none" w:sz="0" w:space="0" w:color="auto"/>
      </w:divBdr>
    </w:div>
    <w:div w:id="800807952">
      <w:bodyDiv w:val="1"/>
      <w:marLeft w:val="0"/>
      <w:marRight w:val="0"/>
      <w:marTop w:val="0"/>
      <w:marBottom w:val="0"/>
      <w:divBdr>
        <w:top w:val="none" w:sz="0" w:space="0" w:color="auto"/>
        <w:left w:val="none" w:sz="0" w:space="0" w:color="auto"/>
        <w:bottom w:val="none" w:sz="0" w:space="0" w:color="auto"/>
        <w:right w:val="none" w:sz="0" w:space="0" w:color="auto"/>
      </w:divBdr>
    </w:div>
    <w:div w:id="868907207">
      <w:bodyDiv w:val="1"/>
      <w:marLeft w:val="0"/>
      <w:marRight w:val="0"/>
      <w:marTop w:val="0"/>
      <w:marBottom w:val="0"/>
      <w:divBdr>
        <w:top w:val="none" w:sz="0" w:space="0" w:color="auto"/>
        <w:left w:val="none" w:sz="0" w:space="0" w:color="auto"/>
        <w:bottom w:val="none" w:sz="0" w:space="0" w:color="auto"/>
        <w:right w:val="none" w:sz="0" w:space="0" w:color="auto"/>
      </w:divBdr>
      <w:divsChild>
        <w:div w:id="194394768">
          <w:marLeft w:val="446"/>
          <w:marRight w:val="0"/>
          <w:marTop w:val="91"/>
          <w:marBottom w:val="120"/>
          <w:divBdr>
            <w:top w:val="none" w:sz="0" w:space="0" w:color="auto"/>
            <w:left w:val="none" w:sz="0" w:space="0" w:color="auto"/>
            <w:bottom w:val="none" w:sz="0" w:space="0" w:color="auto"/>
            <w:right w:val="none" w:sz="0" w:space="0" w:color="auto"/>
          </w:divBdr>
        </w:div>
        <w:div w:id="1297831249">
          <w:marLeft w:val="446"/>
          <w:marRight w:val="0"/>
          <w:marTop w:val="91"/>
          <w:marBottom w:val="120"/>
          <w:divBdr>
            <w:top w:val="none" w:sz="0" w:space="0" w:color="auto"/>
            <w:left w:val="none" w:sz="0" w:space="0" w:color="auto"/>
            <w:bottom w:val="none" w:sz="0" w:space="0" w:color="auto"/>
            <w:right w:val="none" w:sz="0" w:space="0" w:color="auto"/>
          </w:divBdr>
        </w:div>
      </w:divsChild>
    </w:div>
    <w:div w:id="884172877">
      <w:bodyDiv w:val="1"/>
      <w:marLeft w:val="0"/>
      <w:marRight w:val="0"/>
      <w:marTop w:val="0"/>
      <w:marBottom w:val="0"/>
      <w:divBdr>
        <w:top w:val="none" w:sz="0" w:space="0" w:color="auto"/>
        <w:left w:val="none" w:sz="0" w:space="0" w:color="auto"/>
        <w:bottom w:val="none" w:sz="0" w:space="0" w:color="auto"/>
        <w:right w:val="none" w:sz="0" w:space="0" w:color="auto"/>
      </w:divBdr>
    </w:div>
    <w:div w:id="1123227053">
      <w:bodyDiv w:val="1"/>
      <w:marLeft w:val="0"/>
      <w:marRight w:val="0"/>
      <w:marTop w:val="0"/>
      <w:marBottom w:val="0"/>
      <w:divBdr>
        <w:top w:val="none" w:sz="0" w:space="0" w:color="auto"/>
        <w:left w:val="none" w:sz="0" w:space="0" w:color="auto"/>
        <w:bottom w:val="none" w:sz="0" w:space="0" w:color="auto"/>
        <w:right w:val="none" w:sz="0" w:space="0" w:color="auto"/>
      </w:divBdr>
    </w:div>
    <w:div w:id="1338923787">
      <w:bodyDiv w:val="1"/>
      <w:marLeft w:val="0"/>
      <w:marRight w:val="0"/>
      <w:marTop w:val="0"/>
      <w:marBottom w:val="0"/>
      <w:divBdr>
        <w:top w:val="none" w:sz="0" w:space="0" w:color="auto"/>
        <w:left w:val="none" w:sz="0" w:space="0" w:color="auto"/>
        <w:bottom w:val="none" w:sz="0" w:space="0" w:color="auto"/>
        <w:right w:val="none" w:sz="0" w:space="0" w:color="auto"/>
      </w:divBdr>
    </w:div>
    <w:div w:id="1451440007">
      <w:bodyDiv w:val="1"/>
      <w:marLeft w:val="0"/>
      <w:marRight w:val="0"/>
      <w:marTop w:val="0"/>
      <w:marBottom w:val="0"/>
      <w:divBdr>
        <w:top w:val="none" w:sz="0" w:space="0" w:color="auto"/>
        <w:left w:val="none" w:sz="0" w:space="0" w:color="auto"/>
        <w:bottom w:val="none" w:sz="0" w:space="0" w:color="auto"/>
        <w:right w:val="none" w:sz="0" w:space="0" w:color="auto"/>
      </w:divBdr>
    </w:div>
    <w:div w:id="1556700528">
      <w:bodyDiv w:val="1"/>
      <w:marLeft w:val="0"/>
      <w:marRight w:val="0"/>
      <w:marTop w:val="0"/>
      <w:marBottom w:val="0"/>
      <w:divBdr>
        <w:top w:val="none" w:sz="0" w:space="0" w:color="auto"/>
        <w:left w:val="none" w:sz="0" w:space="0" w:color="auto"/>
        <w:bottom w:val="none" w:sz="0" w:space="0" w:color="auto"/>
        <w:right w:val="none" w:sz="0" w:space="0" w:color="auto"/>
      </w:divBdr>
    </w:div>
    <w:div w:id="1748964816">
      <w:bodyDiv w:val="1"/>
      <w:marLeft w:val="0"/>
      <w:marRight w:val="0"/>
      <w:marTop w:val="0"/>
      <w:marBottom w:val="0"/>
      <w:divBdr>
        <w:top w:val="none" w:sz="0" w:space="0" w:color="auto"/>
        <w:left w:val="none" w:sz="0" w:space="0" w:color="auto"/>
        <w:bottom w:val="none" w:sz="0" w:space="0" w:color="auto"/>
        <w:right w:val="none" w:sz="0" w:space="0" w:color="auto"/>
      </w:divBdr>
    </w:div>
    <w:div w:id="1752238442">
      <w:bodyDiv w:val="1"/>
      <w:marLeft w:val="0"/>
      <w:marRight w:val="0"/>
      <w:marTop w:val="0"/>
      <w:marBottom w:val="0"/>
      <w:divBdr>
        <w:top w:val="none" w:sz="0" w:space="0" w:color="auto"/>
        <w:left w:val="none" w:sz="0" w:space="0" w:color="auto"/>
        <w:bottom w:val="none" w:sz="0" w:space="0" w:color="auto"/>
        <w:right w:val="none" w:sz="0" w:space="0" w:color="auto"/>
      </w:divBdr>
    </w:div>
    <w:div w:id="1906720865">
      <w:bodyDiv w:val="1"/>
      <w:marLeft w:val="0"/>
      <w:marRight w:val="0"/>
      <w:marTop w:val="0"/>
      <w:marBottom w:val="0"/>
      <w:divBdr>
        <w:top w:val="none" w:sz="0" w:space="0" w:color="auto"/>
        <w:left w:val="none" w:sz="0" w:space="0" w:color="auto"/>
        <w:bottom w:val="none" w:sz="0" w:space="0" w:color="auto"/>
        <w:right w:val="none" w:sz="0" w:space="0" w:color="auto"/>
      </w:divBdr>
    </w:div>
    <w:div w:id="213537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2018-08-13T00:00:00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F4DECE3CDABF4EA23B86AB9BD9A18D" ma:contentTypeVersion="8" ma:contentTypeDescription="Create a new document." ma:contentTypeScope="" ma:versionID="4b7aa45e5cfea7b30943723aa6fca702">
  <xsd:schema xmlns:xsd="http://www.w3.org/2001/XMLSchema" xmlns:xs="http://www.w3.org/2001/XMLSchema" xmlns:p="http://schemas.microsoft.com/office/2006/metadata/properties" xmlns:ns2="8f9c1e6f-8923-40c4-944a-37422ee10ce2" xmlns:ns3="b1a3f143-95b5-44df-b656-99897a75ef52" targetNamespace="http://schemas.microsoft.com/office/2006/metadata/properties" ma:root="true" ma:fieldsID="c229a08be773d419b7290e0d6340cf62" ns2:_="" ns3:_="">
    <xsd:import namespace="8f9c1e6f-8923-40c4-944a-37422ee10ce2"/>
    <xsd:import namespace="b1a3f143-95b5-44df-b656-99897a75ef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c1e6f-8923-40c4-944a-37422ee10c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3f143-95b5-44df-b656-99897a75ef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9B0AC8-CE4C-4A39-BD0F-63D47C07FEC9}">
  <ds:schemaRefs>
    <ds:schemaRef ds:uri="http://schemas.openxmlformats.org/officeDocument/2006/bibliography"/>
  </ds:schemaRefs>
</ds:datastoreItem>
</file>

<file path=customXml/itemProps3.xml><?xml version="1.0" encoding="utf-8"?>
<ds:datastoreItem xmlns:ds="http://schemas.openxmlformats.org/officeDocument/2006/customXml" ds:itemID="{F8C64EEE-CC22-45B4-96CC-BE33F43A66E9}"/>
</file>

<file path=customXml/itemProps4.xml><?xml version="1.0" encoding="utf-8"?>
<ds:datastoreItem xmlns:ds="http://schemas.openxmlformats.org/officeDocument/2006/customXml" ds:itemID="{8E45B0F1-7493-4274-90FF-C566D7A8B3FD}"/>
</file>

<file path=customXml/itemProps5.xml><?xml version="1.0" encoding="utf-8"?>
<ds:datastoreItem xmlns:ds="http://schemas.openxmlformats.org/officeDocument/2006/customXml" ds:itemID="{7D6CC1F9-1E87-48A6-8562-77DDC629E2C1}"/>
</file>

<file path=docProps/app.xml><?xml version="1.0" encoding="utf-8"?>
<Properties xmlns="http://schemas.openxmlformats.org/officeDocument/2006/extended-properties" xmlns:vt="http://schemas.openxmlformats.org/officeDocument/2006/docPropsVTypes">
  <Template>Normal</Template>
  <TotalTime>16</TotalTime>
  <Pages>37</Pages>
  <Words>13820</Words>
  <Characters>76014</Characters>
  <Application>Microsoft Office Word</Application>
  <DocSecurity>0</DocSecurity>
  <Lines>633</Lines>
  <Paragraphs>179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EVALUACIÓN FINAL DEL PROYECTO FORTALECIMIENTO DEL PROCESO DE DESCENTRALIZACIÓN Y MODERNIZACIÓN DEL ESTADO</vt:lpstr>
      <vt:lpstr>EVALUACIÓN FINAL DEL PROYECTO FORTALECIMIENTO DEL PROCESO DE DESCENTRALIZACIÓN Y MODERNIZACIÓN DEL ESTADO</vt:lpstr>
    </vt:vector>
  </TitlesOfParts>
  <Company>pROGRAMA DE LAS nACIONES uNIDAS PARA EL dESARROLLO</Company>
  <LinksUpToDate>false</LinksUpToDate>
  <CharactersWithSpaces>89655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EVALUACIÓN FINAL DEL PROYECTO FORTALECIMIENTO DEL PROCESO DE DESCENTRALIZACIÓN Y MODERNIZACIÓN DEL ESTADO</dc:title>
  <dc:subject>cONTRATO ic-084-2018</dc:subject>
  <dc:creator>MARÍA ISABEL REMY (CONTRATO IC-084-2018)</dc:creator>
  <cp:lastModifiedBy>Marisa Remy Simatovic</cp:lastModifiedBy>
  <cp:revision>5</cp:revision>
  <cp:lastPrinted>2018-08-28T16:27:00Z</cp:lastPrinted>
  <dcterms:created xsi:type="dcterms:W3CDTF">2018-09-07T21:31:00Z</dcterms:created>
  <dcterms:modified xsi:type="dcterms:W3CDTF">2018-09-07T21:46:00Z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0x010100E6F4DECE3CDABF4EA23B86AB9BD9A18D</vt:lpwstr>
  </property>
</Properties>
</file>