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2250" w14:textId="24D6AF00" w:rsidR="00D66F55" w:rsidRPr="00AF7473" w:rsidRDefault="00D66F55" w:rsidP="00307816">
      <w:pPr>
        <w:pStyle w:val="Heading2"/>
        <w:rPr>
          <w:sz w:val="56"/>
          <w:szCs w:val="60"/>
        </w:rPr>
      </w:pPr>
      <w:bookmarkStart w:id="0" w:name="_Toc389221723"/>
      <w:r w:rsidRPr="00AF7473">
        <w:rPr>
          <w:rFonts w:cs="Arial"/>
          <w:sz w:val="56"/>
          <w:szCs w:val="60"/>
        </w:rPr>
        <w:t>UNDP-GEF T</w:t>
      </w:r>
      <w:r w:rsidR="00C15B2B" w:rsidRPr="00AF7473">
        <w:rPr>
          <w:rFonts w:cs="Arial"/>
          <w:sz w:val="56"/>
          <w:szCs w:val="60"/>
        </w:rPr>
        <w:t>E</w:t>
      </w:r>
      <w:r w:rsidRPr="00AF7473">
        <w:rPr>
          <w:rFonts w:cs="Arial"/>
          <w:sz w:val="56"/>
          <w:szCs w:val="60"/>
        </w:rPr>
        <w:t xml:space="preserve"> Management Response </w:t>
      </w:r>
      <w:bookmarkEnd w:id="0"/>
    </w:p>
    <w:p w14:paraId="22964EA6" w14:textId="77777777" w:rsidR="00D66F55" w:rsidRPr="00CD7410" w:rsidRDefault="00D66F55" w:rsidP="00307816">
      <w:pPr>
        <w:widowControl w:val="0"/>
        <w:autoSpaceDE w:val="0"/>
        <w:autoSpaceDN w:val="0"/>
        <w:adjustRightInd w:val="0"/>
        <w:spacing w:after="0" w:line="240" w:lineRule="auto"/>
        <w:rPr>
          <w:rFonts w:ascii="Garamond" w:hAnsi="Garamond"/>
          <w:sz w:val="20"/>
          <w:szCs w:val="20"/>
        </w:rPr>
      </w:pPr>
    </w:p>
    <w:p w14:paraId="7B540C3F" w14:textId="77777777" w:rsidR="00D66F55" w:rsidRPr="00CD7410" w:rsidRDefault="00D66F55" w:rsidP="00307816">
      <w:pPr>
        <w:widowControl w:val="0"/>
        <w:autoSpaceDE w:val="0"/>
        <w:autoSpaceDN w:val="0"/>
        <w:adjustRightInd w:val="0"/>
        <w:spacing w:after="0" w:line="240" w:lineRule="auto"/>
        <w:rPr>
          <w:rFonts w:ascii="Garamond" w:hAnsi="Garamond"/>
          <w:sz w:val="20"/>
          <w:szCs w:val="20"/>
        </w:rPr>
      </w:pPr>
    </w:p>
    <w:p w14:paraId="6266B3D6" w14:textId="18DF2BED" w:rsidR="00D66F55" w:rsidRPr="00AF7473" w:rsidRDefault="00D66F55" w:rsidP="00307816">
      <w:pPr>
        <w:spacing w:after="0" w:line="240" w:lineRule="auto"/>
        <w:rPr>
          <w:rFonts w:ascii="Garamond" w:hAnsi="Garamond"/>
          <w:b/>
          <w:i/>
          <w:sz w:val="28"/>
          <w:szCs w:val="32"/>
        </w:rPr>
      </w:pPr>
      <w:r w:rsidRPr="00AF7473">
        <w:rPr>
          <w:rFonts w:ascii="Garamond" w:hAnsi="Garamond"/>
          <w:b/>
          <w:sz w:val="28"/>
          <w:szCs w:val="32"/>
        </w:rPr>
        <w:t xml:space="preserve">Management response to the </w:t>
      </w:r>
      <w:r w:rsidR="00C15B2B" w:rsidRPr="00AF7473">
        <w:rPr>
          <w:rFonts w:ascii="Garamond" w:hAnsi="Garamond"/>
          <w:b/>
          <w:sz w:val="28"/>
          <w:szCs w:val="32"/>
        </w:rPr>
        <w:t>Terminal Evaluation Report</w:t>
      </w:r>
      <w:r w:rsidRPr="00AF7473">
        <w:rPr>
          <w:rFonts w:ascii="Garamond" w:hAnsi="Garamond"/>
          <w:b/>
          <w:sz w:val="28"/>
          <w:szCs w:val="32"/>
        </w:rPr>
        <w:t xml:space="preserve"> of </w:t>
      </w:r>
      <w:r w:rsidR="00795791" w:rsidRPr="00AF7473">
        <w:rPr>
          <w:rFonts w:ascii="Garamond" w:hAnsi="Garamond"/>
          <w:b/>
          <w:sz w:val="28"/>
          <w:szCs w:val="32"/>
        </w:rPr>
        <w:br/>
      </w:r>
      <w:r w:rsidR="00491A1A" w:rsidRPr="00AF7473">
        <w:rPr>
          <w:rFonts w:ascii="Garamond" w:hAnsi="Garamond"/>
          <w:b/>
          <w:sz w:val="28"/>
          <w:szCs w:val="32"/>
        </w:rPr>
        <w:t>UNDP-supported GEF-financed</w:t>
      </w:r>
      <w:r w:rsidR="00491A1A" w:rsidRPr="00AF7473" w:rsidDel="00A74823">
        <w:rPr>
          <w:rFonts w:ascii="Garamond" w:hAnsi="Garamond"/>
          <w:b/>
          <w:sz w:val="28"/>
          <w:szCs w:val="32"/>
        </w:rPr>
        <w:t xml:space="preserve"> </w:t>
      </w:r>
      <w:r w:rsidR="00491A1A" w:rsidRPr="00AF7473">
        <w:rPr>
          <w:rFonts w:ascii="Garamond" w:hAnsi="Garamond"/>
          <w:b/>
          <w:sz w:val="28"/>
          <w:szCs w:val="32"/>
        </w:rPr>
        <w:t>“Green Urban Lighting” Project</w:t>
      </w:r>
      <w:r w:rsidR="003C0D4B" w:rsidRPr="00AF7473">
        <w:rPr>
          <w:rFonts w:ascii="Garamond" w:hAnsi="Garamond"/>
          <w:b/>
          <w:sz w:val="28"/>
          <w:szCs w:val="32"/>
        </w:rPr>
        <w:t xml:space="preserve"> in Armenia</w:t>
      </w:r>
      <w:r w:rsidRPr="00AF7473">
        <w:rPr>
          <w:rStyle w:val="FootnoteReference"/>
          <w:rFonts w:ascii="Garamond" w:hAnsi="Garamond"/>
          <w:b/>
          <w:sz w:val="28"/>
          <w:szCs w:val="32"/>
        </w:rPr>
        <w:footnoteReference w:id="1"/>
      </w:r>
    </w:p>
    <w:p w14:paraId="190E08C3" w14:textId="77777777" w:rsidR="00D66F55" w:rsidRPr="00CD7410" w:rsidRDefault="00D66F55" w:rsidP="00307816">
      <w:pPr>
        <w:spacing w:after="0" w:line="240" w:lineRule="auto"/>
        <w:rPr>
          <w:rFonts w:ascii="Garamond" w:hAnsi="Garamond"/>
          <w:lang w:val="en-GB"/>
        </w:rPr>
      </w:pPr>
    </w:p>
    <w:p w14:paraId="4A72E985" w14:textId="4010861E" w:rsidR="00D66F55" w:rsidRPr="00CD7410" w:rsidRDefault="00D66F55" w:rsidP="00307816">
      <w:pPr>
        <w:widowControl w:val="0"/>
        <w:autoSpaceDE w:val="0"/>
        <w:autoSpaceDN w:val="0"/>
        <w:adjustRightInd w:val="0"/>
        <w:spacing w:after="0" w:line="240" w:lineRule="auto"/>
        <w:rPr>
          <w:rFonts w:ascii="Garamond" w:hAnsi="Garamond"/>
        </w:rPr>
      </w:pPr>
      <w:r w:rsidRPr="00CD7410">
        <w:rPr>
          <w:rFonts w:ascii="Garamond" w:hAnsi="Garamond"/>
        </w:rPr>
        <w:t xml:space="preserve">Project Title: </w:t>
      </w:r>
      <w:r w:rsidR="008E70F6" w:rsidRPr="00CD7410">
        <w:rPr>
          <w:rFonts w:ascii="Garamond" w:hAnsi="Garamond"/>
          <w:sz w:val="28"/>
          <w:szCs w:val="28"/>
        </w:rPr>
        <w:t>“Green Urban Lighting</w:t>
      </w:r>
      <w:r w:rsidR="003C0D4B" w:rsidRPr="00CD7410">
        <w:rPr>
          <w:rFonts w:ascii="Garamond" w:hAnsi="Garamond"/>
          <w:sz w:val="28"/>
          <w:szCs w:val="28"/>
        </w:rPr>
        <w:t>”</w:t>
      </w:r>
      <w:r w:rsidR="008E70F6" w:rsidRPr="00CD7410">
        <w:rPr>
          <w:rFonts w:ascii="Garamond" w:hAnsi="Garamond"/>
          <w:sz w:val="28"/>
          <w:szCs w:val="28"/>
        </w:rPr>
        <w:t xml:space="preserve"> </w:t>
      </w:r>
    </w:p>
    <w:p w14:paraId="35757480" w14:textId="14362E29" w:rsidR="00D66F55" w:rsidRPr="00CD7410" w:rsidRDefault="00D66F55" w:rsidP="00307816">
      <w:pPr>
        <w:widowControl w:val="0"/>
        <w:autoSpaceDE w:val="0"/>
        <w:autoSpaceDN w:val="0"/>
        <w:adjustRightInd w:val="0"/>
        <w:spacing w:after="0" w:line="240" w:lineRule="auto"/>
        <w:rPr>
          <w:rFonts w:ascii="Garamond" w:hAnsi="Garamond"/>
          <w:b/>
        </w:rPr>
      </w:pPr>
      <w:r w:rsidRPr="00CD7410">
        <w:rPr>
          <w:rFonts w:ascii="Garamond" w:hAnsi="Garamond"/>
        </w:rPr>
        <w:t xml:space="preserve">UNDP Project </w:t>
      </w:r>
      <w:r w:rsidR="003C0D4B" w:rsidRPr="00CD7410">
        <w:rPr>
          <w:rFonts w:ascii="Garamond" w:hAnsi="Garamond"/>
        </w:rPr>
        <w:t xml:space="preserve">ID </w:t>
      </w:r>
      <w:r w:rsidR="003C0D4B" w:rsidRPr="00CD7410">
        <w:rPr>
          <w:rFonts w:ascii="Garamond" w:hAnsi="Garamond"/>
          <w:b/>
        </w:rPr>
        <w:t>#</w:t>
      </w:r>
      <w:r w:rsidR="003C0D4B" w:rsidRPr="00CD7410">
        <w:rPr>
          <w:rFonts w:ascii="Garamond" w:hAnsi="Garamond"/>
        </w:rPr>
        <w:t xml:space="preserve"> 00074869</w:t>
      </w:r>
    </w:p>
    <w:p w14:paraId="76031C87" w14:textId="0B1A62D2" w:rsidR="00D66F55" w:rsidRPr="00CD7410" w:rsidRDefault="00D66F55" w:rsidP="00307816">
      <w:pPr>
        <w:widowControl w:val="0"/>
        <w:autoSpaceDE w:val="0"/>
        <w:autoSpaceDN w:val="0"/>
        <w:adjustRightInd w:val="0"/>
        <w:spacing w:after="0" w:line="240" w:lineRule="auto"/>
        <w:rPr>
          <w:rFonts w:ascii="Garamond" w:hAnsi="Garamond"/>
        </w:rPr>
      </w:pPr>
      <w:r w:rsidRPr="00CD7410">
        <w:rPr>
          <w:rFonts w:ascii="Garamond" w:hAnsi="Garamond"/>
        </w:rPr>
        <w:t xml:space="preserve">GEF Project ID (PMIS) #: </w:t>
      </w:r>
      <w:r w:rsidR="00491A1A" w:rsidRPr="00CD7410">
        <w:rPr>
          <w:rFonts w:ascii="Garamond" w:hAnsi="Garamond"/>
        </w:rPr>
        <w:t>4669</w:t>
      </w:r>
    </w:p>
    <w:p w14:paraId="706A5290" w14:textId="5ABF4B9A" w:rsidR="00D66F55" w:rsidRPr="00CD7410" w:rsidRDefault="00D66F55" w:rsidP="00307816">
      <w:pPr>
        <w:widowControl w:val="0"/>
        <w:autoSpaceDE w:val="0"/>
        <w:autoSpaceDN w:val="0"/>
        <w:adjustRightInd w:val="0"/>
        <w:spacing w:after="0" w:line="240" w:lineRule="auto"/>
        <w:rPr>
          <w:rFonts w:ascii="Garamond" w:hAnsi="Garamond"/>
        </w:rPr>
      </w:pPr>
      <w:r w:rsidRPr="00CD7410">
        <w:rPr>
          <w:rFonts w:ascii="Garamond" w:hAnsi="Garamond"/>
        </w:rPr>
        <w:t>Midterm Review Mission Completion Date:</w:t>
      </w:r>
      <w:r w:rsidR="00015FDF" w:rsidRPr="00CD7410">
        <w:rPr>
          <w:rFonts w:ascii="Garamond" w:hAnsi="Garamond"/>
        </w:rPr>
        <w:t xml:space="preserve">  </w:t>
      </w:r>
      <w:r w:rsidR="00C15B2B" w:rsidRPr="00CD7410">
        <w:rPr>
          <w:rFonts w:ascii="Garamond" w:hAnsi="Garamond"/>
        </w:rPr>
        <w:t>27 July</w:t>
      </w:r>
      <w:r w:rsidR="00015FDF" w:rsidRPr="00CD7410">
        <w:rPr>
          <w:rFonts w:ascii="Garamond" w:hAnsi="Garamond"/>
        </w:rPr>
        <w:t xml:space="preserve"> 201</w:t>
      </w:r>
      <w:r w:rsidR="00C15B2B" w:rsidRPr="00CD7410">
        <w:rPr>
          <w:rFonts w:ascii="Garamond" w:hAnsi="Garamond"/>
        </w:rPr>
        <w:t>8</w:t>
      </w:r>
      <w:r w:rsidRPr="00CD7410">
        <w:rPr>
          <w:rFonts w:ascii="Garamond" w:hAnsi="Garamond"/>
        </w:rPr>
        <w:t xml:space="preserve"> </w:t>
      </w:r>
    </w:p>
    <w:p w14:paraId="39EE5154" w14:textId="3B079CA3" w:rsidR="00D66F55" w:rsidRPr="00CD7410" w:rsidRDefault="00D66F55" w:rsidP="00307816">
      <w:pPr>
        <w:widowControl w:val="0"/>
        <w:autoSpaceDE w:val="0"/>
        <w:autoSpaceDN w:val="0"/>
        <w:adjustRightInd w:val="0"/>
        <w:spacing w:after="0" w:line="240" w:lineRule="auto"/>
        <w:rPr>
          <w:rFonts w:ascii="Garamond" w:hAnsi="Garamond"/>
        </w:rPr>
      </w:pPr>
      <w:r w:rsidRPr="00CD7410">
        <w:rPr>
          <w:rFonts w:ascii="Garamond" w:hAnsi="Garamond"/>
        </w:rPr>
        <w:t xml:space="preserve">Date of Issue of Management Response: </w:t>
      </w:r>
      <w:r w:rsidR="00C15B2B" w:rsidRPr="00CD7410">
        <w:rPr>
          <w:rFonts w:ascii="Garamond" w:hAnsi="Garamond"/>
        </w:rPr>
        <w:t>23 August 2018</w:t>
      </w:r>
    </w:p>
    <w:p w14:paraId="06B2D677" w14:textId="77777777" w:rsidR="00D66F55" w:rsidRPr="00CD7410" w:rsidRDefault="00D66F55" w:rsidP="00307816">
      <w:pPr>
        <w:widowControl w:val="0"/>
        <w:autoSpaceDE w:val="0"/>
        <w:autoSpaceDN w:val="0"/>
        <w:adjustRightInd w:val="0"/>
        <w:spacing w:after="0" w:line="240" w:lineRule="auto"/>
        <w:rPr>
          <w:rFonts w:ascii="Garamond" w:hAnsi="Garamond"/>
        </w:rPr>
      </w:pPr>
    </w:p>
    <w:p w14:paraId="15DA49A2" w14:textId="3DF94E2D" w:rsidR="00D66F55" w:rsidRPr="00CD7410" w:rsidRDefault="00D66F55" w:rsidP="00307816">
      <w:pPr>
        <w:tabs>
          <w:tab w:val="left" w:pos="2880"/>
        </w:tabs>
        <w:spacing w:after="0" w:line="240" w:lineRule="auto"/>
        <w:ind w:left="2880" w:hanging="2880"/>
        <w:rPr>
          <w:rFonts w:ascii="Garamond" w:hAnsi="Garamond"/>
          <w:i/>
        </w:rPr>
      </w:pPr>
      <w:r w:rsidRPr="00CD7410">
        <w:rPr>
          <w:rFonts w:ascii="Garamond" w:hAnsi="Garamond"/>
        </w:rPr>
        <w:t xml:space="preserve">Prepared by: </w:t>
      </w:r>
      <w:r w:rsidRPr="00CD7410">
        <w:rPr>
          <w:rFonts w:ascii="Garamond" w:hAnsi="Garamond"/>
        </w:rPr>
        <w:tab/>
      </w:r>
      <w:r w:rsidR="003C0D4B" w:rsidRPr="00CD7410">
        <w:rPr>
          <w:rFonts w:ascii="Garamond" w:hAnsi="Garamond"/>
          <w:i/>
        </w:rPr>
        <w:t xml:space="preserve">UNDP </w:t>
      </w:r>
      <w:r w:rsidR="00015FDF" w:rsidRPr="00CD7410">
        <w:rPr>
          <w:rFonts w:ascii="Garamond" w:hAnsi="Garamond"/>
          <w:i/>
        </w:rPr>
        <w:t xml:space="preserve">Climate Change Programme </w:t>
      </w:r>
      <w:r w:rsidR="003C0D4B" w:rsidRPr="00CD7410">
        <w:rPr>
          <w:rFonts w:ascii="Garamond" w:hAnsi="Garamond"/>
          <w:i/>
        </w:rPr>
        <w:t>Coordinator</w:t>
      </w:r>
    </w:p>
    <w:p w14:paraId="72477A61" w14:textId="210E642A" w:rsidR="00D66F55" w:rsidRPr="00CD7410" w:rsidRDefault="00D66F55" w:rsidP="00307816">
      <w:pPr>
        <w:tabs>
          <w:tab w:val="left" w:pos="2880"/>
        </w:tabs>
        <w:spacing w:after="0" w:line="240" w:lineRule="auto"/>
        <w:ind w:left="2880" w:hanging="2880"/>
        <w:rPr>
          <w:rFonts w:ascii="Garamond" w:hAnsi="Garamond"/>
          <w:i/>
        </w:rPr>
      </w:pPr>
      <w:r w:rsidRPr="00CD7410">
        <w:rPr>
          <w:rFonts w:ascii="Garamond" w:hAnsi="Garamond"/>
          <w:highlight w:val="yellow"/>
        </w:rPr>
        <w:t xml:space="preserve">Contributors: </w:t>
      </w:r>
      <w:r w:rsidRPr="00CD7410">
        <w:rPr>
          <w:rFonts w:ascii="Garamond" w:hAnsi="Garamond"/>
          <w:highlight w:val="yellow"/>
        </w:rPr>
        <w:tab/>
      </w:r>
      <w:r w:rsidRPr="00CD7410">
        <w:rPr>
          <w:rFonts w:ascii="Garamond" w:hAnsi="Garamond"/>
          <w:i/>
          <w:highlight w:val="yellow"/>
        </w:rPr>
        <w:t>UNDP-GEF RTA</w:t>
      </w:r>
      <w:r w:rsidRPr="00CD7410">
        <w:rPr>
          <w:rFonts w:ascii="Garamond" w:hAnsi="Garamond"/>
          <w:i/>
        </w:rPr>
        <w:t xml:space="preserve"> </w:t>
      </w:r>
    </w:p>
    <w:p w14:paraId="3B2ED3B9" w14:textId="40255535" w:rsidR="00D66F55" w:rsidRPr="00CD7410" w:rsidRDefault="00D66F55" w:rsidP="00307816">
      <w:pPr>
        <w:tabs>
          <w:tab w:val="left" w:pos="2880"/>
        </w:tabs>
        <w:spacing w:after="0" w:line="240" w:lineRule="auto"/>
        <w:ind w:left="2880" w:hanging="2880"/>
        <w:rPr>
          <w:rFonts w:ascii="Garamond" w:hAnsi="Garamond"/>
          <w:i/>
        </w:rPr>
      </w:pPr>
      <w:r w:rsidRPr="00CD7410">
        <w:rPr>
          <w:rFonts w:ascii="Garamond" w:hAnsi="Garamond"/>
        </w:rPr>
        <w:t xml:space="preserve">Cleared by: </w:t>
      </w:r>
      <w:r w:rsidRPr="00CD7410">
        <w:rPr>
          <w:rFonts w:ascii="Garamond" w:hAnsi="Garamond"/>
        </w:rPr>
        <w:tab/>
      </w:r>
      <w:r w:rsidRPr="00CD7410">
        <w:rPr>
          <w:rFonts w:ascii="Garamond" w:hAnsi="Garamond"/>
          <w:i/>
        </w:rPr>
        <w:t>Project Board</w:t>
      </w:r>
    </w:p>
    <w:p w14:paraId="72E31AB3" w14:textId="77777777" w:rsidR="00FC2DBD" w:rsidRPr="00CD7410" w:rsidRDefault="00FC2DBD" w:rsidP="00307816">
      <w:pPr>
        <w:pStyle w:val="SingleTxt"/>
        <w:tabs>
          <w:tab w:val="left" w:pos="1080"/>
          <w:tab w:val="left" w:pos="1620"/>
        </w:tabs>
        <w:spacing w:after="0" w:line="240" w:lineRule="auto"/>
        <w:ind w:left="0"/>
        <w:rPr>
          <w:rFonts w:ascii="Garamond" w:hAnsi="Garamond"/>
          <w:b/>
          <w:sz w:val="32"/>
          <w:szCs w:val="32"/>
        </w:rPr>
      </w:pPr>
    </w:p>
    <w:p w14:paraId="0E7D3D0C" w14:textId="77777777" w:rsidR="00D66F55" w:rsidRPr="00CD7410" w:rsidRDefault="00D66F55" w:rsidP="00307816">
      <w:pPr>
        <w:pStyle w:val="SingleTxt"/>
        <w:tabs>
          <w:tab w:val="left" w:pos="1080"/>
          <w:tab w:val="left" w:pos="1620"/>
        </w:tabs>
        <w:spacing w:after="0" w:line="240" w:lineRule="auto"/>
        <w:ind w:left="0"/>
        <w:rPr>
          <w:rFonts w:ascii="Garamond" w:hAnsi="Garamond"/>
          <w:b/>
          <w:sz w:val="32"/>
          <w:szCs w:val="32"/>
        </w:rPr>
      </w:pPr>
      <w:r w:rsidRPr="00CD7410">
        <w:rPr>
          <w:rFonts w:ascii="Garamond" w:hAnsi="Garamond"/>
          <w:b/>
          <w:sz w:val="32"/>
          <w:szCs w:val="32"/>
        </w:rPr>
        <w:t>Context, background and findings</w:t>
      </w:r>
    </w:p>
    <w:p w14:paraId="759BAADB" w14:textId="77777777" w:rsidR="00D66F55" w:rsidRPr="00CD7410" w:rsidRDefault="00D66F55" w:rsidP="00307816">
      <w:pPr>
        <w:pStyle w:val="SingleTxt"/>
        <w:tabs>
          <w:tab w:val="left" w:pos="1080"/>
          <w:tab w:val="left" w:pos="1620"/>
        </w:tabs>
        <w:spacing w:after="0" w:line="240" w:lineRule="auto"/>
        <w:ind w:left="0"/>
        <w:rPr>
          <w:rFonts w:ascii="Garamond" w:hAnsi="Garamond"/>
          <w:sz w:val="22"/>
          <w:szCs w:val="22"/>
        </w:rPr>
      </w:pPr>
    </w:p>
    <w:p w14:paraId="4BD35E91" w14:textId="2A7F1134" w:rsidR="00270198" w:rsidRPr="00CD7410" w:rsidRDefault="00270198" w:rsidP="00C15B2B">
      <w:pPr>
        <w:pStyle w:val="SingleTxt"/>
        <w:tabs>
          <w:tab w:val="left" w:pos="1080"/>
          <w:tab w:val="left" w:pos="1620"/>
        </w:tabs>
        <w:spacing w:after="0" w:line="240" w:lineRule="auto"/>
        <w:ind w:left="0" w:right="4"/>
        <w:rPr>
          <w:rFonts w:ascii="Garamond" w:hAnsi="Garamond"/>
          <w:sz w:val="22"/>
          <w:szCs w:val="22"/>
        </w:rPr>
      </w:pPr>
      <w:r w:rsidRPr="00CD7410">
        <w:rPr>
          <w:rFonts w:ascii="Garamond" w:hAnsi="Garamond"/>
          <w:sz w:val="22"/>
          <w:szCs w:val="22"/>
        </w:rPr>
        <w:t xml:space="preserve">The recommendations and evaluation are set proper to the context and status of the outputs of the project in its </w:t>
      </w:r>
      <w:r w:rsidR="00C15B2B" w:rsidRPr="00CD7410">
        <w:rPr>
          <w:rFonts w:ascii="Garamond" w:hAnsi="Garamond"/>
          <w:sz w:val="22"/>
          <w:szCs w:val="22"/>
        </w:rPr>
        <w:t>final</w:t>
      </w:r>
      <w:r w:rsidRPr="00CD7410">
        <w:rPr>
          <w:rFonts w:ascii="Garamond" w:hAnsi="Garamond"/>
          <w:sz w:val="22"/>
          <w:szCs w:val="22"/>
        </w:rPr>
        <w:t xml:space="preserve"> year of implementation and will guide the team in addressing the identified shortcomings.</w:t>
      </w:r>
    </w:p>
    <w:p w14:paraId="657FD0F6" w14:textId="77777777" w:rsidR="00D66F55" w:rsidRPr="00CD7410" w:rsidRDefault="00D66F55" w:rsidP="00307816">
      <w:pPr>
        <w:pStyle w:val="HCh"/>
        <w:spacing w:line="240" w:lineRule="auto"/>
        <w:rPr>
          <w:rFonts w:ascii="Garamond" w:hAnsi="Garamond"/>
          <w:sz w:val="32"/>
          <w:szCs w:val="32"/>
        </w:rPr>
      </w:pPr>
    </w:p>
    <w:p w14:paraId="73804807" w14:textId="77777777" w:rsidR="00D66F55" w:rsidRPr="00CD7410" w:rsidRDefault="00D66F55" w:rsidP="00307816">
      <w:pPr>
        <w:spacing w:after="0" w:line="240" w:lineRule="auto"/>
        <w:rPr>
          <w:rFonts w:ascii="Garamond" w:hAnsi="Garamond"/>
          <w:b/>
          <w:sz w:val="32"/>
          <w:szCs w:val="32"/>
        </w:rPr>
      </w:pPr>
      <w:r w:rsidRPr="00CD7410">
        <w:rPr>
          <w:rFonts w:ascii="Garamond" w:hAnsi="Garamond"/>
          <w:b/>
          <w:sz w:val="32"/>
          <w:szCs w:val="32"/>
        </w:rPr>
        <w:t>Recommendations and management response</w:t>
      </w:r>
    </w:p>
    <w:tbl>
      <w:tblPr>
        <w:tblW w:w="978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403"/>
        <w:gridCol w:w="1793"/>
        <w:gridCol w:w="1325"/>
        <w:gridCol w:w="2078"/>
        <w:gridCol w:w="1182"/>
      </w:tblGrid>
      <w:tr w:rsidR="00D66F55" w:rsidRPr="00CD7410" w14:paraId="20B0235D" w14:textId="77777777" w:rsidTr="00E364DC">
        <w:trPr>
          <w:trHeight w:val="242"/>
        </w:trPr>
        <w:tc>
          <w:tcPr>
            <w:tcW w:w="9781" w:type="dxa"/>
            <w:gridSpan w:val="5"/>
            <w:shd w:val="clear" w:color="auto" w:fill="F3F3F3"/>
          </w:tcPr>
          <w:p w14:paraId="77F45FA5" w14:textId="608932A6" w:rsidR="00505B94" w:rsidRPr="00CD7410" w:rsidRDefault="00C15B2B" w:rsidP="00307816">
            <w:pPr>
              <w:spacing w:after="0" w:line="240" w:lineRule="auto"/>
              <w:rPr>
                <w:rFonts w:ascii="Garamond" w:hAnsi="Garamond"/>
                <w:b/>
                <w:i/>
                <w:u w:val="single"/>
              </w:rPr>
            </w:pPr>
            <w:r w:rsidRPr="00CD7410">
              <w:rPr>
                <w:rFonts w:ascii="Garamond" w:hAnsi="Garamond"/>
                <w:b/>
                <w:i/>
                <w:u w:val="single"/>
              </w:rPr>
              <w:t xml:space="preserve">Terminal Evaluation Report </w:t>
            </w:r>
            <w:r w:rsidR="00D66F55" w:rsidRPr="00CD7410">
              <w:rPr>
                <w:rFonts w:ascii="Garamond" w:hAnsi="Garamond"/>
                <w:b/>
                <w:i/>
                <w:u w:val="single"/>
              </w:rPr>
              <w:t>recommendation</w:t>
            </w:r>
            <w:r w:rsidR="005D6CFB" w:rsidRPr="00CD7410">
              <w:rPr>
                <w:rFonts w:ascii="Garamond" w:hAnsi="Garamond"/>
                <w:b/>
                <w:i/>
                <w:u w:val="single"/>
              </w:rPr>
              <w:t xml:space="preserve"> </w:t>
            </w:r>
            <w:r w:rsidR="00505B94" w:rsidRPr="00CD7410">
              <w:rPr>
                <w:rFonts w:ascii="Garamond" w:hAnsi="Garamond"/>
                <w:b/>
                <w:i/>
                <w:u w:val="single"/>
              </w:rPr>
              <w:t>1.</w:t>
            </w:r>
          </w:p>
          <w:p w14:paraId="5C91C5BE" w14:textId="0FBEAAFC" w:rsidR="009937BB" w:rsidRPr="00CD7410" w:rsidRDefault="00D035D1" w:rsidP="00C86FF9">
            <w:pPr>
              <w:spacing w:before="60" w:after="60" w:line="240" w:lineRule="auto"/>
              <w:rPr>
                <w:rFonts w:ascii="Garamond" w:hAnsi="Garamond"/>
                <w:b/>
              </w:rPr>
            </w:pPr>
            <w:r w:rsidRPr="00CD7410">
              <w:rPr>
                <w:rFonts w:ascii="Garamond" w:hAnsi="Garamond"/>
                <w:b/>
              </w:rPr>
              <w:t>Lessons Learned Report to be disseminated and published on-line</w:t>
            </w:r>
          </w:p>
          <w:p w14:paraId="6160DE27" w14:textId="77777777" w:rsidR="00D035D1" w:rsidRPr="00CD7410" w:rsidRDefault="00D035D1" w:rsidP="00C86FF9">
            <w:pPr>
              <w:pStyle w:val="ListParagraph"/>
              <w:numPr>
                <w:ilvl w:val="0"/>
                <w:numId w:val="6"/>
              </w:numPr>
              <w:spacing w:after="0"/>
              <w:ind w:left="314" w:hanging="214"/>
              <w:rPr>
                <w:rFonts w:ascii="Garamond" w:hAnsi="Garamond"/>
                <w:szCs w:val="20"/>
              </w:rPr>
            </w:pPr>
            <w:proofErr w:type="gramStart"/>
            <w:r w:rsidRPr="00CD7410">
              <w:rPr>
                <w:rFonts w:ascii="Garamond" w:hAnsi="Garamond"/>
                <w:szCs w:val="20"/>
              </w:rPr>
              <w:t>The project team is expected and is planning to develop and publish the Lessons Learned Report by the end of the project.</w:t>
            </w:r>
            <w:proofErr w:type="gramEnd"/>
          </w:p>
          <w:p w14:paraId="5C3774EE" w14:textId="77777777" w:rsidR="00D035D1" w:rsidRPr="00CD7410" w:rsidRDefault="00D035D1" w:rsidP="00C86FF9">
            <w:pPr>
              <w:pStyle w:val="ListParagraph"/>
              <w:numPr>
                <w:ilvl w:val="0"/>
                <w:numId w:val="6"/>
              </w:numPr>
              <w:spacing w:after="0"/>
              <w:ind w:left="314" w:hanging="214"/>
              <w:rPr>
                <w:rFonts w:ascii="Garamond" w:hAnsi="Garamond"/>
                <w:szCs w:val="20"/>
              </w:rPr>
            </w:pPr>
            <w:r w:rsidRPr="00CD7410">
              <w:rPr>
                <w:rFonts w:ascii="Garamond" w:hAnsi="Garamond"/>
                <w:szCs w:val="20"/>
              </w:rPr>
              <w:t>The Project has developed extensive expertise in energy efficient lighting, including significant technical expertise. This experience is not only country-specific but it might help also project developers when developing energy efficient lighting projects internationally.</w:t>
            </w:r>
          </w:p>
          <w:p w14:paraId="568DA47A" w14:textId="77777777" w:rsidR="00D035D1" w:rsidRPr="00CD7410" w:rsidRDefault="00D035D1" w:rsidP="00C86FF9">
            <w:pPr>
              <w:pStyle w:val="ListParagraph"/>
              <w:numPr>
                <w:ilvl w:val="0"/>
                <w:numId w:val="6"/>
              </w:numPr>
              <w:spacing w:after="0"/>
              <w:ind w:left="314" w:hanging="214"/>
              <w:rPr>
                <w:rFonts w:ascii="Garamond" w:hAnsi="Garamond"/>
                <w:szCs w:val="20"/>
              </w:rPr>
            </w:pPr>
            <w:r w:rsidRPr="00CD7410">
              <w:rPr>
                <w:rFonts w:ascii="Garamond" w:hAnsi="Garamond"/>
                <w:szCs w:val="20"/>
              </w:rPr>
              <w:t>The project team is thus encouraged to include into the Lessons Learned Report also the technical experience gained during project implementation and include as appendix, or refer to the web link for download, also specific technical guides, textbooks and other deliverables developed by the Project, and to publish the Report on the www.nature-ic.am web site.</w:t>
            </w:r>
          </w:p>
          <w:p w14:paraId="1B582C81" w14:textId="630765DB" w:rsidR="00D66F55" w:rsidRPr="00CD7410" w:rsidRDefault="00D035D1" w:rsidP="00C86FF9">
            <w:pPr>
              <w:pStyle w:val="ListParagraph"/>
              <w:numPr>
                <w:ilvl w:val="0"/>
                <w:numId w:val="6"/>
              </w:numPr>
              <w:spacing w:after="0"/>
              <w:ind w:left="314" w:hanging="214"/>
              <w:rPr>
                <w:rFonts w:ascii="Garamond" w:hAnsi="Garamond"/>
                <w:szCs w:val="20"/>
              </w:rPr>
            </w:pPr>
            <w:r w:rsidRPr="00CD7410">
              <w:rPr>
                <w:rFonts w:ascii="Garamond" w:hAnsi="Garamond"/>
                <w:szCs w:val="20"/>
              </w:rPr>
              <w:t xml:space="preserve">The Project is also encouraged to offer links to their web page and Lessons Learned </w:t>
            </w:r>
            <w:proofErr w:type="gramStart"/>
            <w:r w:rsidRPr="00CD7410">
              <w:rPr>
                <w:rFonts w:ascii="Garamond" w:hAnsi="Garamond"/>
                <w:szCs w:val="20"/>
              </w:rPr>
              <w:t>Report also</w:t>
            </w:r>
            <w:proofErr w:type="gramEnd"/>
            <w:r w:rsidRPr="00CD7410">
              <w:rPr>
                <w:rFonts w:ascii="Garamond" w:hAnsi="Garamond"/>
                <w:szCs w:val="20"/>
              </w:rPr>
              <w:t xml:space="preserve"> to other energy efficient lighting initiatives internationally. </w:t>
            </w:r>
            <w:r w:rsidR="009937BB" w:rsidRPr="00CD7410">
              <w:rPr>
                <w:rFonts w:ascii="Garamond" w:hAnsi="Garamond"/>
                <w:szCs w:val="20"/>
              </w:rPr>
              <w:t xml:space="preserve"> </w:t>
            </w:r>
          </w:p>
        </w:tc>
      </w:tr>
      <w:tr w:rsidR="00D66F55" w:rsidRPr="00CD7410" w14:paraId="39046EEB" w14:textId="77777777" w:rsidTr="00E364DC">
        <w:trPr>
          <w:trHeight w:val="210"/>
        </w:trPr>
        <w:tc>
          <w:tcPr>
            <w:tcW w:w="9781" w:type="dxa"/>
            <w:gridSpan w:val="5"/>
            <w:shd w:val="clear" w:color="auto" w:fill="F3F3F3"/>
          </w:tcPr>
          <w:p w14:paraId="204959BD" w14:textId="1C75F7EB" w:rsidR="00D66F55" w:rsidRPr="00CD7410" w:rsidRDefault="00D66F55" w:rsidP="00E332F0">
            <w:pPr>
              <w:tabs>
                <w:tab w:val="left" w:pos="1080"/>
              </w:tabs>
              <w:spacing w:after="0" w:line="240" w:lineRule="auto"/>
              <w:jc w:val="both"/>
              <w:rPr>
                <w:rFonts w:ascii="Garamond" w:hAnsi="Garamond"/>
                <w:sz w:val="20"/>
                <w:szCs w:val="20"/>
              </w:rPr>
            </w:pPr>
            <w:r w:rsidRPr="00CD7410">
              <w:rPr>
                <w:rFonts w:ascii="Garamond" w:hAnsi="Garamond"/>
                <w:b/>
                <w:sz w:val="20"/>
                <w:szCs w:val="20"/>
              </w:rPr>
              <w:t xml:space="preserve">Management response: </w:t>
            </w:r>
            <w:r w:rsidR="00505B94" w:rsidRPr="00CD7410">
              <w:rPr>
                <w:rFonts w:ascii="Garamond" w:hAnsi="Garamond"/>
                <w:b/>
                <w:sz w:val="20"/>
                <w:szCs w:val="20"/>
              </w:rPr>
              <w:t xml:space="preserve"> </w:t>
            </w:r>
            <w:r w:rsidR="00E332F0" w:rsidRPr="00CD7410">
              <w:rPr>
                <w:rFonts w:ascii="Garamond" w:hAnsi="Garamond"/>
                <w:b/>
                <w:bCs/>
                <w:sz w:val="20"/>
                <w:szCs w:val="20"/>
              </w:rPr>
              <w:t>Proper planning for preparation of the Lessons Learned Report and consistent implementation in accordance with the schedule to complete the Report before the Project’s closure.</w:t>
            </w:r>
          </w:p>
        </w:tc>
      </w:tr>
      <w:tr w:rsidR="00D66F55" w:rsidRPr="00CD7410" w14:paraId="45D7719A" w14:textId="77777777" w:rsidTr="00E364DC">
        <w:trPr>
          <w:trHeight w:val="228"/>
        </w:trPr>
        <w:tc>
          <w:tcPr>
            <w:tcW w:w="3403" w:type="dxa"/>
            <w:vMerge w:val="restart"/>
            <w:shd w:val="clear" w:color="auto" w:fill="F3F3F3"/>
          </w:tcPr>
          <w:p w14:paraId="7A1FFD3E" w14:textId="77777777"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Key action(s)</w:t>
            </w:r>
          </w:p>
        </w:tc>
        <w:tc>
          <w:tcPr>
            <w:tcW w:w="1793" w:type="dxa"/>
            <w:vMerge w:val="restart"/>
            <w:shd w:val="clear" w:color="auto" w:fill="F3F3F3"/>
          </w:tcPr>
          <w:p w14:paraId="3843257D" w14:textId="1FE698DB"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Time frame</w:t>
            </w:r>
            <w:r w:rsidR="00A33498" w:rsidRPr="00CD7410">
              <w:rPr>
                <w:rFonts w:ascii="Garamond" w:hAnsi="Garamond"/>
                <w:b/>
                <w:sz w:val="20"/>
                <w:szCs w:val="20"/>
              </w:rPr>
              <w:t xml:space="preserve"> [month, year to month, year]</w:t>
            </w:r>
          </w:p>
        </w:tc>
        <w:tc>
          <w:tcPr>
            <w:tcW w:w="1325" w:type="dxa"/>
            <w:vMerge w:val="restart"/>
            <w:shd w:val="clear" w:color="auto" w:fill="F3F3F3"/>
          </w:tcPr>
          <w:p w14:paraId="030210E5" w14:textId="77777777"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Responsible unit(s)</w:t>
            </w:r>
          </w:p>
        </w:tc>
        <w:tc>
          <w:tcPr>
            <w:tcW w:w="3260" w:type="dxa"/>
            <w:gridSpan w:val="2"/>
            <w:shd w:val="clear" w:color="auto" w:fill="F3F3F3"/>
          </w:tcPr>
          <w:p w14:paraId="014EC490" w14:textId="77777777"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Tracking</w:t>
            </w:r>
            <w:r w:rsidRPr="00CD7410">
              <w:rPr>
                <w:rStyle w:val="FootnoteReference"/>
                <w:rFonts w:ascii="Garamond" w:hAnsi="Garamond"/>
                <w:b/>
              </w:rPr>
              <w:footnoteReference w:id="2"/>
            </w:r>
          </w:p>
        </w:tc>
      </w:tr>
      <w:tr w:rsidR="00D66F55" w:rsidRPr="00CD7410" w14:paraId="5FADE7D1" w14:textId="77777777" w:rsidTr="00E364DC">
        <w:trPr>
          <w:trHeight w:val="292"/>
        </w:trPr>
        <w:tc>
          <w:tcPr>
            <w:tcW w:w="3403" w:type="dxa"/>
            <w:vMerge/>
            <w:shd w:val="clear" w:color="auto" w:fill="F3F3F3"/>
          </w:tcPr>
          <w:p w14:paraId="752DEEA3" w14:textId="77777777" w:rsidR="00D66F55" w:rsidRPr="00CD7410" w:rsidRDefault="00D66F55" w:rsidP="00307816">
            <w:pPr>
              <w:tabs>
                <w:tab w:val="left" w:pos="1080"/>
              </w:tabs>
              <w:spacing w:after="0" w:line="240" w:lineRule="auto"/>
              <w:rPr>
                <w:rFonts w:ascii="Garamond" w:hAnsi="Garamond"/>
                <w:sz w:val="20"/>
                <w:szCs w:val="20"/>
              </w:rPr>
            </w:pPr>
          </w:p>
        </w:tc>
        <w:tc>
          <w:tcPr>
            <w:tcW w:w="1793" w:type="dxa"/>
            <w:vMerge/>
            <w:shd w:val="clear" w:color="auto" w:fill="F3F3F3"/>
          </w:tcPr>
          <w:p w14:paraId="7E28DE2B" w14:textId="77777777" w:rsidR="00D66F55" w:rsidRPr="00CD7410" w:rsidRDefault="00D66F55" w:rsidP="00307816">
            <w:pPr>
              <w:tabs>
                <w:tab w:val="left" w:pos="1080"/>
              </w:tabs>
              <w:spacing w:after="0" w:line="240" w:lineRule="auto"/>
              <w:rPr>
                <w:rFonts w:ascii="Garamond" w:hAnsi="Garamond"/>
                <w:b/>
                <w:sz w:val="20"/>
                <w:szCs w:val="20"/>
              </w:rPr>
            </w:pPr>
          </w:p>
        </w:tc>
        <w:tc>
          <w:tcPr>
            <w:tcW w:w="1325" w:type="dxa"/>
            <w:vMerge/>
            <w:shd w:val="clear" w:color="auto" w:fill="F3F3F3"/>
          </w:tcPr>
          <w:p w14:paraId="00E01AAD" w14:textId="77777777" w:rsidR="00D66F55" w:rsidRPr="00CD7410" w:rsidRDefault="00D66F55" w:rsidP="00307816">
            <w:pPr>
              <w:tabs>
                <w:tab w:val="left" w:pos="1080"/>
              </w:tabs>
              <w:spacing w:after="0" w:line="240" w:lineRule="auto"/>
              <w:rPr>
                <w:rFonts w:ascii="Garamond" w:hAnsi="Garamond"/>
                <w:b/>
                <w:sz w:val="20"/>
                <w:szCs w:val="20"/>
              </w:rPr>
            </w:pPr>
          </w:p>
        </w:tc>
        <w:tc>
          <w:tcPr>
            <w:tcW w:w="2078" w:type="dxa"/>
          </w:tcPr>
          <w:p w14:paraId="306C067C" w14:textId="77777777"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Comments</w:t>
            </w:r>
          </w:p>
        </w:tc>
        <w:tc>
          <w:tcPr>
            <w:tcW w:w="1182" w:type="dxa"/>
          </w:tcPr>
          <w:p w14:paraId="3B41A042" w14:textId="77777777"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Status</w:t>
            </w:r>
            <w:r w:rsidRPr="00CD7410">
              <w:rPr>
                <w:rStyle w:val="FootnoteReference"/>
                <w:rFonts w:ascii="Garamond" w:hAnsi="Garamond"/>
                <w:b/>
              </w:rPr>
              <w:footnoteReference w:id="3"/>
            </w:r>
          </w:p>
        </w:tc>
      </w:tr>
      <w:tr w:rsidR="004F4CC1" w:rsidRPr="00CD7410" w14:paraId="6521D7BA" w14:textId="77777777" w:rsidTr="002A1DBA">
        <w:trPr>
          <w:trHeight w:val="269"/>
        </w:trPr>
        <w:tc>
          <w:tcPr>
            <w:tcW w:w="3403" w:type="dxa"/>
          </w:tcPr>
          <w:p w14:paraId="2DA32B5F" w14:textId="0796656B" w:rsidR="004F4CC1" w:rsidRPr="00CD7410" w:rsidRDefault="004F4CC1" w:rsidP="002A1DBA">
            <w:pPr>
              <w:tabs>
                <w:tab w:val="left" w:pos="1080"/>
              </w:tabs>
              <w:spacing w:after="0" w:line="240" w:lineRule="auto"/>
              <w:rPr>
                <w:rFonts w:ascii="Garamond" w:hAnsi="Garamond"/>
                <w:sz w:val="20"/>
                <w:szCs w:val="20"/>
              </w:rPr>
            </w:pPr>
            <w:r w:rsidRPr="00CD7410">
              <w:rPr>
                <w:rFonts w:ascii="Garamond" w:hAnsi="Garamond"/>
                <w:sz w:val="20"/>
                <w:szCs w:val="20"/>
              </w:rPr>
              <w:t xml:space="preserve">1.1 </w:t>
            </w:r>
            <w:r>
              <w:rPr>
                <w:rFonts w:ascii="Garamond" w:hAnsi="Garamond"/>
                <w:sz w:val="20"/>
                <w:szCs w:val="20"/>
              </w:rPr>
              <w:t xml:space="preserve">  </w:t>
            </w:r>
            <w:r w:rsidR="002A1E9A">
              <w:rPr>
                <w:rFonts w:ascii="Garamond" w:hAnsi="Garamond"/>
                <w:sz w:val="20"/>
                <w:szCs w:val="20"/>
              </w:rPr>
              <w:t xml:space="preserve"> </w:t>
            </w:r>
            <w:r w:rsidR="002A1DBA">
              <w:rPr>
                <w:rFonts w:ascii="Garamond" w:hAnsi="Garamond"/>
                <w:sz w:val="20"/>
                <w:szCs w:val="20"/>
              </w:rPr>
              <w:t xml:space="preserve">Collect and summarize information and data, interview key experts, consider major findings per each of the project’s components, compile the Lessons Learned Report, circulate it respectively, amend in accordance with comments </w:t>
            </w:r>
            <w:r w:rsidR="002A1DBA">
              <w:rPr>
                <w:rFonts w:ascii="Garamond" w:hAnsi="Garamond"/>
                <w:sz w:val="20"/>
                <w:szCs w:val="20"/>
              </w:rPr>
              <w:lastRenderedPageBreak/>
              <w:t xml:space="preserve">and recommendations, then finalize it and prepare for online publication.  </w:t>
            </w:r>
          </w:p>
        </w:tc>
        <w:tc>
          <w:tcPr>
            <w:tcW w:w="1793" w:type="dxa"/>
          </w:tcPr>
          <w:p w14:paraId="67C3AB4F" w14:textId="46FAD9DE" w:rsidR="004F4CC1" w:rsidRPr="00CD7410" w:rsidRDefault="002A1DBA" w:rsidP="002A1DBA">
            <w:pPr>
              <w:tabs>
                <w:tab w:val="left" w:pos="1080"/>
              </w:tabs>
              <w:spacing w:after="0" w:line="240" w:lineRule="auto"/>
              <w:rPr>
                <w:rFonts w:ascii="Garamond" w:hAnsi="Garamond"/>
                <w:sz w:val="20"/>
                <w:szCs w:val="20"/>
              </w:rPr>
            </w:pPr>
            <w:r>
              <w:rPr>
                <w:rFonts w:ascii="Garamond" w:hAnsi="Garamond"/>
                <w:sz w:val="20"/>
                <w:szCs w:val="20"/>
              </w:rPr>
              <w:lastRenderedPageBreak/>
              <w:t xml:space="preserve">October </w:t>
            </w:r>
            <w:r w:rsidR="004F4CC1">
              <w:rPr>
                <w:rFonts w:ascii="Garamond" w:hAnsi="Garamond"/>
                <w:sz w:val="20"/>
                <w:szCs w:val="20"/>
              </w:rPr>
              <w:t>2018</w:t>
            </w:r>
          </w:p>
        </w:tc>
        <w:tc>
          <w:tcPr>
            <w:tcW w:w="1325" w:type="dxa"/>
          </w:tcPr>
          <w:p w14:paraId="25318EBB" w14:textId="77777777" w:rsidR="002A1DBA" w:rsidRDefault="002A1DBA" w:rsidP="004F4CC1">
            <w:pPr>
              <w:tabs>
                <w:tab w:val="left" w:pos="1080"/>
              </w:tabs>
              <w:spacing w:after="0" w:line="240" w:lineRule="auto"/>
              <w:rPr>
                <w:rFonts w:ascii="Garamond" w:hAnsi="Garamond"/>
                <w:sz w:val="20"/>
                <w:szCs w:val="20"/>
              </w:rPr>
            </w:pPr>
            <w:r>
              <w:rPr>
                <w:rFonts w:ascii="Garamond" w:hAnsi="Garamond"/>
                <w:sz w:val="20"/>
                <w:szCs w:val="20"/>
              </w:rPr>
              <w:t>UNDP RTA</w:t>
            </w:r>
          </w:p>
          <w:p w14:paraId="793D5879" w14:textId="36377829" w:rsidR="002A1DBA" w:rsidRDefault="002A1DBA" w:rsidP="004F4CC1">
            <w:pPr>
              <w:tabs>
                <w:tab w:val="left" w:pos="1080"/>
              </w:tabs>
              <w:spacing w:after="0" w:line="240" w:lineRule="auto"/>
              <w:rPr>
                <w:rFonts w:ascii="Garamond" w:hAnsi="Garamond"/>
                <w:sz w:val="20"/>
                <w:szCs w:val="20"/>
              </w:rPr>
            </w:pPr>
            <w:r>
              <w:rPr>
                <w:rFonts w:ascii="Garamond" w:hAnsi="Garamond"/>
                <w:sz w:val="20"/>
                <w:szCs w:val="20"/>
              </w:rPr>
              <w:t>UNDP CO</w:t>
            </w:r>
          </w:p>
          <w:p w14:paraId="588FE0B2" w14:textId="7F6F8517" w:rsidR="004F4CC1" w:rsidRPr="00CD7410" w:rsidRDefault="004F4CC1" w:rsidP="002A1DBA">
            <w:pPr>
              <w:tabs>
                <w:tab w:val="left" w:pos="1080"/>
              </w:tabs>
              <w:spacing w:after="0" w:line="240" w:lineRule="auto"/>
              <w:rPr>
                <w:rFonts w:ascii="Garamond" w:hAnsi="Garamond"/>
                <w:sz w:val="20"/>
                <w:szCs w:val="20"/>
              </w:rPr>
            </w:pPr>
            <w:r>
              <w:rPr>
                <w:rFonts w:ascii="Garamond" w:hAnsi="Garamond"/>
                <w:sz w:val="20"/>
                <w:szCs w:val="20"/>
              </w:rPr>
              <w:t xml:space="preserve">UNDP </w:t>
            </w:r>
            <w:r w:rsidRPr="00CD7410">
              <w:rPr>
                <w:rFonts w:ascii="Garamond" w:hAnsi="Garamond"/>
                <w:sz w:val="20"/>
                <w:szCs w:val="20"/>
              </w:rPr>
              <w:t xml:space="preserve">Project </w:t>
            </w:r>
            <w:r>
              <w:rPr>
                <w:rFonts w:ascii="Garamond" w:hAnsi="Garamond"/>
                <w:sz w:val="20"/>
                <w:szCs w:val="20"/>
              </w:rPr>
              <w:t>T</w:t>
            </w:r>
            <w:r w:rsidRPr="00CD7410">
              <w:rPr>
                <w:rFonts w:ascii="Garamond" w:hAnsi="Garamond"/>
                <w:sz w:val="20"/>
                <w:szCs w:val="20"/>
              </w:rPr>
              <w:t xml:space="preserve">eam </w:t>
            </w:r>
            <w:r w:rsidR="002A1DBA">
              <w:rPr>
                <w:rFonts w:ascii="Garamond" w:hAnsi="Garamond"/>
                <w:sz w:val="20"/>
                <w:szCs w:val="20"/>
              </w:rPr>
              <w:br/>
              <w:t>Key stakeholders</w:t>
            </w:r>
          </w:p>
        </w:tc>
        <w:tc>
          <w:tcPr>
            <w:tcW w:w="2078" w:type="dxa"/>
          </w:tcPr>
          <w:p w14:paraId="22ABF531" w14:textId="189A3392" w:rsidR="004F4CC1" w:rsidRPr="00CD7410" w:rsidRDefault="002A1DBA" w:rsidP="004F4CC1">
            <w:pPr>
              <w:tabs>
                <w:tab w:val="left" w:pos="1080"/>
              </w:tabs>
              <w:spacing w:after="0" w:line="240" w:lineRule="auto"/>
              <w:rPr>
                <w:rFonts w:ascii="Garamond" w:hAnsi="Garamond"/>
                <w:sz w:val="20"/>
                <w:szCs w:val="20"/>
              </w:rPr>
            </w:pPr>
            <w:r>
              <w:rPr>
                <w:rFonts w:ascii="Garamond" w:hAnsi="Garamond"/>
                <w:sz w:val="20"/>
                <w:szCs w:val="20"/>
              </w:rPr>
              <w:t>The consultant hired, the activity initiated</w:t>
            </w:r>
          </w:p>
        </w:tc>
        <w:tc>
          <w:tcPr>
            <w:tcW w:w="1182" w:type="dxa"/>
          </w:tcPr>
          <w:p w14:paraId="39EA1B30" w14:textId="4F46D807" w:rsidR="004F4CC1" w:rsidRPr="00CD7410" w:rsidRDefault="004F4CC1" w:rsidP="004F4CC1">
            <w:pPr>
              <w:tabs>
                <w:tab w:val="left" w:pos="1080"/>
              </w:tabs>
              <w:spacing w:after="0" w:line="240" w:lineRule="auto"/>
              <w:rPr>
                <w:rFonts w:ascii="Garamond" w:hAnsi="Garamond"/>
                <w:sz w:val="20"/>
                <w:szCs w:val="20"/>
              </w:rPr>
            </w:pPr>
            <w:r w:rsidRPr="00CD7410">
              <w:rPr>
                <w:rFonts w:ascii="Garamond" w:hAnsi="Garamond"/>
                <w:sz w:val="20"/>
                <w:szCs w:val="20"/>
              </w:rPr>
              <w:t>Work in progress</w:t>
            </w:r>
          </w:p>
        </w:tc>
      </w:tr>
    </w:tbl>
    <w:p w14:paraId="511CEE62" w14:textId="77777777" w:rsidR="00D66F55" w:rsidRDefault="00D66F55" w:rsidP="00307816">
      <w:pPr>
        <w:tabs>
          <w:tab w:val="left" w:pos="1080"/>
        </w:tabs>
        <w:spacing w:after="0" w:line="240" w:lineRule="auto"/>
        <w:rPr>
          <w:rFonts w:ascii="Garamond" w:hAnsi="Garamond"/>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638"/>
        <w:gridCol w:w="1480"/>
        <w:gridCol w:w="2078"/>
        <w:gridCol w:w="1182"/>
      </w:tblGrid>
      <w:tr w:rsidR="00854A76" w:rsidRPr="00CD7410" w14:paraId="6D60DDF9" w14:textId="77777777" w:rsidTr="003335D2">
        <w:tc>
          <w:tcPr>
            <w:tcW w:w="9781" w:type="dxa"/>
            <w:gridSpan w:val="5"/>
            <w:shd w:val="clear" w:color="auto" w:fill="F3F3F3"/>
          </w:tcPr>
          <w:p w14:paraId="361B4A21" w14:textId="77777777" w:rsidR="00854A76" w:rsidRPr="00CD7410" w:rsidRDefault="00854A76" w:rsidP="003335D2">
            <w:pPr>
              <w:spacing w:after="0" w:line="240" w:lineRule="auto"/>
              <w:rPr>
                <w:rFonts w:ascii="Garamond" w:hAnsi="Garamond"/>
                <w:b/>
                <w:i/>
                <w:u w:val="single"/>
              </w:rPr>
            </w:pPr>
            <w:r w:rsidRPr="00CD7410">
              <w:rPr>
                <w:rFonts w:ascii="Garamond" w:hAnsi="Garamond"/>
                <w:b/>
                <w:i/>
                <w:u w:val="single"/>
              </w:rPr>
              <w:t>Terminal Evaluation Report recommendation 2.</w:t>
            </w:r>
          </w:p>
          <w:p w14:paraId="4FF7ACC7" w14:textId="77777777" w:rsidR="00854A76" w:rsidRPr="00CD7410" w:rsidRDefault="00854A76" w:rsidP="003335D2">
            <w:pPr>
              <w:spacing w:before="60" w:after="60" w:line="240" w:lineRule="auto"/>
              <w:rPr>
                <w:rFonts w:ascii="Garamond" w:hAnsi="Garamond"/>
                <w:b/>
              </w:rPr>
            </w:pPr>
            <w:r w:rsidRPr="00CD7410">
              <w:rPr>
                <w:rFonts w:ascii="Garamond" w:hAnsi="Garamond"/>
                <w:b/>
              </w:rPr>
              <w:t>Certification of the light testing laboratory</w:t>
            </w:r>
          </w:p>
          <w:p w14:paraId="6BAC317F" w14:textId="77777777" w:rsidR="00854A76" w:rsidRPr="00CD7410" w:rsidRDefault="00854A76" w:rsidP="003335D2">
            <w:pPr>
              <w:pStyle w:val="ListParagraph"/>
              <w:numPr>
                <w:ilvl w:val="0"/>
                <w:numId w:val="6"/>
              </w:numPr>
              <w:tabs>
                <w:tab w:val="num" w:pos="720"/>
              </w:tabs>
              <w:spacing w:after="0"/>
              <w:ind w:left="314" w:hanging="214"/>
              <w:rPr>
                <w:rFonts w:ascii="Garamond" w:hAnsi="Garamond"/>
                <w:szCs w:val="20"/>
              </w:rPr>
            </w:pPr>
            <w:r w:rsidRPr="00CD7410">
              <w:rPr>
                <w:rFonts w:ascii="Garamond" w:hAnsi="Garamond"/>
                <w:szCs w:val="20"/>
              </w:rPr>
              <w:t>The Project and the municipal owned Yerevan Illumination Company CJSC are planning to have accredited the photometric testing laboratory operated by the Yerevan Illumination Company CJSC. International accreditation would increase international credibility of the testing laboratory and would allow the Yerevan Illumination Company to offer its services in photometric testing of luminaires internationally as well, and thus to maximize utilization of the laboratory equipment that was financed from the GEF budget.</w:t>
            </w:r>
          </w:p>
          <w:p w14:paraId="47F3C1DC" w14:textId="77777777" w:rsidR="00854A76" w:rsidRPr="00CD7410" w:rsidRDefault="00854A76" w:rsidP="003335D2">
            <w:pPr>
              <w:pStyle w:val="ListParagraph"/>
              <w:numPr>
                <w:ilvl w:val="0"/>
                <w:numId w:val="6"/>
              </w:numPr>
              <w:tabs>
                <w:tab w:val="num" w:pos="720"/>
              </w:tabs>
              <w:spacing w:after="0"/>
              <w:ind w:left="314" w:hanging="214"/>
              <w:rPr>
                <w:rFonts w:ascii="Garamond" w:hAnsi="Garamond"/>
              </w:rPr>
            </w:pPr>
            <w:r w:rsidRPr="00CD7410">
              <w:rPr>
                <w:rFonts w:ascii="Garamond" w:hAnsi="Garamond"/>
                <w:szCs w:val="20"/>
              </w:rPr>
              <w:t xml:space="preserve">The UNDP Project team is encouraged to facilitate the accreditation and to support it with any remaining GEF budget resources available. </w:t>
            </w:r>
          </w:p>
        </w:tc>
      </w:tr>
      <w:tr w:rsidR="00854A76" w:rsidRPr="00CD7410" w14:paraId="3C16539F" w14:textId="77777777" w:rsidTr="003335D2">
        <w:tc>
          <w:tcPr>
            <w:tcW w:w="9781" w:type="dxa"/>
            <w:gridSpan w:val="5"/>
            <w:shd w:val="clear" w:color="auto" w:fill="F3F3F3"/>
          </w:tcPr>
          <w:p w14:paraId="38309D7B" w14:textId="77777777" w:rsidR="00854A76" w:rsidRPr="00CD7410" w:rsidRDefault="00854A76" w:rsidP="003335D2">
            <w:pPr>
              <w:spacing w:after="0" w:line="240" w:lineRule="auto"/>
              <w:rPr>
                <w:rFonts w:ascii="Garamond" w:hAnsi="Garamond"/>
                <w:bCs/>
                <w:sz w:val="20"/>
                <w:szCs w:val="20"/>
              </w:rPr>
            </w:pPr>
            <w:r w:rsidRPr="00CD7410">
              <w:rPr>
                <w:rFonts w:ascii="Garamond" w:hAnsi="Garamond"/>
                <w:b/>
                <w:sz w:val="20"/>
                <w:szCs w:val="20"/>
              </w:rPr>
              <w:t xml:space="preserve">Management response:   </w:t>
            </w:r>
            <w:r w:rsidRPr="00CD7410">
              <w:rPr>
                <w:rFonts w:ascii="Garamond" w:hAnsi="Garamond"/>
                <w:b/>
                <w:bCs/>
                <w:sz w:val="20"/>
                <w:szCs w:val="20"/>
              </w:rPr>
              <w:t xml:space="preserve">Provide technical assistance and consultancy support to the upgraded laboratory to enable its international accreditation both within the project’s timeline and beyond that.  </w:t>
            </w:r>
          </w:p>
        </w:tc>
      </w:tr>
      <w:tr w:rsidR="00854A76" w:rsidRPr="00CD7410" w14:paraId="3C272771" w14:textId="77777777" w:rsidTr="003335D2">
        <w:trPr>
          <w:trHeight w:val="135"/>
        </w:trPr>
        <w:tc>
          <w:tcPr>
            <w:tcW w:w="3403" w:type="dxa"/>
            <w:vMerge w:val="restart"/>
            <w:shd w:val="clear" w:color="auto" w:fill="F3F3F3"/>
          </w:tcPr>
          <w:p w14:paraId="3F92CFBB" w14:textId="77777777" w:rsidR="00854A76" w:rsidRPr="00CD7410" w:rsidRDefault="00854A76" w:rsidP="003335D2">
            <w:pPr>
              <w:tabs>
                <w:tab w:val="left" w:pos="1080"/>
              </w:tabs>
              <w:spacing w:after="0" w:line="240" w:lineRule="auto"/>
              <w:jc w:val="center"/>
              <w:rPr>
                <w:rFonts w:ascii="Garamond" w:hAnsi="Garamond"/>
                <w:b/>
                <w:sz w:val="20"/>
                <w:szCs w:val="20"/>
              </w:rPr>
            </w:pPr>
            <w:r w:rsidRPr="00CD7410">
              <w:rPr>
                <w:rFonts w:ascii="Garamond" w:hAnsi="Garamond"/>
                <w:b/>
                <w:sz w:val="20"/>
                <w:szCs w:val="20"/>
              </w:rPr>
              <w:t>Key action(s)</w:t>
            </w:r>
          </w:p>
        </w:tc>
        <w:tc>
          <w:tcPr>
            <w:tcW w:w="1638" w:type="dxa"/>
            <w:vMerge w:val="restart"/>
            <w:shd w:val="clear" w:color="auto" w:fill="F3F3F3"/>
          </w:tcPr>
          <w:p w14:paraId="7E381205" w14:textId="77777777" w:rsidR="00854A76" w:rsidRPr="00CD7410" w:rsidRDefault="00854A76" w:rsidP="003335D2">
            <w:pPr>
              <w:tabs>
                <w:tab w:val="left" w:pos="1080"/>
              </w:tabs>
              <w:spacing w:after="0" w:line="240" w:lineRule="auto"/>
              <w:jc w:val="center"/>
              <w:rPr>
                <w:rFonts w:ascii="Garamond" w:hAnsi="Garamond"/>
                <w:b/>
                <w:sz w:val="20"/>
                <w:szCs w:val="20"/>
              </w:rPr>
            </w:pPr>
            <w:r w:rsidRPr="00CD7410">
              <w:rPr>
                <w:rFonts w:ascii="Garamond" w:hAnsi="Garamond"/>
                <w:b/>
                <w:sz w:val="20"/>
                <w:szCs w:val="20"/>
              </w:rPr>
              <w:t>Time frame [month, year to month, year]</w:t>
            </w:r>
          </w:p>
        </w:tc>
        <w:tc>
          <w:tcPr>
            <w:tcW w:w="1480" w:type="dxa"/>
            <w:vMerge w:val="restart"/>
            <w:shd w:val="clear" w:color="auto" w:fill="F3F3F3"/>
          </w:tcPr>
          <w:p w14:paraId="481848E5" w14:textId="77777777" w:rsidR="00854A76" w:rsidRPr="00CD7410" w:rsidRDefault="00854A76" w:rsidP="003335D2">
            <w:pPr>
              <w:tabs>
                <w:tab w:val="left" w:pos="1080"/>
              </w:tabs>
              <w:spacing w:after="0" w:line="240" w:lineRule="auto"/>
              <w:jc w:val="center"/>
              <w:rPr>
                <w:rFonts w:ascii="Garamond" w:hAnsi="Garamond"/>
                <w:b/>
                <w:sz w:val="20"/>
                <w:szCs w:val="20"/>
              </w:rPr>
            </w:pPr>
            <w:r w:rsidRPr="00CD7410">
              <w:rPr>
                <w:rFonts w:ascii="Garamond" w:hAnsi="Garamond"/>
                <w:b/>
                <w:sz w:val="20"/>
                <w:szCs w:val="20"/>
              </w:rPr>
              <w:t>Responsible unit(s)</w:t>
            </w:r>
          </w:p>
        </w:tc>
        <w:tc>
          <w:tcPr>
            <w:tcW w:w="3260" w:type="dxa"/>
            <w:gridSpan w:val="2"/>
            <w:shd w:val="clear" w:color="auto" w:fill="F3F3F3"/>
          </w:tcPr>
          <w:p w14:paraId="66B1556D" w14:textId="77777777" w:rsidR="00854A76" w:rsidRPr="00CD7410" w:rsidRDefault="00854A76" w:rsidP="003335D2">
            <w:pPr>
              <w:tabs>
                <w:tab w:val="left" w:pos="1080"/>
              </w:tabs>
              <w:spacing w:after="0" w:line="240" w:lineRule="auto"/>
              <w:jc w:val="center"/>
              <w:rPr>
                <w:rFonts w:ascii="Garamond" w:hAnsi="Garamond"/>
                <w:b/>
                <w:sz w:val="20"/>
                <w:szCs w:val="20"/>
              </w:rPr>
            </w:pPr>
            <w:r w:rsidRPr="00CD7410">
              <w:rPr>
                <w:rFonts w:ascii="Garamond" w:hAnsi="Garamond"/>
                <w:b/>
                <w:sz w:val="20"/>
                <w:szCs w:val="20"/>
              </w:rPr>
              <w:t>Tracking</w:t>
            </w:r>
          </w:p>
        </w:tc>
      </w:tr>
      <w:tr w:rsidR="00854A76" w:rsidRPr="00CD7410" w14:paraId="2D11129A" w14:textId="77777777" w:rsidTr="003335D2">
        <w:trPr>
          <w:trHeight w:val="135"/>
        </w:trPr>
        <w:tc>
          <w:tcPr>
            <w:tcW w:w="3403" w:type="dxa"/>
            <w:vMerge/>
            <w:shd w:val="clear" w:color="auto" w:fill="F3F3F3"/>
          </w:tcPr>
          <w:p w14:paraId="4520E2A8" w14:textId="77777777" w:rsidR="00854A76" w:rsidRPr="00CD7410" w:rsidRDefault="00854A76" w:rsidP="003335D2">
            <w:pPr>
              <w:tabs>
                <w:tab w:val="left" w:pos="1080"/>
              </w:tabs>
              <w:spacing w:after="0" w:line="240" w:lineRule="auto"/>
              <w:rPr>
                <w:rFonts w:ascii="Garamond" w:hAnsi="Garamond"/>
                <w:sz w:val="20"/>
                <w:szCs w:val="20"/>
              </w:rPr>
            </w:pPr>
          </w:p>
        </w:tc>
        <w:tc>
          <w:tcPr>
            <w:tcW w:w="1638" w:type="dxa"/>
            <w:vMerge/>
            <w:shd w:val="clear" w:color="auto" w:fill="F3F3F3"/>
          </w:tcPr>
          <w:p w14:paraId="19A4213F" w14:textId="77777777" w:rsidR="00854A76" w:rsidRPr="00CD7410" w:rsidRDefault="00854A76" w:rsidP="003335D2">
            <w:pPr>
              <w:tabs>
                <w:tab w:val="left" w:pos="1080"/>
              </w:tabs>
              <w:spacing w:after="0" w:line="240" w:lineRule="auto"/>
              <w:rPr>
                <w:rFonts w:ascii="Garamond" w:hAnsi="Garamond"/>
                <w:b/>
                <w:sz w:val="20"/>
                <w:szCs w:val="20"/>
              </w:rPr>
            </w:pPr>
          </w:p>
        </w:tc>
        <w:tc>
          <w:tcPr>
            <w:tcW w:w="1480" w:type="dxa"/>
            <w:vMerge/>
            <w:shd w:val="clear" w:color="auto" w:fill="F3F3F3"/>
          </w:tcPr>
          <w:p w14:paraId="489C3C09" w14:textId="77777777" w:rsidR="00854A76" w:rsidRPr="00CD7410" w:rsidRDefault="00854A76" w:rsidP="003335D2">
            <w:pPr>
              <w:tabs>
                <w:tab w:val="left" w:pos="1080"/>
              </w:tabs>
              <w:spacing w:after="0" w:line="240" w:lineRule="auto"/>
              <w:rPr>
                <w:rFonts w:ascii="Garamond" w:hAnsi="Garamond"/>
                <w:b/>
                <w:sz w:val="20"/>
                <w:szCs w:val="20"/>
              </w:rPr>
            </w:pPr>
          </w:p>
        </w:tc>
        <w:tc>
          <w:tcPr>
            <w:tcW w:w="2078" w:type="dxa"/>
          </w:tcPr>
          <w:p w14:paraId="2CB8106B" w14:textId="77777777" w:rsidR="00854A76" w:rsidRPr="00CD7410" w:rsidRDefault="00854A76" w:rsidP="003335D2">
            <w:pPr>
              <w:tabs>
                <w:tab w:val="left" w:pos="1080"/>
              </w:tabs>
              <w:spacing w:after="0" w:line="240" w:lineRule="auto"/>
              <w:jc w:val="center"/>
              <w:rPr>
                <w:rFonts w:ascii="Garamond" w:hAnsi="Garamond"/>
                <w:b/>
                <w:sz w:val="20"/>
                <w:szCs w:val="20"/>
              </w:rPr>
            </w:pPr>
            <w:r w:rsidRPr="00CD7410">
              <w:rPr>
                <w:rFonts w:ascii="Garamond" w:hAnsi="Garamond"/>
                <w:b/>
                <w:sz w:val="20"/>
                <w:szCs w:val="20"/>
              </w:rPr>
              <w:t>Comments</w:t>
            </w:r>
          </w:p>
        </w:tc>
        <w:tc>
          <w:tcPr>
            <w:tcW w:w="1182" w:type="dxa"/>
          </w:tcPr>
          <w:p w14:paraId="2C5AA8F9" w14:textId="77777777" w:rsidR="00854A76" w:rsidRPr="00CD7410" w:rsidRDefault="00854A76" w:rsidP="003335D2">
            <w:pPr>
              <w:tabs>
                <w:tab w:val="left" w:pos="1080"/>
              </w:tabs>
              <w:spacing w:after="0" w:line="240" w:lineRule="auto"/>
              <w:jc w:val="center"/>
              <w:rPr>
                <w:rFonts w:ascii="Garamond" w:hAnsi="Garamond"/>
                <w:b/>
                <w:sz w:val="20"/>
                <w:szCs w:val="20"/>
              </w:rPr>
            </w:pPr>
            <w:r w:rsidRPr="00CD7410">
              <w:rPr>
                <w:rFonts w:ascii="Garamond" w:hAnsi="Garamond"/>
                <w:b/>
                <w:sz w:val="20"/>
                <w:szCs w:val="20"/>
              </w:rPr>
              <w:t>Status</w:t>
            </w:r>
          </w:p>
        </w:tc>
      </w:tr>
      <w:tr w:rsidR="00854A76" w:rsidRPr="00CD7410" w14:paraId="1A81F529" w14:textId="77777777" w:rsidTr="003335D2">
        <w:tc>
          <w:tcPr>
            <w:tcW w:w="3403" w:type="dxa"/>
          </w:tcPr>
          <w:p w14:paraId="030375FD" w14:textId="2EE02581" w:rsidR="00854A76" w:rsidRPr="00CD7410" w:rsidRDefault="00854A76" w:rsidP="00267B56">
            <w:pPr>
              <w:tabs>
                <w:tab w:val="left" w:pos="1080"/>
              </w:tabs>
              <w:spacing w:after="0" w:line="240" w:lineRule="auto"/>
              <w:rPr>
                <w:rFonts w:ascii="Garamond" w:hAnsi="Garamond"/>
                <w:sz w:val="20"/>
                <w:szCs w:val="20"/>
              </w:rPr>
            </w:pPr>
            <w:r w:rsidRPr="00CD7410">
              <w:rPr>
                <w:rFonts w:ascii="Garamond" w:hAnsi="Garamond"/>
                <w:sz w:val="20"/>
                <w:szCs w:val="20"/>
              </w:rPr>
              <w:t xml:space="preserve">2.1   </w:t>
            </w:r>
            <w:r>
              <w:rPr>
                <w:rFonts w:ascii="Garamond" w:hAnsi="Garamond"/>
                <w:sz w:val="20"/>
                <w:szCs w:val="20"/>
              </w:rPr>
              <w:t xml:space="preserve"> Consult and provide technical assistance to </w:t>
            </w:r>
            <w:r w:rsidRPr="00CD7410">
              <w:rPr>
                <w:rFonts w:ascii="Garamond" w:hAnsi="Garamond"/>
                <w:sz w:val="20"/>
                <w:szCs w:val="20"/>
              </w:rPr>
              <w:t>Yerevan Municipality</w:t>
            </w:r>
            <w:r>
              <w:rPr>
                <w:rFonts w:ascii="Garamond" w:hAnsi="Garamond"/>
                <w:sz w:val="20"/>
                <w:szCs w:val="20"/>
              </w:rPr>
              <w:t xml:space="preserve"> as per the issue of </w:t>
            </w:r>
            <w:r w:rsidR="00267B56">
              <w:rPr>
                <w:rFonts w:ascii="Garamond" w:hAnsi="Garamond"/>
                <w:sz w:val="20"/>
                <w:szCs w:val="20"/>
              </w:rPr>
              <w:t xml:space="preserve">accreditation </w:t>
            </w:r>
            <w:r w:rsidR="00267B56" w:rsidRPr="006B3283">
              <w:rPr>
                <w:rFonts w:ascii="Garamond" w:hAnsi="Garamond"/>
                <w:sz w:val="20"/>
                <w:szCs w:val="20"/>
              </w:rPr>
              <w:t>of its testing laborator</w:t>
            </w:r>
            <w:r w:rsidR="00267B56">
              <w:rPr>
                <w:rFonts w:ascii="Garamond" w:hAnsi="Garamond"/>
                <w:sz w:val="20"/>
                <w:szCs w:val="20"/>
              </w:rPr>
              <w:t>y according to the national procedures</w:t>
            </w:r>
            <w:r w:rsidRPr="006B3283">
              <w:rPr>
                <w:rFonts w:ascii="Garamond" w:hAnsi="Garamond"/>
                <w:sz w:val="20"/>
                <w:szCs w:val="20"/>
              </w:rPr>
              <w:t>.</w:t>
            </w:r>
          </w:p>
        </w:tc>
        <w:tc>
          <w:tcPr>
            <w:tcW w:w="1638" w:type="dxa"/>
          </w:tcPr>
          <w:p w14:paraId="36D22ECC" w14:textId="77777777" w:rsidR="00854A76" w:rsidRPr="00CD7410" w:rsidRDefault="00854A76" w:rsidP="003335D2">
            <w:pPr>
              <w:tabs>
                <w:tab w:val="left" w:pos="1080"/>
              </w:tabs>
              <w:spacing w:after="0" w:line="240" w:lineRule="auto"/>
              <w:rPr>
                <w:rFonts w:ascii="Garamond" w:hAnsi="Garamond"/>
                <w:sz w:val="20"/>
                <w:szCs w:val="20"/>
              </w:rPr>
            </w:pPr>
            <w:r>
              <w:rPr>
                <w:rFonts w:ascii="Garamond" w:hAnsi="Garamond"/>
                <w:sz w:val="20"/>
                <w:szCs w:val="20"/>
              </w:rPr>
              <w:t>December 2018</w:t>
            </w:r>
          </w:p>
        </w:tc>
        <w:tc>
          <w:tcPr>
            <w:tcW w:w="1480" w:type="dxa"/>
          </w:tcPr>
          <w:p w14:paraId="385A1151" w14:textId="77777777" w:rsidR="00854A76" w:rsidRDefault="00854A76" w:rsidP="003335D2">
            <w:pPr>
              <w:tabs>
                <w:tab w:val="left" w:pos="1080"/>
              </w:tabs>
              <w:spacing w:after="0" w:line="240" w:lineRule="auto"/>
              <w:rPr>
                <w:rFonts w:ascii="Garamond" w:hAnsi="Garamond"/>
                <w:sz w:val="20"/>
                <w:szCs w:val="20"/>
              </w:rPr>
            </w:pPr>
            <w:r w:rsidRPr="00CD7410">
              <w:rPr>
                <w:rFonts w:ascii="Garamond" w:hAnsi="Garamond"/>
                <w:sz w:val="20"/>
                <w:szCs w:val="20"/>
              </w:rPr>
              <w:t>UNDP Project team</w:t>
            </w:r>
          </w:p>
          <w:p w14:paraId="72572CA9" w14:textId="77777777" w:rsidR="00854A76" w:rsidRPr="00CD7410" w:rsidRDefault="00854A76" w:rsidP="003335D2">
            <w:pPr>
              <w:tabs>
                <w:tab w:val="left" w:pos="1080"/>
              </w:tabs>
              <w:spacing w:after="0" w:line="240" w:lineRule="auto"/>
              <w:rPr>
                <w:rFonts w:ascii="Garamond" w:hAnsi="Garamond"/>
                <w:sz w:val="20"/>
                <w:szCs w:val="20"/>
              </w:rPr>
            </w:pPr>
            <w:r>
              <w:rPr>
                <w:rFonts w:ascii="Garamond" w:hAnsi="Garamond"/>
                <w:sz w:val="20"/>
                <w:szCs w:val="20"/>
              </w:rPr>
              <w:t>Yerevan Municipality</w:t>
            </w:r>
          </w:p>
        </w:tc>
        <w:tc>
          <w:tcPr>
            <w:tcW w:w="2078" w:type="dxa"/>
          </w:tcPr>
          <w:p w14:paraId="1559403D" w14:textId="7AACEDAD" w:rsidR="00854A76" w:rsidRPr="00CD7410" w:rsidRDefault="00854A76" w:rsidP="00267B56">
            <w:pPr>
              <w:tabs>
                <w:tab w:val="left" w:pos="1080"/>
              </w:tabs>
              <w:spacing w:after="0" w:line="240" w:lineRule="auto"/>
              <w:rPr>
                <w:rFonts w:ascii="Garamond" w:hAnsi="Garamond"/>
                <w:sz w:val="20"/>
                <w:szCs w:val="20"/>
              </w:rPr>
            </w:pPr>
            <w:r w:rsidRPr="00CD7410">
              <w:rPr>
                <w:rFonts w:ascii="Garamond" w:hAnsi="Garamond"/>
                <w:sz w:val="20"/>
                <w:szCs w:val="20"/>
              </w:rPr>
              <w:t xml:space="preserve">Yerevan Municipality </w:t>
            </w:r>
            <w:r w:rsidR="00267B56">
              <w:rPr>
                <w:rFonts w:ascii="Garamond" w:hAnsi="Garamond"/>
                <w:sz w:val="20"/>
                <w:szCs w:val="20"/>
              </w:rPr>
              <w:t xml:space="preserve">advised on the advantages and necessary procedures for accreditation. </w:t>
            </w:r>
          </w:p>
        </w:tc>
        <w:tc>
          <w:tcPr>
            <w:tcW w:w="1182" w:type="dxa"/>
          </w:tcPr>
          <w:p w14:paraId="1C022CEB" w14:textId="77777777" w:rsidR="00854A76" w:rsidRPr="00CD7410" w:rsidRDefault="00854A76" w:rsidP="003335D2">
            <w:pPr>
              <w:tabs>
                <w:tab w:val="left" w:pos="1080"/>
              </w:tabs>
              <w:spacing w:after="0" w:line="240" w:lineRule="auto"/>
              <w:rPr>
                <w:rFonts w:ascii="Garamond" w:hAnsi="Garamond"/>
                <w:sz w:val="20"/>
                <w:szCs w:val="20"/>
              </w:rPr>
            </w:pPr>
            <w:r w:rsidRPr="00CD7410">
              <w:rPr>
                <w:rFonts w:ascii="Garamond" w:hAnsi="Garamond"/>
                <w:sz w:val="20"/>
                <w:szCs w:val="20"/>
              </w:rPr>
              <w:t>Work in progress</w:t>
            </w:r>
          </w:p>
        </w:tc>
      </w:tr>
      <w:tr w:rsidR="00854A76" w:rsidRPr="00CD7410" w14:paraId="067DB449" w14:textId="77777777" w:rsidTr="003335D2">
        <w:tc>
          <w:tcPr>
            <w:tcW w:w="3403" w:type="dxa"/>
          </w:tcPr>
          <w:p w14:paraId="4B071885" w14:textId="6DCFC7FC" w:rsidR="00854A76" w:rsidRPr="00CD7410" w:rsidRDefault="00267B56" w:rsidP="00267B56">
            <w:pPr>
              <w:tabs>
                <w:tab w:val="left" w:pos="1080"/>
              </w:tabs>
              <w:spacing w:after="0" w:line="240" w:lineRule="auto"/>
              <w:rPr>
                <w:rFonts w:ascii="Garamond" w:hAnsi="Garamond"/>
                <w:sz w:val="20"/>
                <w:szCs w:val="20"/>
              </w:rPr>
            </w:pPr>
            <w:r>
              <w:rPr>
                <w:rFonts w:ascii="Garamond" w:hAnsi="Garamond"/>
                <w:sz w:val="20"/>
                <w:szCs w:val="20"/>
              </w:rPr>
              <w:t>2.2</w:t>
            </w:r>
            <w:r w:rsidR="00854A76" w:rsidRPr="00CD7410">
              <w:rPr>
                <w:rFonts w:ascii="Garamond" w:hAnsi="Garamond"/>
                <w:sz w:val="20"/>
                <w:szCs w:val="20"/>
              </w:rPr>
              <w:t xml:space="preserve">    </w:t>
            </w:r>
            <w:r w:rsidR="00854A76">
              <w:rPr>
                <w:rFonts w:ascii="Garamond" w:hAnsi="Garamond"/>
                <w:sz w:val="20"/>
                <w:szCs w:val="20"/>
              </w:rPr>
              <w:t xml:space="preserve">Based on </w:t>
            </w:r>
            <w:r w:rsidR="00854A76" w:rsidRPr="005C06F5">
              <w:rPr>
                <w:rFonts w:ascii="Garamond" w:hAnsi="Garamond"/>
                <w:sz w:val="20"/>
                <w:szCs w:val="20"/>
              </w:rPr>
              <w:t xml:space="preserve">synergy principle in UNDP </w:t>
            </w:r>
            <w:r>
              <w:rPr>
                <w:rFonts w:ascii="Garamond" w:hAnsi="Garamond"/>
                <w:sz w:val="20"/>
                <w:szCs w:val="20"/>
              </w:rPr>
              <w:t xml:space="preserve">energy efficiency related projects </w:t>
            </w:r>
            <w:r w:rsidR="00854A76">
              <w:rPr>
                <w:rFonts w:ascii="Garamond" w:hAnsi="Garamond"/>
                <w:sz w:val="20"/>
                <w:szCs w:val="20"/>
              </w:rPr>
              <w:t xml:space="preserve">provide all the necessary information and insights to enable </w:t>
            </w:r>
            <w:r w:rsidR="00D73B0C">
              <w:rPr>
                <w:rFonts w:ascii="Garamond" w:hAnsi="Garamond"/>
                <w:sz w:val="20"/>
                <w:szCs w:val="20"/>
              </w:rPr>
              <w:t xml:space="preserve">the </w:t>
            </w:r>
            <w:r>
              <w:rPr>
                <w:rFonts w:ascii="Garamond" w:hAnsi="Garamond"/>
                <w:sz w:val="20"/>
                <w:szCs w:val="20"/>
              </w:rPr>
              <w:t>laboratory to increase its capacity</w:t>
            </w:r>
            <w:r w:rsidR="00854A76">
              <w:rPr>
                <w:rFonts w:ascii="Garamond" w:hAnsi="Garamond"/>
                <w:sz w:val="20"/>
                <w:szCs w:val="20"/>
              </w:rPr>
              <w:t xml:space="preserve">  </w:t>
            </w:r>
          </w:p>
        </w:tc>
        <w:tc>
          <w:tcPr>
            <w:tcW w:w="1638" w:type="dxa"/>
          </w:tcPr>
          <w:p w14:paraId="6A447E5B" w14:textId="77777777" w:rsidR="00854A76" w:rsidRPr="00CD7410" w:rsidDel="00BA6647" w:rsidRDefault="00854A76" w:rsidP="003335D2">
            <w:pPr>
              <w:tabs>
                <w:tab w:val="left" w:pos="1080"/>
              </w:tabs>
              <w:spacing w:after="0" w:line="240" w:lineRule="auto"/>
              <w:rPr>
                <w:rFonts w:ascii="Garamond" w:hAnsi="Garamond"/>
                <w:sz w:val="20"/>
                <w:szCs w:val="20"/>
              </w:rPr>
            </w:pPr>
            <w:r w:rsidRPr="00CD7410">
              <w:rPr>
                <w:rFonts w:ascii="Garamond" w:hAnsi="Garamond"/>
                <w:sz w:val="20"/>
                <w:szCs w:val="20"/>
              </w:rPr>
              <w:t>Continuous</w:t>
            </w:r>
          </w:p>
        </w:tc>
        <w:tc>
          <w:tcPr>
            <w:tcW w:w="1480" w:type="dxa"/>
          </w:tcPr>
          <w:p w14:paraId="60B0534E" w14:textId="77777777" w:rsidR="00854A76" w:rsidRPr="00CD7410" w:rsidRDefault="00854A76" w:rsidP="003335D2">
            <w:pPr>
              <w:tabs>
                <w:tab w:val="left" w:pos="1080"/>
              </w:tabs>
              <w:spacing w:after="0" w:line="240" w:lineRule="auto"/>
              <w:rPr>
                <w:rFonts w:ascii="Garamond" w:hAnsi="Garamond"/>
                <w:sz w:val="20"/>
                <w:szCs w:val="20"/>
              </w:rPr>
            </w:pPr>
            <w:r w:rsidRPr="00CD7410">
              <w:rPr>
                <w:rFonts w:ascii="Garamond" w:hAnsi="Garamond"/>
                <w:sz w:val="20"/>
                <w:szCs w:val="20"/>
              </w:rPr>
              <w:t>UNDP CO</w:t>
            </w:r>
          </w:p>
          <w:p w14:paraId="6778C6E7" w14:textId="77777777" w:rsidR="00854A76" w:rsidRPr="00CD7410" w:rsidDel="00BA6647" w:rsidRDefault="00854A76" w:rsidP="003335D2">
            <w:pPr>
              <w:tabs>
                <w:tab w:val="left" w:pos="1080"/>
              </w:tabs>
              <w:spacing w:after="0" w:line="240" w:lineRule="auto"/>
              <w:rPr>
                <w:rFonts w:ascii="Garamond" w:hAnsi="Garamond"/>
                <w:sz w:val="20"/>
                <w:szCs w:val="20"/>
              </w:rPr>
            </w:pPr>
            <w:r w:rsidRPr="00CD7410">
              <w:rPr>
                <w:rFonts w:ascii="Garamond" w:hAnsi="Garamond"/>
                <w:sz w:val="20"/>
                <w:szCs w:val="20"/>
              </w:rPr>
              <w:t>UNDP Project Team</w:t>
            </w:r>
          </w:p>
        </w:tc>
        <w:tc>
          <w:tcPr>
            <w:tcW w:w="2078" w:type="dxa"/>
          </w:tcPr>
          <w:p w14:paraId="1F737784" w14:textId="192839B7" w:rsidR="00854A76" w:rsidRPr="00CD7410" w:rsidRDefault="00854A76" w:rsidP="00267B56">
            <w:pPr>
              <w:tabs>
                <w:tab w:val="left" w:pos="1080"/>
              </w:tabs>
              <w:spacing w:after="0" w:line="240" w:lineRule="auto"/>
              <w:rPr>
                <w:rFonts w:ascii="Garamond" w:hAnsi="Garamond"/>
                <w:sz w:val="20"/>
                <w:szCs w:val="20"/>
              </w:rPr>
            </w:pPr>
            <w:r>
              <w:rPr>
                <w:rFonts w:ascii="Garamond" w:hAnsi="Garamond"/>
                <w:sz w:val="20"/>
                <w:szCs w:val="20"/>
              </w:rPr>
              <w:t>The</w:t>
            </w:r>
            <w:r w:rsidR="00267B56">
              <w:rPr>
                <w:rFonts w:ascii="Garamond" w:hAnsi="Garamond"/>
                <w:sz w:val="20"/>
                <w:szCs w:val="20"/>
              </w:rPr>
              <w:t xml:space="preserve"> activity initiated,  in the frames of UND-RTF regional project</w:t>
            </w:r>
            <w:r>
              <w:rPr>
                <w:rFonts w:ascii="Garamond" w:hAnsi="Garamond"/>
                <w:sz w:val="20"/>
                <w:szCs w:val="20"/>
              </w:rPr>
              <w:t xml:space="preserve"> </w:t>
            </w:r>
          </w:p>
        </w:tc>
        <w:tc>
          <w:tcPr>
            <w:tcW w:w="1182" w:type="dxa"/>
          </w:tcPr>
          <w:p w14:paraId="2BBCD680" w14:textId="77777777" w:rsidR="00854A76" w:rsidRPr="00CD7410" w:rsidRDefault="00854A76" w:rsidP="003335D2">
            <w:pPr>
              <w:tabs>
                <w:tab w:val="left" w:pos="1080"/>
              </w:tabs>
              <w:spacing w:after="0" w:line="240" w:lineRule="auto"/>
              <w:rPr>
                <w:rFonts w:ascii="Garamond" w:hAnsi="Garamond"/>
                <w:sz w:val="20"/>
                <w:szCs w:val="20"/>
              </w:rPr>
            </w:pPr>
            <w:r w:rsidRPr="00CD7410">
              <w:rPr>
                <w:rFonts w:ascii="Garamond" w:hAnsi="Garamond"/>
                <w:sz w:val="20"/>
                <w:szCs w:val="20"/>
              </w:rPr>
              <w:t>Continuous</w:t>
            </w:r>
          </w:p>
        </w:tc>
      </w:tr>
    </w:tbl>
    <w:p w14:paraId="7431D091" w14:textId="77777777" w:rsidR="00854A76" w:rsidRPr="00CD7410" w:rsidRDefault="00854A76" w:rsidP="00307816">
      <w:pPr>
        <w:tabs>
          <w:tab w:val="left" w:pos="1080"/>
        </w:tabs>
        <w:spacing w:after="0" w:line="240" w:lineRule="auto"/>
        <w:rPr>
          <w:rFonts w:ascii="Garamond" w:hAnsi="Garamond"/>
          <w:sz w:val="20"/>
          <w:szCs w:val="20"/>
        </w:rPr>
      </w:pPr>
    </w:p>
    <w:tbl>
      <w:tblPr>
        <w:tblW w:w="9781"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44"/>
        <w:gridCol w:w="1701"/>
        <w:gridCol w:w="1807"/>
        <w:gridCol w:w="1203"/>
        <w:gridCol w:w="1526"/>
      </w:tblGrid>
      <w:tr w:rsidR="00D66F55" w:rsidRPr="00CD7410" w14:paraId="2B5C7BA2" w14:textId="77777777" w:rsidTr="00E364DC">
        <w:trPr>
          <w:trHeight w:val="416"/>
        </w:trPr>
        <w:tc>
          <w:tcPr>
            <w:tcW w:w="9781" w:type="dxa"/>
            <w:gridSpan w:val="5"/>
            <w:shd w:val="clear" w:color="auto" w:fill="F3F3F3"/>
          </w:tcPr>
          <w:p w14:paraId="14FCF38D" w14:textId="797CF0A6" w:rsidR="00307816" w:rsidRPr="00CD7410" w:rsidRDefault="00C15B2B" w:rsidP="00307816">
            <w:pPr>
              <w:spacing w:after="0" w:line="240" w:lineRule="auto"/>
              <w:rPr>
                <w:rFonts w:ascii="Garamond" w:hAnsi="Garamond"/>
                <w:b/>
                <w:i/>
                <w:u w:val="single"/>
              </w:rPr>
            </w:pPr>
            <w:r w:rsidRPr="00CD7410">
              <w:rPr>
                <w:rFonts w:ascii="Garamond" w:hAnsi="Garamond"/>
                <w:b/>
                <w:i/>
                <w:u w:val="single"/>
              </w:rPr>
              <w:t xml:space="preserve">Terminal Evaluation Report </w:t>
            </w:r>
            <w:r w:rsidR="00D66F55" w:rsidRPr="00CD7410">
              <w:rPr>
                <w:rFonts w:ascii="Garamond" w:hAnsi="Garamond"/>
                <w:b/>
                <w:i/>
                <w:u w:val="single"/>
              </w:rPr>
              <w:t xml:space="preserve">recommendation 3. </w:t>
            </w:r>
          </w:p>
          <w:p w14:paraId="34AA2F8D" w14:textId="70674ADB" w:rsidR="009937BB" w:rsidRPr="00CD7410" w:rsidRDefault="003D70F4" w:rsidP="003D70F4">
            <w:pPr>
              <w:spacing w:before="60" w:after="60" w:line="240" w:lineRule="auto"/>
              <w:rPr>
                <w:rFonts w:ascii="Garamond" w:hAnsi="Garamond"/>
                <w:b/>
              </w:rPr>
            </w:pPr>
            <w:r w:rsidRPr="00CD7410">
              <w:rPr>
                <w:rFonts w:ascii="Garamond" w:hAnsi="Garamond"/>
                <w:b/>
              </w:rPr>
              <w:t>Replicate best practices in maintaining developed in-house expertise across follow-up projects and in regional cooperation in other countries of operation</w:t>
            </w:r>
          </w:p>
          <w:p w14:paraId="17AF7218" w14:textId="77777777" w:rsidR="003D70F4" w:rsidRPr="00CD7410" w:rsidRDefault="003D70F4" w:rsidP="003D70F4">
            <w:pPr>
              <w:pStyle w:val="ListParagraph"/>
              <w:numPr>
                <w:ilvl w:val="0"/>
                <w:numId w:val="6"/>
              </w:numPr>
              <w:tabs>
                <w:tab w:val="num" w:pos="720"/>
              </w:tabs>
              <w:spacing w:after="0"/>
              <w:ind w:left="314" w:hanging="214"/>
              <w:rPr>
                <w:rFonts w:ascii="Garamond" w:hAnsi="Garamond"/>
                <w:szCs w:val="20"/>
              </w:rPr>
            </w:pPr>
            <w:r w:rsidRPr="00CD7410">
              <w:rPr>
                <w:rFonts w:ascii="Garamond" w:hAnsi="Garamond"/>
                <w:szCs w:val="20"/>
              </w:rPr>
              <w:t xml:space="preserve">Several UNDP country offices in the region implemented similar strategy as the UNDP CO in Armenia in maintaining the developed in-house expertise by sharing its experts across multiple follow-up similar projects implemented in different sectors. However, this practice </w:t>
            </w:r>
            <w:proofErr w:type="gramStart"/>
            <w:r w:rsidRPr="00CD7410">
              <w:rPr>
                <w:rFonts w:ascii="Garamond" w:hAnsi="Garamond"/>
                <w:szCs w:val="20"/>
              </w:rPr>
              <w:t>is not yet shared</w:t>
            </w:r>
            <w:proofErr w:type="gramEnd"/>
            <w:r w:rsidRPr="00CD7410">
              <w:rPr>
                <w:rFonts w:ascii="Garamond" w:hAnsi="Garamond"/>
                <w:szCs w:val="20"/>
              </w:rPr>
              <w:t xml:space="preserve"> by all UNDP country offices. Some of them loose their experts and expertise developed after project termination.</w:t>
            </w:r>
          </w:p>
          <w:p w14:paraId="40B8B406" w14:textId="77777777" w:rsidR="003D70F4" w:rsidRPr="00CD7410" w:rsidRDefault="003D70F4" w:rsidP="003D70F4">
            <w:pPr>
              <w:pStyle w:val="ListParagraph"/>
              <w:numPr>
                <w:ilvl w:val="0"/>
                <w:numId w:val="6"/>
              </w:numPr>
              <w:tabs>
                <w:tab w:val="num" w:pos="720"/>
              </w:tabs>
              <w:spacing w:after="0"/>
              <w:ind w:left="314" w:hanging="214"/>
              <w:rPr>
                <w:rFonts w:ascii="Garamond" w:hAnsi="Garamond"/>
                <w:szCs w:val="20"/>
              </w:rPr>
            </w:pPr>
            <w:r w:rsidRPr="00CD7410">
              <w:rPr>
                <w:rFonts w:ascii="Garamond" w:hAnsi="Garamond"/>
                <w:szCs w:val="20"/>
              </w:rPr>
              <w:t xml:space="preserve">Effectiveness of regional cooperation among similar UNDP projects depends primarily on activities of UNDP CO and its project teams, and support from the UNDP RTA, as well as on similar projects </w:t>
            </w:r>
            <w:proofErr w:type="gramStart"/>
            <w:r w:rsidRPr="00CD7410">
              <w:rPr>
                <w:rFonts w:ascii="Garamond" w:hAnsi="Garamond"/>
                <w:szCs w:val="20"/>
              </w:rPr>
              <w:t>being implemented</w:t>
            </w:r>
            <w:proofErr w:type="gramEnd"/>
            <w:r w:rsidRPr="00CD7410">
              <w:rPr>
                <w:rFonts w:ascii="Garamond" w:hAnsi="Garamond"/>
                <w:szCs w:val="20"/>
              </w:rPr>
              <w:t xml:space="preserve"> in parallel in the region.</w:t>
            </w:r>
          </w:p>
          <w:p w14:paraId="5DF216AB" w14:textId="01BC389E" w:rsidR="00D66F55" w:rsidRPr="00CD7410" w:rsidRDefault="003D70F4" w:rsidP="003D70F4">
            <w:pPr>
              <w:pStyle w:val="ListParagraph"/>
              <w:numPr>
                <w:ilvl w:val="0"/>
                <w:numId w:val="6"/>
              </w:numPr>
              <w:tabs>
                <w:tab w:val="num" w:pos="720"/>
              </w:tabs>
              <w:spacing w:after="0"/>
              <w:ind w:left="314" w:hanging="214"/>
              <w:rPr>
                <w:rFonts w:ascii="Garamond" w:hAnsi="Garamond"/>
                <w:szCs w:val="20"/>
              </w:rPr>
            </w:pPr>
            <w:r w:rsidRPr="00CD7410">
              <w:rPr>
                <w:rFonts w:ascii="Garamond" w:hAnsi="Garamond"/>
                <w:szCs w:val="20"/>
              </w:rPr>
              <w:t>UNDP and its regional headquarters and RTAs are encouraged to replicate and adopt the practice of maintaining in-house expertise across all countries of their operation, and to facilitate effective regional cooperation and experience sharing where appropriate.</w:t>
            </w:r>
          </w:p>
        </w:tc>
      </w:tr>
      <w:tr w:rsidR="00D66F55" w:rsidRPr="00CD7410" w14:paraId="10039FAB" w14:textId="77777777" w:rsidTr="00E364DC">
        <w:tc>
          <w:tcPr>
            <w:tcW w:w="9781" w:type="dxa"/>
            <w:gridSpan w:val="5"/>
            <w:tcBorders>
              <w:top w:val="single" w:sz="4" w:space="0" w:color="auto"/>
              <w:bottom w:val="single" w:sz="6" w:space="0" w:color="auto"/>
            </w:tcBorders>
            <w:shd w:val="clear" w:color="auto" w:fill="F3F3F3"/>
          </w:tcPr>
          <w:p w14:paraId="15FFC3B4" w14:textId="6B603673" w:rsidR="00D66F55" w:rsidRPr="00CD7410" w:rsidRDefault="00D66F55" w:rsidP="00C47B50">
            <w:pPr>
              <w:tabs>
                <w:tab w:val="left" w:pos="1080"/>
              </w:tabs>
              <w:spacing w:after="0" w:line="240" w:lineRule="auto"/>
              <w:rPr>
                <w:rFonts w:ascii="Garamond" w:hAnsi="Garamond"/>
                <w:sz w:val="20"/>
                <w:szCs w:val="20"/>
              </w:rPr>
            </w:pPr>
            <w:r w:rsidRPr="00CD7410">
              <w:rPr>
                <w:rFonts w:ascii="Garamond" w:hAnsi="Garamond"/>
                <w:b/>
                <w:sz w:val="20"/>
                <w:szCs w:val="20"/>
              </w:rPr>
              <w:t>Management response</w:t>
            </w:r>
            <w:r w:rsidRPr="00CD7410">
              <w:rPr>
                <w:rFonts w:ascii="Garamond" w:hAnsi="Garamond"/>
                <w:sz w:val="20"/>
                <w:szCs w:val="20"/>
              </w:rPr>
              <w:t xml:space="preserve">: </w:t>
            </w:r>
            <w:r w:rsidR="00CD7410" w:rsidRPr="00CD7410">
              <w:rPr>
                <w:rFonts w:ascii="Garamond" w:hAnsi="Garamond"/>
                <w:sz w:val="20"/>
                <w:szCs w:val="20"/>
              </w:rPr>
              <w:t xml:space="preserve"> </w:t>
            </w:r>
            <w:r w:rsidR="00CD7410" w:rsidRPr="00CD7410">
              <w:rPr>
                <w:rFonts w:ascii="Garamond" w:hAnsi="Garamond"/>
                <w:b/>
                <w:bCs/>
                <w:sz w:val="20"/>
                <w:szCs w:val="20"/>
              </w:rPr>
              <w:t xml:space="preserve">Based on Lessons Learned Report </w:t>
            </w:r>
            <w:r w:rsidR="004F4CC1">
              <w:rPr>
                <w:rFonts w:ascii="Garamond" w:hAnsi="Garamond"/>
                <w:b/>
                <w:bCs/>
                <w:sz w:val="20"/>
                <w:szCs w:val="20"/>
              </w:rPr>
              <w:t xml:space="preserve">findings </w:t>
            </w:r>
            <w:r w:rsidR="00CD7410" w:rsidRPr="00CD7410">
              <w:rPr>
                <w:rFonts w:ascii="Garamond" w:hAnsi="Garamond"/>
                <w:b/>
                <w:bCs/>
                <w:sz w:val="20"/>
                <w:szCs w:val="20"/>
              </w:rPr>
              <w:t xml:space="preserve">and on synergy principle in UNDP project implementation routine, use online dissemination tools for utmost availability of the key </w:t>
            </w:r>
            <w:r w:rsidR="00C47B50">
              <w:rPr>
                <w:rFonts w:ascii="Garamond" w:hAnsi="Garamond"/>
                <w:b/>
                <w:bCs/>
                <w:sz w:val="20"/>
                <w:szCs w:val="20"/>
              </w:rPr>
              <w:t xml:space="preserve">achievements </w:t>
            </w:r>
            <w:r w:rsidR="00CD7410" w:rsidRPr="00CD7410">
              <w:rPr>
                <w:rFonts w:ascii="Garamond" w:hAnsi="Garamond"/>
                <w:b/>
                <w:bCs/>
                <w:sz w:val="20"/>
                <w:szCs w:val="20"/>
              </w:rPr>
              <w:t xml:space="preserve">and recommendations.   </w:t>
            </w:r>
            <w:r w:rsidR="000721B7" w:rsidRPr="00CD7410">
              <w:rPr>
                <w:rFonts w:ascii="Garamond" w:hAnsi="Garamond"/>
                <w:b/>
                <w:bCs/>
                <w:sz w:val="20"/>
                <w:szCs w:val="20"/>
              </w:rPr>
              <w:t xml:space="preserve"> </w:t>
            </w:r>
          </w:p>
        </w:tc>
      </w:tr>
      <w:tr w:rsidR="00D66F55" w:rsidRPr="00CD7410" w14:paraId="308B07D2" w14:textId="77777777" w:rsidTr="00E364DC">
        <w:trPr>
          <w:trHeight w:val="135"/>
        </w:trPr>
        <w:tc>
          <w:tcPr>
            <w:tcW w:w="3544" w:type="dxa"/>
            <w:vMerge w:val="restart"/>
            <w:tcBorders>
              <w:top w:val="single" w:sz="6" w:space="0" w:color="auto"/>
              <w:bottom w:val="single" w:sz="6" w:space="0" w:color="auto"/>
              <w:right w:val="single" w:sz="6" w:space="0" w:color="auto"/>
            </w:tcBorders>
            <w:shd w:val="clear" w:color="auto" w:fill="F3F3F3"/>
          </w:tcPr>
          <w:p w14:paraId="76111D56" w14:textId="77777777"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Key action(s)</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3F3F3"/>
          </w:tcPr>
          <w:p w14:paraId="099F719E" w14:textId="0957DED1"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Time frame</w:t>
            </w:r>
            <w:r w:rsidR="00A33498" w:rsidRPr="00CD7410">
              <w:rPr>
                <w:rFonts w:ascii="Garamond" w:hAnsi="Garamond"/>
                <w:b/>
                <w:sz w:val="20"/>
                <w:szCs w:val="20"/>
              </w:rPr>
              <w:t xml:space="preserve"> [month, year to month, year]</w:t>
            </w:r>
          </w:p>
        </w:tc>
        <w:tc>
          <w:tcPr>
            <w:tcW w:w="1807" w:type="dxa"/>
            <w:vMerge w:val="restart"/>
            <w:tcBorders>
              <w:top w:val="single" w:sz="6" w:space="0" w:color="auto"/>
              <w:left w:val="single" w:sz="6" w:space="0" w:color="auto"/>
              <w:bottom w:val="single" w:sz="6" w:space="0" w:color="auto"/>
              <w:right w:val="single" w:sz="6" w:space="0" w:color="auto"/>
            </w:tcBorders>
            <w:shd w:val="clear" w:color="auto" w:fill="F3F3F3"/>
          </w:tcPr>
          <w:p w14:paraId="44D67A2A" w14:textId="77777777"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Responsible unit(s)</w:t>
            </w:r>
          </w:p>
        </w:tc>
        <w:tc>
          <w:tcPr>
            <w:tcW w:w="2729" w:type="dxa"/>
            <w:gridSpan w:val="2"/>
            <w:tcBorders>
              <w:top w:val="single" w:sz="6" w:space="0" w:color="auto"/>
              <w:left w:val="single" w:sz="6" w:space="0" w:color="auto"/>
              <w:bottom w:val="single" w:sz="6" w:space="0" w:color="auto"/>
            </w:tcBorders>
            <w:shd w:val="clear" w:color="auto" w:fill="F3F3F3"/>
          </w:tcPr>
          <w:p w14:paraId="731966D6" w14:textId="77777777"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Tracking</w:t>
            </w:r>
          </w:p>
        </w:tc>
      </w:tr>
      <w:tr w:rsidR="00D66F55" w:rsidRPr="00CD7410" w14:paraId="5C6A17CA" w14:textId="77777777" w:rsidTr="00E364DC">
        <w:trPr>
          <w:trHeight w:val="138"/>
        </w:trPr>
        <w:tc>
          <w:tcPr>
            <w:tcW w:w="3544" w:type="dxa"/>
            <w:vMerge/>
            <w:tcBorders>
              <w:top w:val="single" w:sz="6" w:space="0" w:color="auto"/>
              <w:bottom w:val="single" w:sz="6" w:space="0" w:color="auto"/>
              <w:right w:val="single" w:sz="6" w:space="0" w:color="auto"/>
            </w:tcBorders>
            <w:shd w:val="clear" w:color="auto" w:fill="F3F3F3"/>
          </w:tcPr>
          <w:p w14:paraId="60B7C24D" w14:textId="77777777" w:rsidR="00D66F55" w:rsidRPr="00CD7410" w:rsidRDefault="00D66F55" w:rsidP="00307816">
            <w:pPr>
              <w:tabs>
                <w:tab w:val="left" w:pos="1080"/>
              </w:tabs>
              <w:spacing w:after="0" w:line="240" w:lineRule="auto"/>
              <w:rPr>
                <w:rFonts w:ascii="Garamond" w:hAnsi="Garamond"/>
                <w:sz w:val="20"/>
                <w:szCs w:val="20"/>
              </w:rPr>
            </w:pPr>
          </w:p>
        </w:tc>
        <w:tc>
          <w:tcPr>
            <w:tcW w:w="1701" w:type="dxa"/>
            <w:vMerge/>
            <w:tcBorders>
              <w:top w:val="single" w:sz="6" w:space="0" w:color="auto"/>
              <w:left w:val="single" w:sz="6" w:space="0" w:color="auto"/>
              <w:bottom w:val="single" w:sz="6" w:space="0" w:color="auto"/>
              <w:right w:val="single" w:sz="6" w:space="0" w:color="auto"/>
            </w:tcBorders>
            <w:shd w:val="clear" w:color="auto" w:fill="F3F3F3"/>
          </w:tcPr>
          <w:p w14:paraId="04A5FAF6" w14:textId="77777777" w:rsidR="00D66F55" w:rsidRPr="00CD7410" w:rsidRDefault="00D66F55" w:rsidP="00307816">
            <w:pPr>
              <w:tabs>
                <w:tab w:val="left" w:pos="1080"/>
              </w:tabs>
              <w:spacing w:after="0" w:line="240" w:lineRule="auto"/>
              <w:rPr>
                <w:rFonts w:ascii="Garamond" w:hAnsi="Garamond"/>
                <w:b/>
                <w:sz w:val="20"/>
                <w:szCs w:val="20"/>
              </w:rPr>
            </w:pPr>
          </w:p>
        </w:tc>
        <w:tc>
          <w:tcPr>
            <w:tcW w:w="1807" w:type="dxa"/>
            <w:vMerge/>
            <w:tcBorders>
              <w:top w:val="single" w:sz="6" w:space="0" w:color="auto"/>
              <w:left w:val="single" w:sz="6" w:space="0" w:color="auto"/>
              <w:bottom w:val="single" w:sz="6" w:space="0" w:color="auto"/>
              <w:right w:val="single" w:sz="6" w:space="0" w:color="auto"/>
            </w:tcBorders>
            <w:shd w:val="clear" w:color="auto" w:fill="F3F3F3"/>
          </w:tcPr>
          <w:p w14:paraId="6E9973ED" w14:textId="77777777" w:rsidR="00D66F55" w:rsidRPr="00CD7410" w:rsidRDefault="00D66F55" w:rsidP="00307816">
            <w:pPr>
              <w:tabs>
                <w:tab w:val="left" w:pos="1080"/>
              </w:tabs>
              <w:spacing w:after="0" w:line="240" w:lineRule="auto"/>
              <w:rPr>
                <w:rFonts w:ascii="Garamond" w:hAnsi="Garamond"/>
                <w:b/>
                <w:sz w:val="20"/>
                <w:szCs w:val="20"/>
              </w:rPr>
            </w:pPr>
          </w:p>
        </w:tc>
        <w:tc>
          <w:tcPr>
            <w:tcW w:w="1203" w:type="dxa"/>
            <w:tcBorders>
              <w:top w:val="single" w:sz="6" w:space="0" w:color="auto"/>
              <w:left w:val="single" w:sz="6" w:space="0" w:color="auto"/>
              <w:bottom w:val="single" w:sz="6" w:space="0" w:color="auto"/>
              <w:right w:val="single" w:sz="6" w:space="0" w:color="auto"/>
            </w:tcBorders>
          </w:tcPr>
          <w:p w14:paraId="10012CA8" w14:textId="77777777"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Comments</w:t>
            </w:r>
          </w:p>
        </w:tc>
        <w:tc>
          <w:tcPr>
            <w:tcW w:w="1526" w:type="dxa"/>
            <w:tcBorders>
              <w:top w:val="single" w:sz="6" w:space="0" w:color="auto"/>
              <w:left w:val="single" w:sz="6" w:space="0" w:color="auto"/>
              <w:bottom w:val="single" w:sz="6" w:space="0" w:color="auto"/>
            </w:tcBorders>
          </w:tcPr>
          <w:p w14:paraId="181AEFB1" w14:textId="77777777" w:rsidR="00D66F55" w:rsidRPr="00CD7410" w:rsidRDefault="00D66F55" w:rsidP="00307816">
            <w:pPr>
              <w:tabs>
                <w:tab w:val="left" w:pos="1080"/>
              </w:tabs>
              <w:spacing w:after="0" w:line="240" w:lineRule="auto"/>
              <w:jc w:val="center"/>
              <w:rPr>
                <w:rFonts w:ascii="Garamond" w:hAnsi="Garamond"/>
                <w:b/>
                <w:sz w:val="20"/>
                <w:szCs w:val="20"/>
              </w:rPr>
            </w:pPr>
            <w:r w:rsidRPr="00CD7410">
              <w:rPr>
                <w:rFonts w:ascii="Garamond" w:hAnsi="Garamond"/>
                <w:b/>
                <w:sz w:val="20"/>
                <w:szCs w:val="20"/>
              </w:rPr>
              <w:t>Status</w:t>
            </w:r>
          </w:p>
        </w:tc>
      </w:tr>
      <w:tr w:rsidR="005F22C8" w:rsidRPr="00CD7410" w14:paraId="2F23B847" w14:textId="77777777" w:rsidTr="00A757A7">
        <w:trPr>
          <w:trHeight w:val="978"/>
        </w:trPr>
        <w:tc>
          <w:tcPr>
            <w:tcW w:w="3544" w:type="dxa"/>
            <w:tcBorders>
              <w:top w:val="single" w:sz="6" w:space="0" w:color="auto"/>
              <w:bottom w:val="single" w:sz="6" w:space="0" w:color="auto"/>
              <w:right w:val="single" w:sz="6" w:space="0" w:color="auto"/>
            </w:tcBorders>
          </w:tcPr>
          <w:p w14:paraId="6D1F8CF4" w14:textId="1649BA6E" w:rsidR="005F22C8" w:rsidRPr="00CD7410" w:rsidRDefault="005F22C8" w:rsidP="00267B56">
            <w:pPr>
              <w:tabs>
                <w:tab w:val="left" w:pos="1080"/>
              </w:tabs>
              <w:spacing w:after="0" w:line="240" w:lineRule="auto"/>
              <w:rPr>
                <w:rFonts w:ascii="Garamond" w:hAnsi="Garamond"/>
                <w:sz w:val="20"/>
                <w:szCs w:val="20"/>
              </w:rPr>
            </w:pPr>
            <w:proofErr w:type="gramStart"/>
            <w:r w:rsidRPr="00CD7410">
              <w:rPr>
                <w:rFonts w:ascii="Garamond" w:hAnsi="Garamond"/>
                <w:sz w:val="20"/>
                <w:szCs w:val="20"/>
              </w:rPr>
              <w:t xml:space="preserve">3.1  </w:t>
            </w:r>
            <w:r w:rsidR="00267B56">
              <w:rPr>
                <w:rFonts w:ascii="Garamond" w:hAnsi="Garamond"/>
                <w:sz w:val="20"/>
                <w:szCs w:val="20"/>
              </w:rPr>
              <w:t>The</w:t>
            </w:r>
            <w:proofErr w:type="gramEnd"/>
            <w:r w:rsidR="00267B56">
              <w:rPr>
                <w:rFonts w:ascii="Garamond" w:hAnsi="Garamond"/>
                <w:sz w:val="20"/>
                <w:szCs w:val="20"/>
              </w:rPr>
              <w:t xml:space="preserve"> Lessons Learned report </w:t>
            </w:r>
            <w:r w:rsidRPr="00CD7410">
              <w:rPr>
                <w:rFonts w:ascii="Garamond" w:hAnsi="Garamond"/>
                <w:sz w:val="20"/>
                <w:szCs w:val="20"/>
              </w:rPr>
              <w:t xml:space="preserve"> </w:t>
            </w:r>
            <w:r w:rsidR="00267B56">
              <w:rPr>
                <w:rFonts w:ascii="Garamond" w:hAnsi="Garamond"/>
                <w:sz w:val="20"/>
                <w:szCs w:val="20"/>
              </w:rPr>
              <w:t>and the links to the project resources available on the web-site will be shared with relevant country teams and</w:t>
            </w:r>
            <w:r w:rsidR="001C726F">
              <w:rPr>
                <w:rFonts w:ascii="Garamond" w:hAnsi="Garamond"/>
                <w:sz w:val="20"/>
                <w:szCs w:val="20"/>
              </w:rPr>
              <w:t xml:space="preserve"> respective online platforms. </w:t>
            </w:r>
          </w:p>
        </w:tc>
        <w:tc>
          <w:tcPr>
            <w:tcW w:w="1701" w:type="dxa"/>
            <w:tcBorders>
              <w:top w:val="single" w:sz="6" w:space="0" w:color="auto"/>
              <w:left w:val="single" w:sz="6" w:space="0" w:color="auto"/>
              <w:bottom w:val="single" w:sz="6" w:space="0" w:color="auto"/>
              <w:right w:val="single" w:sz="6" w:space="0" w:color="auto"/>
            </w:tcBorders>
          </w:tcPr>
          <w:p w14:paraId="6E6F4E0B" w14:textId="60CD1E0D" w:rsidR="005F22C8" w:rsidRPr="00CD7410" w:rsidRDefault="005F22C8" w:rsidP="005F22C8">
            <w:pPr>
              <w:tabs>
                <w:tab w:val="left" w:pos="1080"/>
              </w:tabs>
              <w:spacing w:after="0" w:line="240" w:lineRule="auto"/>
              <w:rPr>
                <w:rFonts w:ascii="Garamond" w:hAnsi="Garamond"/>
                <w:sz w:val="20"/>
                <w:szCs w:val="20"/>
              </w:rPr>
            </w:pPr>
            <w:r w:rsidRPr="00CD7410">
              <w:rPr>
                <w:rFonts w:ascii="Garamond" w:hAnsi="Garamond"/>
                <w:sz w:val="20"/>
                <w:szCs w:val="20"/>
              </w:rPr>
              <w:t>December 201</w:t>
            </w:r>
            <w:r>
              <w:rPr>
                <w:rFonts w:ascii="Garamond" w:hAnsi="Garamond"/>
                <w:sz w:val="20"/>
                <w:szCs w:val="20"/>
              </w:rPr>
              <w:t>8</w:t>
            </w:r>
          </w:p>
        </w:tc>
        <w:tc>
          <w:tcPr>
            <w:tcW w:w="1807" w:type="dxa"/>
            <w:tcBorders>
              <w:top w:val="single" w:sz="6" w:space="0" w:color="auto"/>
              <w:left w:val="single" w:sz="6" w:space="0" w:color="auto"/>
              <w:bottom w:val="single" w:sz="6" w:space="0" w:color="auto"/>
              <w:right w:val="single" w:sz="6" w:space="0" w:color="auto"/>
            </w:tcBorders>
          </w:tcPr>
          <w:p w14:paraId="6DEB22DF" w14:textId="1DCB059A" w:rsidR="005F22C8" w:rsidRDefault="005F22C8" w:rsidP="005F22C8">
            <w:pPr>
              <w:tabs>
                <w:tab w:val="left" w:pos="1080"/>
              </w:tabs>
              <w:spacing w:after="0" w:line="240" w:lineRule="auto"/>
              <w:rPr>
                <w:rFonts w:ascii="Garamond" w:hAnsi="Garamond"/>
                <w:sz w:val="20"/>
                <w:szCs w:val="20"/>
              </w:rPr>
            </w:pPr>
            <w:r>
              <w:rPr>
                <w:rFonts w:ascii="Garamond" w:hAnsi="Garamond"/>
                <w:sz w:val="20"/>
                <w:szCs w:val="20"/>
              </w:rPr>
              <w:t>UNDP Regional Hub</w:t>
            </w:r>
          </w:p>
          <w:p w14:paraId="212A7C0C" w14:textId="06906E7B" w:rsidR="005F22C8" w:rsidRPr="00CD7410" w:rsidRDefault="005F22C8" w:rsidP="005F22C8">
            <w:pPr>
              <w:tabs>
                <w:tab w:val="left" w:pos="1080"/>
              </w:tabs>
              <w:spacing w:after="0" w:line="240" w:lineRule="auto"/>
              <w:rPr>
                <w:rFonts w:ascii="Garamond" w:hAnsi="Garamond"/>
                <w:sz w:val="20"/>
                <w:szCs w:val="20"/>
              </w:rPr>
            </w:pPr>
            <w:r w:rsidRPr="00CD7410">
              <w:rPr>
                <w:rFonts w:ascii="Garamond" w:hAnsi="Garamond"/>
                <w:sz w:val="20"/>
                <w:szCs w:val="20"/>
              </w:rPr>
              <w:t>UNDP-GEF RTA</w:t>
            </w:r>
          </w:p>
          <w:p w14:paraId="22C14884" w14:textId="6515D8EE" w:rsidR="005F22C8" w:rsidRPr="00CD7410" w:rsidRDefault="005F22C8" w:rsidP="005F22C8">
            <w:pPr>
              <w:tabs>
                <w:tab w:val="left" w:pos="1080"/>
              </w:tabs>
              <w:spacing w:after="0" w:line="240" w:lineRule="auto"/>
              <w:rPr>
                <w:rFonts w:ascii="Garamond" w:hAnsi="Garamond"/>
                <w:sz w:val="20"/>
                <w:szCs w:val="20"/>
              </w:rPr>
            </w:pPr>
            <w:r w:rsidRPr="00CD7410">
              <w:rPr>
                <w:rFonts w:ascii="Garamond" w:hAnsi="Garamond"/>
                <w:sz w:val="20"/>
                <w:szCs w:val="20"/>
              </w:rPr>
              <w:t>UNDP CO</w:t>
            </w:r>
          </w:p>
          <w:p w14:paraId="3F12014B" w14:textId="7DECEF6B" w:rsidR="005F22C8" w:rsidRPr="00CD7410" w:rsidRDefault="005F22C8" w:rsidP="005F22C8">
            <w:pPr>
              <w:tabs>
                <w:tab w:val="left" w:pos="1080"/>
              </w:tabs>
              <w:spacing w:after="0" w:line="240" w:lineRule="auto"/>
              <w:rPr>
                <w:rFonts w:ascii="Garamond" w:hAnsi="Garamond"/>
                <w:sz w:val="20"/>
                <w:szCs w:val="20"/>
              </w:rPr>
            </w:pPr>
            <w:r w:rsidRPr="00CD7410">
              <w:rPr>
                <w:rFonts w:ascii="Garamond" w:hAnsi="Garamond"/>
                <w:sz w:val="20"/>
                <w:szCs w:val="20"/>
              </w:rPr>
              <w:t>UNDP Project Team</w:t>
            </w:r>
          </w:p>
        </w:tc>
        <w:tc>
          <w:tcPr>
            <w:tcW w:w="1203" w:type="dxa"/>
            <w:tcBorders>
              <w:top w:val="single" w:sz="6" w:space="0" w:color="auto"/>
              <w:left w:val="single" w:sz="6" w:space="0" w:color="auto"/>
              <w:bottom w:val="single" w:sz="6" w:space="0" w:color="auto"/>
              <w:right w:val="single" w:sz="6" w:space="0" w:color="auto"/>
            </w:tcBorders>
          </w:tcPr>
          <w:p w14:paraId="30C8797B" w14:textId="107367A7" w:rsidR="005F22C8" w:rsidRPr="00CD7410" w:rsidRDefault="005F22C8" w:rsidP="005F22C8">
            <w:pPr>
              <w:tabs>
                <w:tab w:val="left" w:pos="1080"/>
              </w:tabs>
              <w:spacing w:after="0" w:line="240" w:lineRule="auto"/>
              <w:rPr>
                <w:rFonts w:ascii="Garamond" w:hAnsi="Garamond"/>
                <w:sz w:val="20"/>
                <w:szCs w:val="20"/>
              </w:rPr>
            </w:pPr>
            <w:r>
              <w:rPr>
                <w:rFonts w:ascii="Garamond" w:hAnsi="Garamond"/>
                <w:sz w:val="20"/>
                <w:szCs w:val="20"/>
              </w:rPr>
              <w:t xml:space="preserve">Background materials available  </w:t>
            </w:r>
          </w:p>
        </w:tc>
        <w:tc>
          <w:tcPr>
            <w:tcW w:w="1526" w:type="dxa"/>
            <w:tcBorders>
              <w:top w:val="single" w:sz="6" w:space="0" w:color="auto"/>
              <w:left w:val="single" w:sz="6" w:space="0" w:color="auto"/>
              <w:bottom w:val="single" w:sz="6" w:space="0" w:color="auto"/>
            </w:tcBorders>
          </w:tcPr>
          <w:p w14:paraId="15E9385B" w14:textId="236F7B8E" w:rsidR="005F22C8" w:rsidRPr="00CD7410" w:rsidRDefault="005F22C8" w:rsidP="005F22C8">
            <w:pPr>
              <w:tabs>
                <w:tab w:val="left" w:pos="1080"/>
              </w:tabs>
              <w:spacing w:after="0" w:line="240" w:lineRule="auto"/>
              <w:rPr>
                <w:rFonts w:ascii="Garamond" w:hAnsi="Garamond"/>
                <w:sz w:val="20"/>
                <w:szCs w:val="20"/>
              </w:rPr>
            </w:pPr>
            <w:r w:rsidRPr="00CD7410">
              <w:rPr>
                <w:rFonts w:ascii="Garamond" w:hAnsi="Garamond"/>
                <w:sz w:val="20"/>
                <w:szCs w:val="20"/>
              </w:rPr>
              <w:t>Work in progress</w:t>
            </w:r>
          </w:p>
        </w:tc>
      </w:tr>
    </w:tbl>
    <w:p w14:paraId="21FB9531" w14:textId="77777777" w:rsidR="00D66F55" w:rsidRPr="00CD7410" w:rsidRDefault="00D66F55" w:rsidP="00307816">
      <w:pPr>
        <w:tabs>
          <w:tab w:val="left" w:pos="1080"/>
        </w:tabs>
        <w:spacing w:after="0" w:line="240" w:lineRule="auto"/>
        <w:rPr>
          <w:rFonts w:ascii="Garamond" w:hAnsi="Garamond"/>
          <w:sz w:val="20"/>
          <w:szCs w:val="20"/>
        </w:rPr>
      </w:pPr>
      <w:bookmarkStart w:id="1" w:name="_GoBack"/>
      <w:bookmarkEnd w:id="1"/>
    </w:p>
    <w:sectPr w:rsidR="00D66F55" w:rsidRPr="00CD7410" w:rsidSect="00AF747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EE50C" w14:textId="77777777" w:rsidR="000D6D72" w:rsidRDefault="000D6D72" w:rsidP="00D66F55">
      <w:pPr>
        <w:spacing w:after="0" w:line="240" w:lineRule="auto"/>
      </w:pPr>
      <w:r>
        <w:separator/>
      </w:r>
    </w:p>
  </w:endnote>
  <w:endnote w:type="continuationSeparator" w:id="0">
    <w:p w14:paraId="60D2CE69" w14:textId="77777777" w:rsidR="000D6D72" w:rsidRDefault="000D6D72" w:rsidP="00D6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FF017" w14:textId="77777777" w:rsidR="000D6D72" w:rsidRDefault="000D6D72" w:rsidP="00D66F55">
      <w:pPr>
        <w:spacing w:after="0" w:line="240" w:lineRule="auto"/>
      </w:pPr>
      <w:r>
        <w:separator/>
      </w:r>
    </w:p>
  </w:footnote>
  <w:footnote w:type="continuationSeparator" w:id="0">
    <w:p w14:paraId="6836889F" w14:textId="77777777" w:rsidR="000D6D72" w:rsidRDefault="000D6D72" w:rsidP="00D66F55">
      <w:pPr>
        <w:spacing w:after="0" w:line="240" w:lineRule="auto"/>
      </w:pPr>
      <w:r>
        <w:continuationSeparator/>
      </w:r>
    </w:p>
  </w:footnote>
  <w:footnote w:id="1">
    <w:p w14:paraId="695B292E" w14:textId="77777777" w:rsidR="00D66F55" w:rsidRPr="00060E35" w:rsidRDefault="00D66F55" w:rsidP="00D66F55">
      <w:pPr>
        <w:spacing w:after="0" w:line="240" w:lineRule="auto"/>
        <w:rPr>
          <w:rFonts w:ascii="Garamond" w:hAnsi="Garamond"/>
          <w:sz w:val="18"/>
          <w:szCs w:val="18"/>
        </w:rPr>
      </w:pPr>
      <w:r w:rsidRPr="00060E35">
        <w:rPr>
          <w:rStyle w:val="FootnoteReference"/>
          <w:rFonts w:ascii="Garamond" w:hAnsi="Garamond"/>
          <w:sz w:val="18"/>
          <w:szCs w:val="18"/>
        </w:rPr>
        <w:footnoteRef/>
      </w:r>
      <w:r w:rsidRPr="00060E35">
        <w:rPr>
          <w:rFonts w:ascii="Garamond" w:hAnsi="Garamond"/>
          <w:sz w:val="18"/>
          <w:szCs w:val="18"/>
        </w:rPr>
        <w:t xml:space="preserve"> This template is in alignment with the </w:t>
      </w:r>
      <w:hyperlink r:id="rId1" w:history="1">
        <w:r w:rsidRPr="00060E35">
          <w:rPr>
            <w:rStyle w:val="Hyperlink"/>
            <w:rFonts w:ascii="Garamond" w:hAnsi="Garamond"/>
            <w:sz w:val="18"/>
            <w:szCs w:val="18"/>
          </w:rPr>
          <w:t>Management Response Template</w:t>
        </w:r>
      </w:hyperlink>
      <w:r w:rsidRPr="00060E35">
        <w:rPr>
          <w:rFonts w:ascii="Garamond" w:hAnsi="Garamond"/>
          <w:sz w:val="18"/>
          <w:szCs w:val="18"/>
        </w:rPr>
        <w:t xml:space="preserve"> for UNDP project-level evaluations in the Evaluation Resource Centre. </w:t>
      </w:r>
    </w:p>
  </w:footnote>
  <w:footnote w:id="2">
    <w:p w14:paraId="6947B53B" w14:textId="77777777" w:rsidR="00D66F55" w:rsidRPr="00060E35" w:rsidRDefault="00D66F55" w:rsidP="00D66F55">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MTR is uploaded to the ERC, the status of implementation is tracked electronically in the Evaluation Resource Centre database (ERC).</w:t>
      </w:r>
    </w:p>
  </w:footnote>
  <w:footnote w:id="3">
    <w:p w14:paraId="7F008B5F" w14:textId="77777777" w:rsidR="00D66F55" w:rsidRPr="00060E35" w:rsidRDefault="00D66F55" w:rsidP="00D66F55">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EE9"/>
    <w:multiLevelType w:val="hybridMultilevel"/>
    <w:tmpl w:val="B2169D5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F474F5C"/>
    <w:multiLevelType w:val="hybridMultilevel"/>
    <w:tmpl w:val="A5568378"/>
    <w:lvl w:ilvl="0" w:tplc="04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4BA4BD7"/>
    <w:multiLevelType w:val="hybridMultilevel"/>
    <w:tmpl w:val="5F862E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554321"/>
    <w:multiLevelType w:val="hybridMultilevel"/>
    <w:tmpl w:val="35186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B333B"/>
    <w:multiLevelType w:val="hybridMultilevel"/>
    <w:tmpl w:val="493CD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73168"/>
    <w:multiLevelType w:val="hybridMultilevel"/>
    <w:tmpl w:val="20E8E3B0"/>
    <w:lvl w:ilvl="0" w:tplc="0C07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75C26F96"/>
    <w:multiLevelType w:val="hybridMultilevel"/>
    <w:tmpl w:val="E6DE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C7C6C"/>
    <w:multiLevelType w:val="hybridMultilevel"/>
    <w:tmpl w:val="1D5CCA9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5"/>
    <w:rsid w:val="00015FDF"/>
    <w:rsid w:val="000307A4"/>
    <w:rsid w:val="000721B7"/>
    <w:rsid w:val="000B0E9E"/>
    <w:rsid w:val="000D6D72"/>
    <w:rsid w:val="0010687A"/>
    <w:rsid w:val="001C726F"/>
    <w:rsid w:val="00267B56"/>
    <w:rsid w:val="00270198"/>
    <w:rsid w:val="002A1DBA"/>
    <w:rsid w:val="002A1E9A"/>
    <w:rsid w:val="002A681B"/>
    <w:rsid w:val="00307816"/>
    <w:rsid w:val="003C0D4B"/>
    <w:rsid w:val="003D70F4"/>
    <w:rsid w:val="00491A1A"/>
    <w:rsid w:val="004C3FB2"/>
    <w:rsid w:val="004F4CC1"/>
    <w:rsid w:val="00505B94"/>
    <w:rsid w:val="005710B4"/>
    <w:rsid w:val="00572AE2"/>
    <w:rsid w:val="005C06F5"/>
    <w:rsid w:val="005D6CFB"/>
    <w:rsid w:val="005F22C8"/>
    <w:rsid w:val="00666DF7"/>
    <w:rsid w:val="00670143"/>
    <w:rsid w:val="006B3283"/>
    <w:rsid w:val="00761E61"/>
    <w:rsid w:val="00763582"/>
    <w:rsid w:val="007823F1"/>
    <w:rsid w:val="00795791"/>
    <w:rsid w:val="007B0E68"/>
    <w:rsid w:val="007B53A3"/>
    <w:rsid w:val="00854A76"/>
    <w:rsid w:val="00872761"/>
    <w:rsid w:val="008E26CC"/>
    <w:rsid w:val="008E70F6"/>
    <w:rsid w:val="009937BB"/>
    <w:rsid w:val="009A58D3"/>
    <w:rsid w:val="00A01CA5"/>
    <w:rsid w:val="00A33498"/>
    <w:rsid w:val="00A757A7"/>
    <w:rsid w:val="00AD3E6A"/>
    <w:rsid w:val="00AF13F6"/>
    <w:rsid w:val="00AF7473"/>
    <w:rsid w:val="00C15B2B"/>
    <w:rsid w:val="00C47B50"/>
    <w:rsid w:val="00C86FF9"/>
    <w:rsid w:val="00C947AE"/>
    <w:rsid w:val="00CD7410"/>
    <w:rsid w:val="00D035D1"/>
    <w:rsid w:val="00D66F55"/>
    <w:rsid w:val="00D73B0C"/>
    <w:rsid w:val="00E332F0"/>
    <w:rsid w:val="00E364DC"/>
    <w:rsid w:val="00F13698"/>
    <w:rsid w:val="00F527ED"/>
    <w:rsid w:val="00FC14D3"/>
    <w:rsid w:val="00FC2DBD"/>
    <w:rsid w:val="00FD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00"/>
  <w15:docId w15:val="{8F918944-BDD8-4C3B-99EF-9A5815DF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55"/>
    <w:pPr>
      <w:spacing w:after="200" w:line="276" w:lineRule="auto"/>
    </w:pPr>
    <w:rPr>
      <w:rFonts w:eastAsiaTheme="minorHAnsi"/>
      <w:sz w:val="22"/>
      <w:szCs w:val="22"/>
    </w:rPr>
  </w:style>
  <w:style w:type="paragraph" w:styleId="Heading2">
    <w:name w:val="heading 2"/>
    <w:basedOn w:val="Normal"/>
    <w:next w:val="Normal"/>
    <w:link w:val="Heading2Char"/>
    <w:rsid w:val="00D66F55"/>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
    <w:uiPriority w:val="99"/>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CommentText">
    <w:name w:val="annotation text"/>
    <w:basedOn w:val="Normal"/>
    <w:link w:val="CommentTextChar"/>
    <w:rsid w:val="009937BB"/>
    <w:pPr>
      <w:spacing w:after="120" w:line="240" w:lineRule="auto"/>
    </w:pPr>
    <w:rPr>
      <w:rFonts w:ascii="Times New Roman" w:eastAsia="MS Mincho" w:hAnsi="Times New Roman" w:cs="Arial"/>
      <w:sz w:val="20"/>
      <w:szCs w:val="20"/>
      <w:lang w:val="en-GB" w:eastAsia="x-none"/>
    </w:rPr>
  </w:style>
  <w:style w:type="character" w:customStyle="1" w:styleId="CommentTextChar">
    <w:name w:val="Comment Text Char"/>
    <w:basedOn w:val="DefaultParagraphFont"/>
    <w:link w:val="CommentText"/>
    <w:rsid w:val="009937BB"/>
    <w:rPr>
      <w:rFonts w:ascii="Times New Roman" w:eastAsia="MS Mincho" w:hAnsi="Times New Roman" w:cs="Arial"/>
      <w:sz w:val="20"/>
      <w:szCs w:val="20"/>
      <w:lang w:val="en-GB" w:eastAsia="x-none"/>
    </w:rPr>
  </w:style>
  <w:style w:type="character" w:styleId="CommentReference">
    <w:name w:val="annotation reference"/>
    <w:basedOn w:val="DefaultParagraphFont"/>
    <w:uiPriority w:val="99"/>
    <w:semiHidden/>
    <w:unhideWhenUsed/>
    <w:rsid w:val="009937BB"/>
    <w:rPr>
      <w:sz w:val="16"/>
      <w:szCs w:val="16"/>
    </w:rPr>
  </w:style>
  <w:style w:type="table" w:customStyle="1" w:styleId="GridTable5Dark-Accent61">
    <w:name w:val="Grid Table 5 Dark - Accent 61"/>
    <w:basedOn w:val="TableNormal"/>
    <w:uiPriority w:val="50"/>
    <w:rsid w:val="009937BB"/>
    <w:rPr>
      <w:rFonts w:ascii="Cambria" w:eastAsia="MS Mincho" w:hAnsi="Cambria"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BalloonText">
    <w:name w:val="Balloon Text"/>
    <w:basedOn w:val="Normal"/>
    <w:link w:val="BalloonTextChar"/>
    <w:uiPriority w:val="99"/>
    <w:semiHidden/>
    <w:unhideWhenUsed/>
    <w:rsid w:val="0099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BB"/>
    <w:rPr>
      <w:rFonts w:ascii="Segoe UI" w:eastAsiaTheme="minorHAnsi" w:hAnsi="Segoe UI" w:cs="Segoe UI"/>
      <w:sz w:val="18"/>
      <w:szCs w:val="18"/>
    </w:rPr>
  </w:style>
  <w:style w:type="paragraph" w:styleId="ListParagraph">
    <w:name w:val="List Paragraph"/>
    <w:aliases w:val="Bullets,List Paragraph1,List Paragraph (numbered (a)),Akapit z listą BS,WB Para,List Paragraph2,Lapis Bulleted List,Dot pt,F5 List Paragraph,No Spacing1,List Paragraph Char Char Char,Indicator Text,Numbered Para 1,Bullet 1"/>
    <w:basedOn w:val="Normal"/>
    <w:link w:val="ListParagraphChar"/>
    <w:uiPriority w:val="34"/>
    <w:qFormat/>
    <w:rsid w:val="009937BB"/>
    <w:pPr>
      <w:spacing w:after="120" w:line="240" w:lineRule="auto"/>
      <w:ind w:left="720"/>
      <w:contextualSpacing/>
      <w:jc w:val="both"/>
    </w:pPr>
    <w:rPr>
      <w:rFonts w:ascii="Calibri" w:eastAsia="MS Mincho" w:hAnsi="Calibri" w:cs="Arial"/>
      <w:sz w:val="20"/>
      <w:szCs w:val="24"/>
      <w:lang w:val="en-GB"/>
    </w:rPr>
  </w:style>
  <w:style w:type="character" w:customStyle="1" w:styleId="ListParagraphChar">
    <w:name w:val="List Paragraph Char"/>
    <w:aliases w:val="Bullets Char,List Paragraph1 Char,List Paragraph (numbered (a)) Char,Akapit z listą BS Char,WB Para Char,List Paragraph2 Char,Lapis Bulleted List Char,Dot pt Char,F5 List Paragraph Char,No Spacing1 Char,Indicator Text Char"/>
    <w:link w:val="ListParagraph"/>
    <w:uiPriority w:val="34"/>
    <w:rsid w:val="009937BB"/>
    <w:rPr>
      <w:rFonts w:ascii="Calibri" w:eastAsia="MS Mincho" w:hAnsi="Calibri" w:cs="Arial"/>
      <w:sz w:val="20"/>
      <w:lang w:val="en-GB"/>
    </w:rPr>
  </w:style>
  <w:style w:type="paragraph" w:customStyle="1" w:styleId="Default">
    <w:name w:val="Default"/>
    <w:rsid w:val="00AD3E6A"/>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C15B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handbook/documents/templates/Independent-Evaluation-Management-respons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63F246-F3AC-4EF0-B107-D65C0F33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UNDP-GEF</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Ullrich</dc:creator>
  <cp:keywords/>
  <dc:description/>
  <cp:lastModifiedBy>UNDP-Diana</cp:lastModifiedBy>
  <cp:revision>2</cp:revision>
  <dcterms:created xsi:type="dcterms:W3CDTF">2018-09-03T13:17:00Z</dcterms:created>
  <dcterms:modified xsi:type="dcterms:W3CDTF">2018-09-03T13:17:00Z</dcterms:modified>
</cp:coreProperties>
</file>