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92250" w14:textId="04DAAEF7" w:rsidR="00D66F55" w:rsidRPr="00BE7FD4" w:rsidRDefault="00D66F55" w:rsidP="00307816">
      <w:pPr>
        <w:pStyle w:val="Heading2"/>
        <w:rPr>
          <w:sz w:val="60"/>
          <w:szCs w:val="60"/>
        </w:rPr>
      </w:pPr>
      <w:bookmarkStart w:id="0" w:name="_Toc389221723"/>
      <w:bookmarkStart w:id="1" w:name="_GoBack"/>
      <w:bookmarkEnd w:id="1"/>
      <w:r>
        <w:rPr>
          <w:rFonts w:cs="Arial"/>
          <w:sz w:val="60"/>
          <w:szCs w:val="60"/>
        </w:rPr>
        <w:t xml:space="preserve">UNDP-GEF MTR </w:t>
      </w:r>
      <w:r w:rsidRPr="00BE7FD4">
        <w:rPr>
          <w:rFonts w:cs="Arial"/>
          <w:sz w:val="60"/>
          <w:szCs w:val="60"/>
        </w:rPr>
        <w:t xml:space="preserve">Management Response </w:t>
      </w:r>
      <w:bookmarkEnd w:id="0"/>
    </w:p>
    <w:p w14:paraId="22964EA6" w14:textId="77777777" w:rsidR="00D66F55" w:rsidRPr="005711D7" w:rsidRDefault="00D66F55" w:rsidP="00307816">
      <w:pPr>
        <w:widowControl w:val="0"/>
        <w:autoSpaceDE w:val="0"/>
        <w:autoSpaceDN w:val="0"/>
        <w:adjustRightInd w:val="0"/>
        <w:spacing w:after="0" w:line="240" w:lineRule="auto"/>
        <w:rPr>
          <w:rFonts w:ascii="Garamond" w:hAnsi="Garamond"/>
          <w:sz w:val="20"/>
          <w:szCs w:val="20"/>
        </w:rPr>
      </w:pPr>
    </w:p>
    <w:p w14:paraId="7B540C3F" w14:textId="77777777" w:rsidR="00D66F55" w:rsidRDefault="00D66F55" w:rsidP="00307816">
      <w:pPr>
        <w:widowControl w:val="0"/>
        <w:autoSpaceDE w:val="0"/>
        <w:autoSpaceDN w:val="0"/>
        <w:adjustRightInd w:val="0"/>
        <w:spacing w:after="0" w:line="240" w:lineRule="auto"/>
        <w:rPr>
          <w:rFonts w:ascii="Garamond" w:hAnsi="Garamond"/>
          <w:sz w:val="20"/>
          <w:szCs w:val="20"/>
        </w:rPr>
      </w:pPr>
    </w:p>
    <w:p w14:paraId="6266B3D6" w14:textId="7C256DE5" w:rsidR="00D66F55" w:rsidRPr="004864CC" w:rsidRDefault="00D66F55" w:rsidP="00307816">
      <w:pPr>
        <w:spacing w:after="0" w:line="240" w:lineRule="auto"/>
        <w:rPr>
          <w:rFonts w:ascii="Garamond" w:hAnsi="Garamond"/>
          <w:b/>
          <w:i/>
          <w:sz w:val="32"/>
          <w:szCs w:val="32"/>
        </w:rPr>
      </w:pPr>
      <w:r w:rsidRPr="004864CC">
        <w:rPr>
          <w:rFonts w:ascii="Garamond" w:hAnsi="Garamond"/>
          <w:b/>
          <w:sz w:val="32"/>
          <w:szCs w:val="32"/>
        </w:rPr>
        <w:t>Management response to the Midterm Review of (</w:t>
      </w:r>
      <w:r w:rsidR="00491A1A">
        <w:rPr>
          <w:sz w:val="28"/>
        </w:rPr>
        <w:t>UNDP-supported GEF-financed</w:t>
      </w:r>
      <w:r w:rsidR="00491A1A" w:rsidRPr="007E0664" w:rsidDel="00A74823">
        <w:rPr>
          <w:sz w:val="28"/>
        </w:rPr>
        <w:t xml:space="preserve"> </w:t>
      </w:r>
      <w:r w:rsidR="00491A1A" w:rsidRPr="00491A1A">
        <w:rPr>
          <w:sz w:val="28"/>
          <w:szCs w:val="28"/>
        </w:rPr>
        <w:t>“Green Urban project Lighting – Armenia”</w:t>
      </w:r>
      <w:r w:rsidR="00491A1A">
        <w:rPr>
          <w:sz w:val="28"/>
          <w:szCs w:val="28"/>
        </w:rPr>
        <w:t xml:space="preserve"> Project</w:t>
      </w:r>
      <w:r w:rsidRPr="004864CC">
        <w:rPr>
          <w:rFonts w:ascii="Garamond" w:hAnsi="Garamond"/>
          <w:b/>
          <w:i/>
          <w:sz w:val="32"/>
          <w:szCs w:val="32"/>
        </w:rPr>
        <w:t>)</w:t>
      </w:r>
      <w:r w:rsidRPr="004864CC">
        <w:rPr>
          <w:rStyle w:val="FootnoteReference"/>
          <w:rFonts w:ascii="Garamond" w:hAnsi="Garamond"/>
          <w:b/>
          <w:sz w:val="32"/>
          <w:szCs w:val="32"/>
        </w:rPr>
        <w:footnoteReference w:id="1"/>
      </w:r>
    </w:p>
    <w:p w14:paraId="190E08C3" w14:textId="77777777" w:rsidR="00D66F55" w:rsidRPr="006353F4" w:rsidRDefault="00D66F55" w:rsidP="00307816">
      <w:pPr>
        <w:spacing w:after="0" w:line="240" w:lineRule="auto"/>
        <w:rPr>
          <w:lang w:val="en-GB"/>
        </w:rPr>
      </w:pPr>
    </w:p>
    <w:p w14:paraId="4A72E985" w14:textId="306EA257" w:rsidR="00D66F55" w:rsidRPr="00F8121E" w:rsidRDefault="00D66F55" w:rsidP="00307816">
      <w:pPr>
        <w:widowControl w:val="0"/>
        <w:autoSpaceDE w:val="0"/>
        <w:autoSpaceDN w:val="0"/>
        <w:adjustRightInd w:val="0"/>
        <w:spacing w:after="0" w:line="240" w:lineRule="auto"/>
        <w:rPr>
          <w:rFonts w:ascii="Garamond" w:hAnsi="Garamond"/>
        </w:rPr>
      </w:pPr>
      <w:r w:rsidRPr="00F8121E">
        <w:rPr>
          <w:rFonts w:ascii="Garamond" w:hAnsi="Garamond"/>
        </w:rPr>
        <w:t xml:space="preserve">Project Title: </w:t>
      </w:r>
      <w:r w:rsidR="008E70F6" w:rsidRPr="00F8121E">
        <w:rPr>
          <w:sz w:val="28"/>
          <w:szCs w:val="28"/>
        </w:rPr>
        <w:t>“Green Urban project Lighting – Armenia”</w:t>
      </w:r>
    </w:p>
    <w:p w14:paraId="35757480" w14:textId="77777777" w:rsidR="00D66F55" w:rsidRPr="00F8121E" w:rsidRDefault="00D66F55" w:rsidP="00307816">
      <w:pPr>
        <w:widowControl w:val="0"/>
        <w:autoSpaceDE w:val="0"/>
        <w:autoSpaceDN w:val="0"/>
        <w:adjustRightInd w:val="0"/>
        <w:spacing w:after="0" w:line="240" w:lineRule="auto"/>
        <w:rPr>
          <w:rFonts w:ascii="Garamond" w:hAnsi="Garamond"/>
        </w:rPr>
      </w:pPr>
      <w:r w:rsidRPr="00F8121E">
        <w:rPr>
          <w:rFonts w:ascii="Garamond" w:hAnsi="Garamond"/>
        </w:rPr>
        <w:t>UNDP Project ID (PIMS) #:</w:t>
      </w:r>
    </w:p>
    <w:p w14:paraId="76031C87" w14:textId="0BF6A1E2" w:rsidR="00D66F55" w:rsidRPr="00F8121E" w:rsidRDefault="00D66F55" w:rsidP="00307816">
      <w:pPr>
        <w:widowControl w:val="0"/>
        <w:autoSpaceDE w:val="0"/>
        <w:autoSpaceDN w:val="0"/>
        <w:adjustRightInd w:val="0"/>
        <w:spacing w:after="0" w:line="240" w:lineRule="auto"/>
        <w:rPr>
          <w:rFonts w:ascii="Garamond" w:hAnsi="Garamond"/>
        </w:rPr>
      </w:pPr>
      <w:r w:rsidRPr="00F8121E">
        <w:rPr>
          <w:rFonts w:ascii="Garamond" w:hAnsi="Garamond"/>
        </w:rPr>
        <w:t xml:space="preserve">GEF Project ID (PMIS) #: </w:t>
      </w:r>
      <w:r w:rsidR="00491A1A" w:rsidRPr="00F8121E">
        <w:t>PIMS 4669</w:t>
      </w:r>
    </w:p>
    <w:p w14:paraId="706A5290" w14:textId="5013DB49" w:rsidR="00D66F55" w:rsidRPr="00F8121E" w:rsidRDefault="00D66F55" w:rsidP="00307816">
      <w:pPr>
        <w:widowControl w:val="0"/>
        <w:autoSpaceDE w:val="0"/>
        <w:autoSpaceDN w:val="0"/>
        <w:adjustRightInd w:val="0"/>
        <w:spacing w:after="0" w:line="240" w:lineRule="auto"/>
        <w:rPr>
          <w:rFonts w:ascii="Garamond" w:hAnsi="Garamond"/>
        </w:rPr>
      </w:pPr>
      <w:r w:rsidRPr="00F8121E">
        <w:rPr>
          <w:rFonts w:ascii="Garamond" w:hAnsi="Garamond"/>
        </w:rPr>
        <w:t>Midterm Review Mission Completion Date:</w:t>
      </w:r>
      <w:r w:rsidR="00015FDF" w:rsidRPr="00F8121E">
        <w:rPr>
          <w:rFonts w:ascii="Garamond" w:hAnsi="Garamond"/>
        </w:rPr>
        <w:t xml:space="preserve">  25 May, 2016</w:t>
      </w:r>
      <w:r w:rsidRPr="00F8121E">
        <w:rPr>
          <w:rFonts w:ascii="Garamond" w:hAnsi="Garamond"/>
        </w:rPr>
        <w:t xml:space="preserve"> </w:t>
      </w:r>
    </w:p>
    <w:p w14:paraId="39EE5154" w14:textId="24D06ECA" w:rsidR="00D66F55" w:rsidRPr="00F8121E" w:rsidRDefault="00D66F55" w:rsidP="00307816">
      <w:pPr>
        <w:widowControl w:val="0"/>
        <w:autoSpaceDE w:val="0"/>
        <w:autoSpaceDN w:val="0"/>
        <w:adjustRightInd w:val="0"/>
        <w:spacing w:after="0" w:line="240" w:lineRule="auto"/>
        <w:rPr>
          <w:rFonts w:ascii="Garamond" w:hAnsi="Garamond"/>
        </w:rPr>
      </w:pPr>
      <w:r w:rsidRPr="00F8121E">
        <w:rPr>
          <w:rFonts w:ascii="Garamond" w:hAnsi="Garamond"/>
        </w:rPr>
        <w:t xml:space="preserve">Date of Issue of Management Response: </w:t>
      </w:r>
      <w:r w:rsidR="00015FDF" w:rsidRPr="00F8121E">
        <w:rPr>
          <w:rFonts w:ascii="Garamond" w:hAnsi="Garamond"/>
        </w:rPr>
        <w:t>12 July, 2016</w:t>
      </w:r>
    </w:p>
    <w:p w14:paraId="06B2D677" w14:textId="77777777" w:rsidR="00D66F55" w:rsidRPr="00F8121E" w:rsidRDefault="00D66F55" w:rsidP="00307816">
      <w:pPr>
        <w:widowControl w:val="0"/>
        <w:autoSpaceDE w:val="0"/>
        <w:autoSpaceDN w:val="0"/>
        <w:adjustRightInd w:val="0"/>
        <w:spacing w:after="0" w:line="240" w:lineRule="auto"/>
        <w:rPr>
          <w:rFonts w:ascii="Garamond" w:hAnsi="Garamond"/>
        </w:rPr>
      </w:pPr>
    </w:p>
    <w:p w14:paraId="15DA49A2" w14:textId="1B55EBE7" w:rsidR="00D66F55" w:rsidRPr="00F8121E" w:rsidRDefault="00D66F55" w:rsidP="00307816">
      <w:pPr>
        <w:tabs>
          <w:tab w:val="left" w:pos="2880"/>
        </w:tabs>
        <w:spacing w:after="0" w:line="240" w:lineRule="auto"/>
        <w:ind w:left="2880" w:hanging="2880"/>
        <w:rPr>
          <w:rFonts w:ascii="Garamond" w:hAnsi="Garamond"/>
          <w:i/>
        </w:rPr>
      </w:pPr>
      <w:r w:rsidRPr="00F8121E">
        <w:rPr>
          <w:rFonts w:ascii="Garamond" w:hAnsi="Garamond"/>
        </w:rPr>
        <w:t xml:space="preserve">Prepared by: </w:t>
      </w:r>
      <w:r w:rsidRPr="00F8121E">
        <w:rPr>
          <w:rFonts w:ascii="Garamond" w:hAnsi="Garamond"/>
        </w:rPr>
        <w:tab/>
      </w:r>
      <w:r w:rsidR="00015FDF" w:rsidRPr="00F8121E">
        <w:rPr>
          <w:rFonts w:ascii="Garamond" w:hAnsi="Garamond"/>
          <w:i/>
        </w:rPr>
        <w:t>Climate Change Programme Manager</w:t>
      </w:r>
    </w:p>
    <w:p w14:paraId="72477A61" w14:textId="77777777" w:rsidR="00D66F55" w:rsidRPr="00F8121E" w:rsidRDefault="00D66F55" w:rsidP="00307816">
      <w:pPr>
        <w:tabs>
          <w:tab w:val="left" w:pos="2880"/>
        </w:tabs>
        <w:spacing w:after="0" w:line="240" w:lineRule="auto"/>
        <w:ind w:left="2880" w:hanging="2880"/>
        <w:rPr>
          <w:rFonts w:ascii="Garamond" w:hAnsi="Garamond"/>
          <w:i/>
        </w:rPr>
      </w:pPr>
      <w:r w:rsidRPr="00F8121E">
        <w:rPr>
          <w:rFonts w:ascii="Garamond" w:hAnsi="Garamond"/>
        </w:rPr>
        <w:t xml:space="preserve">Contributors: </w:t>
      </w:r>
      <w:r w:rsidRPr="00F8121E">
        <w:rPr>
          <w:rFonts w:ascii="Garamond" w:hAnsi="Garamond"/>
        </w:rPr>
        <w:tab/>
      </w:r>
      <w:r w:rsidRPr="00F8121E">
        <w:rPr>
          <w:rFonts w:ascii="Garamond" w:hAnsi="Garamond"/>
          <w:i/>
        </w:rPr>
        <w:t>For example, the UNDP-GEF RTA, the MTR team, the Project Board</w:t>
      </w:r>
    </w:p>
    <w:p w14:paraId="3B2ED3B9" w14:textId="77777777" w:rsidR="00D66F55" w:rsidRPr="00060E35" w:rsidRDefault="00D66F55" w:rsidP="00307816">
      <w:pPr>
        <w:tabs>
          <w:tab w:val="left" w:pos="2880"/>
        </w:tabs>
        <w:spacing w:after="0" w:line="240" w:lineRule="auto"/>
        <w:ind w:left="2880" w:hanging="2880"/>
        <w:rPr>
          <w:rFonts w:ascii="Garamond" w:hAnsi="Garamond"/>
          <w:i/>
        </w:rPr>
      </w:pPr>
      <w:r w:rsidRPr="00F8121E">
        <w:rPr>
          <w:rFonts w:ascii="Garamond" w:hAnsi="Garamond"/>
        </w:rPr>
        <w:t xml:space="preserve">Cleared by: </w:t>
      </w:r>
      <w:r w:rsidRPr="00F8121E">
        <w:rPr>
          <w:rFonts w:ascii="Garamond" w:hAnsi="Garamond"/>
        </w:rPr>
        <w:tab/>
      </w:r>
      <w:proofErr w:type="gramStart"/>
      <w:r w:rsidRPr="00F8121E">
        <w:rPr>
          <w:rFonts w:ascii="Garamond" w:hAnsi="Garamond"/>
          <w:i/>
        </w:rPr>
        <w:t>The  Commissioning</w:t>
      </w:r>
      <w:proofErr w:type="gramEnd"/>
      <w:r w:rsidRPr="00F8121E">
        <w:rPr>
          <w:rFonts w:ascii="Garamond" w:hAnsi="Garamond"/>
          <w:i/>
        </w:rPr>
        <w:t xml:space="preserve"> Unit, UNDP-GEF RTA, Project Board</w:t>
      </w:r>
    </w:p>
    <w:p w14:paraId="72E31AB3" w14:textId="77777777" w:rsidR="00FC2DBD" w:rsidRDefault="00FC2DBD" w:rsidP="00307816">
      <w:pPr>
        <w:pStyle w:val="SingleTxt"/>
        <w:tabs>
          <w:tab w:val="left" w:pos="1080"/>
          <w:tab w:val="left" w:pos="1620"/>
        </w:tabs>
        <w:spacing w:after="0" w:line="240" w:lineRule="auto"/>
        <w:ind w:left="0"/>
        <w:rPr>
          <w:rFonts w:ascii="Garamond" w:hAnsi="Garamond"/>
          <w:b/>
          <w:sz w:val="32"/>
          <w:szCs w:val="32"/>
        </w:rPr>
      </w:pPr>
    </w:p>
    <w:p w14:paraId="0E7D3D0C" w14:textId="77777777" w:rsidR="00D66F55" w:rsidRPr="00F02A8A" w:rsidRDefault="00D66F55" w:rsidP="00307816">
      <w:pPr>
        <w:pStyle w:val="SingleTxt"/>
        <w:tabs>
          <w:tab w:val="left" w:pos="1080"/>
          <w:tab w:val="left" w:pos="1620"/>
        </w:tabs>
        <w:spacing w:after="0" w:line="240" w:lineRule="auto"/>
        <w:ind w:left="0"/>
        <w:rPr>
          <w:rFonts w:ascii="Garamond" w:hAnsi="Garamond"/>
          <w:b/>
          <w:sz w:val="32"/>
          <w:szCs w:val="32"/>
        </w:rPr>
      </w:pPr>
      <w:r w:rsidRPr="00F02A8A">
        <w:rPr>
          <w:rFonts w:ascii="Garamond" w:hAnsi="Garamond"/>
          <w:b/>
          <w:sz w:val="32"/>
          <w:szCs w:val="32"/>
        </w:rPr>
        <w:t>Context, background and findings</w:t>
      </w:r>
    </w:p>
    <w:p w14:paraId="759BAADB" w14:textId="77777777" w:rsidR="00D66F55" w:rsidRDefault="00D66F55" w:rsidP="00307816">
      <w:pPr>
        <w:pStyle w:val="SingleTxt"/>
        <w:tabs>
          <w:tab w:val="left" w:pos="1080"/>
          <w:tab w:val="left" w:pos="1620"/>
        </w:tabs>
        <w:spacing w:after="0" w:line="240" w:lineRule="auto"/>
        <w:ind w:left="0"/>
        <w:rPr>
          <w:rFonts w:ascii="Garamond" w:hAnsi="Garamond"/>
          <w:sz w:val="22"/>
          <w:szCs w:val="22"/>
        </w:rPr>
      </w:pPr>
    </w:p>
    <w:p w14:paraId="4BD35E91" w14:textId="4E28E0F7" w:rsidR="00270198" w:rsidRPr="00270198" w:rsidRDefault="00270198" w:rsidP="00270198">
      <w:pPr>
        <w:pStyle w:val="SingleTxt"/>
        <w:numPr>
          <w:ilvl w:val="0"/>
          <w:numId w:val="8"/>
        </w:numPr>
        <w:tabs>
          <w:tab w:val="left" w:pos="1080"/>
          <w:tab w:val="left" w:pos="1620"/>
        </w:tabs>
        <w:spacing w:after="0" w:line="240" w:lineRule="auto"/>
        <w:rPr>
          <w:rFonts w:ascii="Garamond" w:hAnsi="Garamond"/>
          <w:sz w:val="22"/>
          <w:szCs w:val="22"/>
        </w:rPr>
      </w:pPr>
      <w:r w:rsidRPr="00270198">
        <w:rPr>
          <w:rFonts w:ascii="Garamond" w:hAnsi="Garamond"/>
          <w:sz w:val="22"/>
          <w:szCs w:val="22"/>
        </w:rPr>
        <w:t>The recommendations and evaluation are set proper to the context and status of the outputs of the project in its 3</w:t>
      </w:r>
      <w:r w:rsidRPr="00270198">
        <w:rPr>
          <w:rFonts w:ascii="Garamond" w:hAnsi="Garamond"/>
          <w:sz w:val="22"/>
          <w:szCs w:val="22"/>
          <w:vertAlign w:val="superscript"/>
        </w:rPr>
        <w:t>rd</w:t>
      </w:r>
      <w:r w:rsidRPr="00270198">
        <w:rPr>
          <w:rFonts w:ascii="Garamond" w:hAnsi="Garamond"/>
          <w:sz w:val="22"/>
          <w:szCs w:val="22"/>
        </w:rPr>
        <w:t xml:space="preserve"> year of implementation and will guide the team in addressing the identified shortcomings.</w:t>
      </w:r>
    </w:p>
    <w:p w14:paraId="657FD0F6" w14:textId="77777777" w:rsidR="00D66F55" w:rsidRDefault="00D66F55" w:rsidP="00307816">
      <w:pPr>
        <w:pStyle w:val="HCh"/>
        <w:spacing w:line="240" w:lineRule="auto"/>
        <w:rPr>
          <w:rFonts w:ascii="Garamond" w:hAnsi="Garamond"/>
          <w:sz w:val="32"/>
          <w:szCs w:val="32"/>
        </w:rPr>
      </w:pPr>
    </w:p>
    <w:p w14:paraId="73804807" w14:textId="77777777" w:rsidR="00D66F55" w:rsidRPr="004864CC" w:rsidRDefault="00D66F55" w:rsidP="00307816">
      <w:pPr>
        <w:spacing w:after="0" w:line="240" w:lineRule="auto"/>
        <w:rPr>
          <w:rFonts w:ascii="Garamond" w:hAnsi="Garamond"/>
          <w:b/>
          <w:sz w:val="32"/>
          <w:szCs w:val="32"/>
        </w:rPr>
      </w:pPr>
      <w:r w:rsidRPr="004864CC">
        <w:rPr>
          <w:rFonts w:ascii="Garamond" w:hAnsi="Garamond"/>
          <w:b/>
          <w:sz w:val="32"/>
          <w:szCs w:val="32"/>
        </w:rPr>
        <w:t>Recommendations and management response</w:t>
      </w:r>
    </w:p>
    <w:tbl>
      <w:tblPr>
        <w:tblW w:w="9781"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403"/>
        <w:gridCol w:w="1638"/>
        <w:gridCol w:w="155"/>
        <w:gridCol w:w="1325"/>
        <w:gridCol w:w="2078"/>
        <w:gridCol w:w="1182"/>
      </w:tblGrid>
      <w:tr w:rsidR="00D66F55" w:rsidRPr="00F02A8A" w14:paraId="20B0235D" w14:textId="77777777" w:rsidTr="00E364DC">
        <w:trPr>
          <w:trHeight w:val="242"/>
        </w:trPr>
        <w:tc>
          <w:tcPr>
            <w:tcW w:w="9781" w:type="dxa"/>
            <w:gridSpan w:val="6"/>
            <w:shd w:val="clear" w:color="auto" w:fill="F3F3F3"/>
          </w:tcPr>
          <w:p w14:paraId="77F45FA5" w14:textId="2851ECFD" w:rsidR="00505B94" w:rsidRPr="00307816" w:rsidRDefault="00D66F55" w:rsidP="00307816">
            <w:pPr>
              <w:spacing w:after="0" w:line="240" w:lineRule="auto"/>
              <w:rPr>
                <w:rFonts w:ascii="Garamond" w:hAnsi="Garamond"/>
                <w:b/>
                <w:i/>
                <w:u w:val="single"/>
              </w:rPr>
            </w:pPr>
            <w:r w:rsidRPr="00307816">
              <w:rPr>
                <w:rFonts w:ascii="Garamond" w:hAnsi="Garamond"/>
                <w:b/>
                <w:i/>
                <w:u w:val="single"/>
              </w:rPr>
              <w:t>Midterm Review recommendation</w:t>
            </w:r>
            <w:r w:rsidR="005D6CFB" w:rsidRPr="00307816">
              <w:rPr>
                <w:rFonts w:ascii="Garamond" w:hAnsi="Garamond"/>
                <w:b/>
                <w:i/>
                <w:u w:val="single"/>
              </w:rPr>
              <w:t xml:space="preserve"> </w:t>
            </w:r>
            <w:r w:rsidR="00505B94" w:rsidRPr="00307816">
              <w:rPr>
                <w:rFonts w:ascii="Garamond" w:hAnsi="Garamond"/>
                <w:b/>
                <w:i/>
                <w:u w:val="single"/>
              </w:rPr>
              <w:t>1.</w:t>
            </w:r>
          </w:p>
          <w:p w14:paraId="5C91C5BE" w14:textId="69FD6CCA" w:rsidR="009937BB" w:rsidRPr="00307816" w:rsidRDefault="00D66F55" w:rsidP="00307816">
            <w:pPr>
              <w:spacing w:after="0" w:line="240" w:lineRule="auto"/>
              <w:rPr>
                <w:rFonts w:ascii="Garamond" w:hAnsi="Garamond"/>
                <w:b/>
              </w:rPr>
            </w:pPr>
            <w:r w:rsidRPr="00307816">
              <w:rPr>
                <w:rFonts w:ascii="Garamond" w:hAnsi="Garamond"/>
                <w:b/>
              </w:rPr>
              <w:t xml:space="preserve"> </w:t>
            </w:r>
            <w:r w:rsidR="009937BB" w:rsidRPr="00307816">
              <w:rPr>
                <w:rFonts w:ascii="Garamond" w:hAnsi="Garamond"/>
                <w:b/>
              </w:rPr>
              <w:t>Legislation framework is improving, but focus is needed to achieve adoptions of new standards and rules for green public procurement to support the market penetration of EE lighting.</w:t>
            </w:r>
          </w:p>
          <w:p w14:paraId="23497A9B" w14:textId="77777777" w:rsidR="00307816" w:rsidRPr="00AF13F6" w:rsidRDefault="00307816" w:rsidP="00307816">
            <w:pPr>
              <w:spacing w:after="0" w:line="240" w:lineRule="auto"/>
              <w:rPr>
                <w:b/>
                <w:bCs/>
                <w:sz w:val="20"/>
                <w:szCs w:val="20"/>
              </w:rPr>
            </w:pPr>
          </w:p>
          <w:p w14:paraId="5F5BEF2D" w14:textId="77777777" w:rsidR="009937BB" w:rsidRPr="00505B94" w:rsidRDefault="009937BB" w:rsidP="00307816">
            <w:pPr>
              <w:pStyle w:val="ListParagraph"/>
              <w:numPr>
                <w:ilvl w:val="0"/>
                <w:numId w:val="6"/>
              </w:numPr>
              <w:spacing w:after="0"/>
              <w:ind w:left="1055"/>
              <w:rPr>
                <w:szCs w:val="20"/>
              </w:rPr>
            </w:pPr>
            <w:r w:rsidRPr="00505B94">
              <w:rPr>
                <w:szCs w:val="20"/>
              </w:rPr>
              <w:t>The development of a national phase-out policy for incandescent and other inefficient lighting fixtures will be a key milestone to make a shift towards EE lighting on the Armenian market happen. Project shall therefore keep track and support the government in developing the strategy.</w:t>
            </w:r>
          </w:p>
          <w:p w14:paraId="64F3736D" w14:textId="77777777" w:rsidR="009937BB" w:rsidRPr="00505B94" w:rsidRDefault="009937BB" w:rsidP="00307816">
            <w:pPr>
              <w:pStyle w:val="ListParagraph"/>
              <w:numPr>
                <w:ilvl w:val="0"/>
                <w:numId w:val="6"/>
              </w:numPr>
              <w:spacing w:after="0"/>
              <w:ind w:left="1055"/>
              <w:rPr>
                <w:szCs w:val="20"/>
              </w:rPr>
            </w:pPr>
            <w:r w:rsidRPr="00505B94">
              <w:rPr>
                <w:szCs w:val="20"/>
              </w:rPr>
              <w:t>The Russian Standard for Illumination from 2011, which is to be updated in 2016, is one of the tracks to be followed up and considered for possible adaptation/adoption in Armenia.</w:t>
            </w:r>
          </w:p>
          <w:p w14:paraId="74F4EAF4" w14:textId="7A90E260" w:rsidR="00505B94" w:rsidRDefault="009937BB" w:rsidP="00307816">
            <w:pPr>
              <w:pStyle w:val="ListParagraph"/>
              <w:numPr>
                <w:ilvl w:val="0"/>
                <w:numId w:val="6"/>
              </w:numPr>
              <w:spacing w:after="0"/>
              <w:ind w:left="1055"/>
              <w:rPr>
                <w:szCs w:val="20"/>
              </w:rPr>
            </w:pPr>
            <w:r w:rsidRPr="00505B94">
              <w:rPr>
                <w:szCs w:val="20"/>
              </w:rPr>
              <w:t>Project shall further take into account the required quality control and affordability constraints</w:t>
            </w:r>
            <w:r w:rsidR="00307816">
              <w:rPr>
                <w:szCs w:val="20"/>
              </w:rPr>
              <w:t>,</w:t>
            </w:r>
            <w:r w:rsidRPr="00505B94">
              <w:rPr>
                <w:szCs w:val="20"/>
              </w:rPr>
              <w:t xml:space="preserve"> and elaborate measures and policies, such as adequate quality control and social support schemes, by building on the experiences and lessons learned from other countries.</w:t>
            </w:r>
          </w:p>
          <w:p w14:paraId="1B582C81" w14:textId="72E67817" w:rsidR="00D66F55" w:rsidRPr="00505B94" w:rsidRDefault="009937BB" w:rsidP="00307816">
            <w:pPr>
              <w:pStyle w:val="ListParagraph"/>
              <w:numPr>
                <w:ilvl w:val="0"/>
                <w:numId w:val="6"/>
              </w:numPr>
              <w:spacing w:after="0"/>
              <w:ind w:left="1055"/>
              <w:rPr>
                <w:szCs w:val="20"/>
              </w:rPr>
            </w:pPr>
            <w:r w:rsidRPr="00505B94">
              <w:rPr>
                <w:szCs w:val="20"/>
              </w:rPr>
              <w:t xml:space="preserve">Regarding adoption of new rules for procurement of energy efficient lighting, experiences from similar work done in other countries shall be incorporated into the Armenian case. </w:t>
            </w:r>
          </w:p>
        </w:tc>
      </w:tr>
      <w:tr w:rsidR="00D66F55" w:rsidRPr="00F02A8A" w14:paraId="39046EEB" w14:textId="77777777" w:rsidTr="00E364DC">
        <w:trPr>
          <w:trHeight w:val="210"/>
        </w:trPr>
        <w:tc>
          <w:tcPr>
            <w:tcW w:w="9781" w:type="dxa"/>
            <w:gridSpan w:val="6"/>
            <w:shd w:val="clear" w:color="auto" w:fill="F3F3F3"/>
          </w:tcPr>
          <w:p w14:paraId="204959BD" w14:textId="421405A2" w:rsidR="00D66F55" w:rsidRPr="00F02A8A" w:rsidRDefault="00D66F55" w:rsidP="00307816">
            <w:pPr>
              <w:tabs>
                <w:tab w:val="left" w:pos="1080"/>
              </w:tabs>
              <w:spacing w:after="0" w:line="240" w:lineRule="auto"/>
              <w:jc w:val="both"/>
              <w:rPr>
                <w:rFonts w:ascii="Garamond" w:hAnsi="Garamond"/>
                <w:sz w:val="20"/>
                <w:szCs w:val="20"/>
              </w:rPr>
            </w:pPr>
            <w:r w:rsidRPr="00F02A8A">
              <w:rPr>
                <w:rFonts w:ascii="Garamond" w:hAnsi="Garamond"/>
                <w:b/>
                <w:sz w:val="20"/>
                <w:szCs w:val="20"/>
              </w:rPr>
              <w:t xml:space="preserve">Management response: </w:t>
            </w:r>
            <w:r w:rsidR="00505B94">
              <w:rPr>
                <w:rFonts w:ascii="Garamond" w:hAnsi="Garamond"/>
                <w:b/>
                <w:sz w:val="20"/>
                <w:szCs w:val="20"/>
              </w:rPr>
              <w:t xml:space="preserve"> </w:t>
            </w:r>
            <w:r w:rsidR="005D6CFB" w:rsidRPr="00307816">
              <w:rPr>
                <w:b/>
                <w:bCs/>
                <w:sz w:val="20"/>
                <w:szCs w:val="20"/>
              </w:rPr>
              <w:t>Identify institutional gaps and legislative drawback to ensure easy adoption of the new</w:t>
            </w:r>
            <w:r w:rsidR="005D6CFB" w:rsidRPr="00307816">
              <w:rPr>
                <w:rFonts w:ascii="Sylfaen" w:hAnsi="Sylfaen"/>
                <w:b/>
                <w:bCs/>
                <w:sz w:val="20"/>
                <w:szCs w:val="20"/>
              </w:rPr>
              <w:t xml:space="preserve"> illumination</w:t>
            </w:r>
            <w:r w:rsidR="005D6CFB" w:rsidRPr="00307816">
              <w:rPr>
                <w:b/>
                <w:bCs/>
                <w:sz w:val="20"/>
                <w:szCs w:val="20"/>
              </w:rPr>
              <w:t xml:space="preserve"> code in Armenia and promote green procurement rules in the municipalities.</w:t>
            </w:r>
          </w:p>
        </w:tc>
      </w:tr>
      <w:tr w:rsidR="00D66F55" w:rsidRPr="00F02A8A" w14:paraId="45D7719A" w14:textId="77777777" w:rsidTr="00E364DC">
        <w:trPr>
          <w:trHeight w:val="228"/>
        </w:trPr>
        <w:tc>
          <w:tcPr>
            <w:tcW w:w="3403" w:type="dxa"/>
            <w:vMerge w:val="restart"/>
            <w:shd w:val="clear" w:color="auto" w:fill="F3F3F3"/>
          </w:tcPr>
          <w:p w14:paraId="7A1FFD3E" w14:textId="77777777" w:rsidR="00D66F55" w:rsidRPr="00F02A8A" w:rsidRDefault="00D66F55" w:rsidP="00307816">
            <w:pPr>
              <w:tabs>
                <w:tab w:val="left" w:pos="1080"/>
              </w:tabs>
              <w:spacing w:after="0" w:line="240" w:lineRule="auto"/>
              <w:jc w:val="center"/>
              <w:rPr>
                <w:rFonts w:ascii="Garamond" w:hAnsi="Garamond"/>
                <w:b/>
                <w:sz w:val="20"/>
                <w:szCs w:val="20"/>
              </w:rPr>
            </w:pPr>
            <w:r w:rsidRPr="00F02A8A">
              <w:rPr>
                <w:rFonts w:ascii="Garamond" w:hAnsi="Garamond"/>
                <w:b/>
                <w:sz w:val="20"/>
                <w:szCs w:val="20"/>
              </w:rPr>
              <w:t>Key action(s)</w:t>
            </w:r>
          </w:p>
        </w:tc>
        <w:tc>
          <w:tcPr>
            <w:tcW w:w="1793" w:type="dxa"/>
            <w:gridSpan w:val="2"/>
            <w:vMerge w:val="restart"/>
            <w:shd w:val="clear" w:color="auto" w:fill="F3F3F3"/>
          </w:tcPr>
          <w:p w14:paraId="3843257D" w14:textId="1FE698DB" w:rsidR="00D66F55" w:rsidRPr="00F02A8A" w:rsidRDefault="00D66F55" w:rsidP="00307816">
            <w:pPr>
              <w:tabs>
                <w:tab w:val="left" w:pos="1080"/>
              </w:tabs>
              <w:spacing w:after="0" w:line="240" w:lineRule="auto"/>
              <w:jc w:val="center"/>
              <w:rPr>
                <w:rFonts w:ascii="Garamond" w:hAnsi="Garamond"/>
                <w:b/>
                <w:sz w:val="20"/>
                <w:szCs w:val="20"/>
              </w:rPr>
            </w:pPr>
            <w:r w:rsidRPr="00F02A8A">
              <w:rPr>
                <w:rFonts w:ascii="Garamond" w:hAnsi="Garamond"/>
                <w:b/>
                <w:sz w:val="20"/>
                <w:szCs w:val="20"/>
              </w:rPr>
              <w:t xml:space="preserve">Time </w:t>
            </w:r>
            <w:r w:rsidRPr="00A33498">
              <w:rPr>
                <w:rFonts w:ascii="Garamond" w:hAnsi="Garamond"/>
                <w:b/>
                <w:sz w:val="20"/>
                <w:szCs w:val="20"/>
              </w:rPr>
              <w:t>frame</w:t>
            </w:r>
            <w:r w:rsidR="00A33498" w:rsidRPr="00A33498">
              <w:rPr>
                <w:rFonts w:ascii="Garamond" w:hAnsi="Garamond"/>
                <w:b/>
                <w:sz w:val="20"/>
                <w:szCs w:val="20"/>
              </w:rPr>
              <w:t xml:space="preserve"> </w:t>
            </w:r>
            <w:r w:rsidR="00A33498" w:rsidRPr="00A33498">
              <w:rPr>
                <w:rFonts w:ascii="Garamond" w:hAnsi="Garamond"/>
                <w:b/>
                <w:sz w:val="20"/>
                <w:szCs w:val="20"/>
              </w:rPr>
              <w:lastRenderedPageBreak/>
              <w:t>[month, year to month, year]</w:t>
            </w:r>
          </w:p>
        </w:tc>
        <w:tc>
          <w:tcPr>
            <w:tcW w:w="1325" w:type="dxa"/>
            <w:vMerge w:val="restart"/>
            <w:shd w:val="clear" w:color="auto" w:fill="F3F3F3"/>
          </w:tcPr>
          <w:p w14:paraId="030210E5" w14:textId="77777777" w:rsidR="00D66F55" w:rsidRPr="00F02A8A" w:rsidRDefault="00D66F55" w:rsidP="00307816">
            <w:pPr>
              <w:tabs>
                <w:tab w:val="left" w:pos="1080"/>
              </w:tabs>
              <w:spacing w:after="0" w:line="240" w:lineRule="auto"/>
              <w:jc w:val="center"/>
              <w:rPr>
                <w:rFonts w:ascii="Garamond" w:hAnsi="Garamond"/>
                <w:b/>
                <w:sz w:val="20"/>
                <w:szCs w:val="20"/>
              </w:rPr>
            </w:pPr>
            <w:r w:rsidRPr="00F02A8A">
              <w:rPr>
                <w:rFonts w:ascii="Garamond" w:hAnsi="Garamond"/>
                <w:b/>
                <w:sz w:val="20"/>
                <w:szCs w:val="20"/>
              </w:rPr>
              <w:lastRenderedPageBreak/>
              <w:t xml:space="preserve">Responsible </w:t>
            </w:r>
            <w:r w:rsidRPr="00F02A8A">
              <w:rPr>
                <w:rFonts w:ascii="Garamond" w:hAnsi="Garamond"/>
                <w:b/>
                <w:sz w:val="20"/>
                <w:szCs w:val="20"/>
              </w:rPr>
              <w:lastRenderedPageBreak/>
              <w:t>unit(s)</w:t>
            </w:r>
          </w:p>
        </w:tc>
        <w:tc>
          <w:tcPr>
            <w:tcW w:w="3260" w:type="dxa"/>
            <w:gridSpan w:val="2"/>
            <w:shd w:val="clear" w:color="auto" w:fill="F3F3F3"/>
          </w:tcPr>
          <w:p w14:paraId="014EC490" w14:textId="77777777" w:rsidR="00D66F55" w:rsidRPr="00F02A8A" w:rsidRDefault="00D66F55" w:rsidP="00307816">
            <w:pPr>
              <w:tabs>
                <w:tab w:val="left" w:pos="1080"/>
              </w:tabs>
              <w:spacing w:after="0" w:line="240" w:lineRule="auto"/>
              <w:jc w:val="center"/>
              <w:rPr>
                <w:rFonts w:ascii="Garamond" w:hAnsi="Garamond"/>
                <w:b/>
                <w:sz w:val="20"/>
                <w:szCs w:val="20"/>
              </w:rPr>
            </w:pPr>
            <w:r w:rsidRPr="00F02A8A">
              <w:rPr>
                <w:rFonts w:ascii="Garamond" w:hAnsi="Garamond"/>
                <w:b/>
                <w:sz w:val="20"/>
                <w:szCs w:val="20"/>
              </w:rPr>
              <w:lastRenderedPageBreak/>
              <w:t>Tracking</w:t>
            </w:r>
            <w:r w:rsidRPr="00F02A8A">
              <w:rPr>
                <w:rStyle w:val="FootnoteReference"/>
                <w:rFonts w:ascii="Garamond" w:hAnsi="Garamond"/>
                <w:b/>
              </w:rPr>
              <w:footnoteReference w:id="2"/>
            </w:r>
          </w:p>
        </w:tc>
      </w:tr>
      <w:tr w:rsidR="00D66F55" w:rsidRPr="00F02A8A" w14:paraId="5FADE7D1" w14:textId="77777777" w:rsidTr="00E364DC">
        <w:trPr>
          <w:trHeight w:val="292"/>
        </w:trPr>
        <w:tc>
          <w:tcPr>
            <w:tcW w:w="3403" w:type="dxa"/>
            <w:vMerge/>
            <w:shd w:val="clear" w:color="auto" w:fill="F3F3F3"/>
          </w:tcPr>
          <w:p w14:paraId="752DEEA3" w14:textId="77777777" w:rsidR="00D66F55" w:rsidRPr="00F02A8A" w:rsidRDefault="00D66F55" w:rsidP="00307816">
            <w:pPr>
              <w:tabs>
                <w:tab w:val="left" w:pos="1080"/>
              </w:tabs>
              <w:spacing w:after="0" w:line="240" w:lineRule="auto"/>
              <w:rPr>
                <w:rFonts w:ascii="Garamond" w:hAnsi="Garamond"/>
                <w:sz w:val="20"/>
                <w:szCs w:val="20"/>
              </w:rPr>
            </w:pPr>
          </w:p>
        </w:tc>
        <w:tc>
          <w:tcPr>
            <w:tcW w:w="1793" w:type="dxa"/>
            <w:gridSpan w:val="2"/>
            <w:vMerge/>
            <w:shd w:val="clear" w:color="auto" w:fill="F3F3F3"/>
          </w:tcPr>
          <w:p w14:paraId="7E28DE2B" w14:textId="77777777" w:rsidR="00D66F55" w:rsidRPr="00F02A8A" w:rsidRDefault="00D66F55" w:rsidP="00307816">
            <w:pPr>
              <w:tabs>
                <w:tab w:val="left" w:pos="1080"/>
              </w:tabs>
              <w:spacing w:after="0" w:line="240" w:lineRule="auto"/>
              <w:rPr>
                <w:rFonts w:ascii="Garamond" w:hAnsi="Garamond"/>
                <w:b/>
                <w:sz w:val="20"/>
                <w:szCs w:val="20"/>
              </w:rPr>
            </w:pPr>
          </w:p>
        </w:tc>
        <w:tc>
          <w:tcPr>
            <w:tcW w:w="1325" w:type="dxa"/>
            <w:vMerge/>
            <w:shd w:val="clear" w:color="auto" w:fill="F3F3F3"/>
          </w:tcPr>
          <w:p w14:paraId="00E01AAD" w14:textId="77777777" w:rsidR="00D66F55" w:rsidRPr="00F02A8A" w:rsidRDefault="00D66F55" w:rsidP="00307816">
            <w:pPr>
              <w:tabs>
                <w:tab w:val="left" w:pos="1080"/>
              </w:tabs>
              <w:spacing w:after="0" w:line="240" w:lineRule="auto"/>
              <w:rPr>
                <w:rFonts w:ascii="Garamond" w:hAnsi="Garamond"/>
                <w:b/>
                <w:sz w:val="20"/>
                <w:szCs w:val="20"/>
              </w:rPr>
            </w:pPr>
          </w:p>
        </w:tc>
        <w:tc>
          <w:tcPr>
            <w:tcW w:w="2078" w:type="dxa"/>
          </w:tcPr>
          <w:p w14:paraId="306C067C" w14:textId="77777777" w:rsidR="00D66F55" w:rsidRPr="00F02A8A" w:rsidRDefault="00D66F55" w:rsidP="00307816">
            <w:pPr>
              <w:tabs>
                <w:tab w:val="left" w:pos="1080"/>
              </w:tabs>
              <w:spacing w:after="0" w:line="240" w:lineRule="auto"/>
              <w:jc w:val="center"/>
              <w:rPr>
                <w:rFonts w:ascii="Garamond" w:hAnsi="Garamond"/>
                <w:b/>
                <w:sz w:val="20"/>
                <w:szCs w:val="20"/>
              </w:rPr>
            </w:pPr>
            <w:r w:rsidRPr="00F02A8A">
              <w:rPr>
                <w:rFonts w:ascii="Garamond" w:hAnsi="Garamond"/>
                <w:b/>
                <w:sz w:val="20"/>
                <w:szCs w:val="20"/>
              </w:rPr>
              <w:t>Comments</w:t>
            </w:r>
          </w:p>
        </w:tc>
        <w:tc>
          <w:tcPr>
            <w:tcW w:w="1182" w:type="dxa"/>
          </w:tcPr>
          <w:p w14:paraId="3B41A042" w14:textId="77777777" w:rsidR="00D66F55" w:rsidRPr="00F02A8A" w:rsidRDefault="00D66F55" w:rsidP="00307816">
            <w:pPr>
              <w:tabs>
                <w:tab w:val="left" w:pos="1080"/>
              </w:tabs>
              <w:spacing w:after="0" w:line="240" w:lineRule="auto"/>
              <w:jc w:val="center"/>
              <w:rPr>
                <w:rFonts w:ascii="Garamond" w:hAnsi="Garamond"/>
                <w:b/>
                <w:sz w:val="20"/>
                <w:szCs w:val="20"/>
              </w:rPr>
            </w:pPr>
            <w:r w:rsidRPr="00F02A8A">
              <w:rPr>
                <w:rFonts w:ascii="Garamond" w:hAnsi="Garamond"/>
                <w:b/>
                <w:sz w:val="20"/>
                <w:szCs w:val="20"/>
              </w:rPr>
              <w:t>Status</w:t>
            </w:r>
            <w:r w:rsidRPr="00F02A8A">
              <w:rPr>
                <w:rStyle w:val="FootnoteReference"/>
                <w:rFonts w:ascii="Garamond" w:hAnsi="Garamond"/>
                <w:b/>
              </w:rPr>
              <w:footnoteReference w:id="3"/>
            </w:r>
          </w:p>
        </w:tc>
      </w:tr>
      <w:tr w:rsidR="00D66F55" w:rsidRPr="00F02A8A" w14:paraId="6521D7BA" w14:textId="77777777" w:rsidTr="00FC2DBD">
        <w:trPr>
          <w:trHeight w:val="1710"/>
        </w:trPr>
        <w:tc>
          <w:tcPr>
            <w:tcW w:w="3403" w:type="dxa"/>
          </w:tcPr>
          <w:p w14:paraId="2DA32B5F" w14:textId="1FCD9A37" w:rsidR="00D66F55" w:rsidRPr="00F02A8A" w:rsidRDefault="00D66F55" w:rsidP="00307816">
            <w:pPr>
              <w:tabs>
                <w:tab w:val="left" w:pos="1080"/>
              </w:tabs>
              <w:spacing w:after="0" w:line="240" w:lineRule="auto"/>
              <w:rPr>
                <w:rFonts w:ascii="Garamond" w:hAnsi="Garamond"/>
                <w:sz w:val="20"/>
                <w:szCs w:val="20"/>
              </w:rPr>
            </w:pPr>
            <w:r w:rsidRPr="00F02A8A">
              <w:rPr>
                <w:rFonts w:ascii="Garamond" w:hAnsi="Garamond"/>
                <w:sz w:val="20"/>
                <w:szCs w:val="20"/>
              </w:rPr>
              <w:t xml:space="preserve">1.1 </w:t>
            </w:r>
            <w:r w:rsidR="00C947AE">
              <w:rPr>
                <w:rFonts w:ascii="Garamond" w:hAnsi="Garamond"/>
                <w:sz w:val="20"/>
                <w:szCs w:val="20"/>
              </w:rPr>
              <w:t>Develop recommendations for</w:t>
            </w:r>
            <w:r w:rsidR="007B0E68">
              <w:rPr>
                <w:rFonts w:ascii="Garamond" w:hAnsi="Garamond"/>
                <w:sz w:val="20"/>
                <w:szCs w:val="20"/>
              </w:rPr>
              <w:t xml:space="preserve"> phase-out of the incandescent</w:t>
            </w:r>
            <w:r w:rsidR="0010687A">
              <w:rPr>
                <w:rFonts w:ascii="Garamond" w:hAnsi="Garamond"/>
                <w:sz w:val="20"/>
                <w:szCs w:val="20"/>
              </w:rPr>
              <w:t xml:space="preserve"> lamps, including the supportive legal framework as well as social impacts, and experience of countries with comparable economic situation and submit it   to the Government.</w:t>
            </w:r>
          </w:p>
        </w:tc>
        <w:tc>
          <w:tcPr>
            <w:tcW w:w="1793" w:type="dxa"/>
            <w:gridSpan w:val="2"/>
          </w:tcPr>
          <w:p w14:paraId="67C3AB4F" w14:textId="53D58B14" w:rsidR="00D66F55" w:rsidRPr="00F02A8A" w:rsidRDefault="00763582" w:rsidP="00307816">
            <w:pPr>
              <w:tabs>
                <w:tab w:val="left" w:pos="1080"/>
              </w:tabs>
              <w:spacing w:after="0" w:line="240" w:lineRule="auto"/>
              <w:rPr>
                <w:rFonts w:ascii="Garamond" w:hAnsi="Garamond"/>
                <w:sz w:val="20"/>
                <w:szCs w:val="20"/>
              </w:rPr>
            </w:pPr>
            <w:r>
              <w:rPr>
                <w:rFonts w:ascii="Garamond" w:hAnsi="Garamond"/>
                <w:sz w:val="20"/>
                <w:szCs w:val="20"/>
              </w:rPr>
              <w:t>February, 2017</w:t>
            </w:r>
          </w:p>
        </w:tc>
        <w:tc>
          <w:tcPr>
            <w:tcW w:w="1325" w:type="dxa"/>
          </w:tcPr>
          <w:p w14:paraId="0977B367" w14:textId="77777777" w:rsidR="00D66F55" w:rsidRDefault="00C947AE" w:rsidP="00307816">
            <w:pPr>
              <w:tabs>
                <w:tab w:val="left" w:pos="1080"/>
              </w:tabs>
              <w:spacing w:after="0" w:line="240" w:lineRule="auto"/>
              <w:rPr>
                <w:rFonts w:ascii="Garamond" w:hAnsi="Garamond"/>
                <w:sz w:val="20"/>
                <w:szCs w:val="20"/>
              </w:rPr>
            </w:pPr>
            <w:r>
              <w:rPr>
                <w:rFonts w:ascii="Garamond" w:hAnsi="Garamond"/>
                <w:sz w:val="20"/>
                <w:szCs w:val="20"/>
              </w:rPr>
              <w:t xml:space="preserve">Project team </w:t>
            </w:r>
          </w:p>
          <w:p w14:paraId="588FE0B2" w14:textId="7DA43BB4" w:rsidR="00C947AE" w:rsidRPr="00F02A8A" w:rsidRDefault="00C947AE" w:rsidP="00307816">
            <w:pPr>
              <w:tabs>
                <w:tab w:val="left" w:pos="1080"/>
              </w:tabs>
              <w:spacing w:after="0" w:line="240" w:lineRule="auto"/>
              <w:rPr>
                <w:rFonts w:ascii="Garamond" w:hAnsi="Garamond"/>
                <w:sz w:val="20"/>
                <w:szCs w:val="20"/>
              </w:rPr>
            </w:pPr>
            <w:r>
              <w:rPr>
                <w:rFonts w:ascii="Garamond" w:hAnsi="Garamond"/>
                <w:sz w:val="20"/>
                <w:szCs w:val="20"/>
              </w:rPr>
              <w:t>Project Board</w:t>
            </w:r>
          </w:p>
        </w:tc>
        <w:tc>
          <w:tcPr>
            <w:tcW w:w="2078" w:type="dxa"/>
          </w:tcPr>
          <w:p w14:paraId="22ABF531" w14:textId="3A350C68" w:rsidR="00C947AE" w:rsidRPr="00F02A8A" w:rsidRDefault="00C947AE" w:rsidP="00307816">
            <w:pPr>
              <w:tabs>
                <w:tab w:val="left" w:pos="1080"/>
              </w:tabs>
              <w:spacing w:after="0" w:line="240" w:lineRule="auto"/>
              <w:rPr>
                <w:rFonts w:ascii="Garamond" w:hAnsi="Garamond"/>
                <w:sz w:val="20"/>
                <w:szCs w:val="20"/>
              </w:rPr>
            </w:pPr>
            <w:r>
              <w:rPr>
                <w:rFonts w:ascii="Garamond" w:hAnsi="Garamond"/>
                <w:sz w:val="20"/>
                <w:szCs w:val="20"/>
              </w:rPr>
              <w:t>The amendments to the Law on RE and EE of Armenia was adopted in May 2016, it can help in promoting the new decision on phase-out</w:t>
            </w:r>
          </w:p>
        </w:tc>
        <w:tc>
          <w:tcPr>
            <w:tcW w:w="1182" w:type="dxa"/>
          </w:tcPr>
          <w:p w14:paraId="39EA1B30" w14:textId="4F46D807" w:rsidR="00D66F55" w:rsidRPr="00F02A8A" w:rsidRDefault="00C947AE" w:rsidP="00307816">
            <w:pPr>
              <w:tabs>
                <w:tab w:val="left" w:pos="1080"/>
              </w:tabs>
              <w:spacing w:after="0" w:line="240" w:lineRule="auto"/>
              <w:rPr>
                <w:rFonts w:ascii="Garamond" w:hAnsi="Garamond"/>
                <w:sz w:val="20"/>
                <w:szCs w:val="20"/>
              </w:rPr>
            </w:pPr>
            <w:r w:rsidRPr="00C947AE">
              <w:rPr>
                <w:rFonts w:ascii="Garamond" w:hAnsi="Garamond"/>
                <w:sz w:val="20"/>
                <w:szCs w:val="20"/>
              </w:rPr>
              <w:t>Work in progress</w:t>
            </w:r>
          </w:p>
        </w:tc>
      </w:tr>
      <w:tr w:rsidR="00D66F55" w:rsidRPr="002A681B" w14:paraId="2F9C83EE" w14:textId="77777777" w:rsidTr="00E364DC">
        <w:tc>
          <w:tcPr>
            <w:tcW w:w="3403" w:type="dxa"/>
          </w:tcPr>
          <w:p w14:paraId="5E5DEBDC" w14:textId="2505B1F1" w:rsidR="00D66F55" w:rsidRPr="00F02A8A" w:rsidRDefault="00D66F55" w:rsidP="00307816">
            <w:pPr>
              <w:tabs>
                <w:tab w:val="left" w:pos="1080"/>
              </w:tabs>
              <w:spacing w:after="0" w:line="240" w:lineRule="auto"/>
              <w:rPr>
                <w:rFonts w:ascii="Garamond" w:hAnsi="Garamond"/>
                <w:sz w:val="20"/>
                <w:szCs w:val="20"/>
              </w:rPr>
            </w:pPr>
            <w:r w:rsidRPr="00F02A8A">
              <w:rPr>
                <w:rFonts w:ascii="Garamond" w:hAnsi="Garamond"/>
                <w:sz w:val="20"/>
                <w:szCs w:val="20"/>
              </w:rPr>
              <w:t xml:space="preserve">1.2 </w:t>
            </w:r>
            <w:r w:rsidR="0010687A">
              <w:rPr>
                <w:rFonts w:ascii="Garamond" w:hAnsi="Garamond"/>
                <w:sz w:val="20"/>
                <w:szCs w:val="20"/>
              </w:rPr>
              <w:t>The construction norms on   natural and artificial illumination updated</w:t>
            </w:r>
          </w:p>
        </w:tc>
        <w:tc>
          <w:tcPr>
            <w:tcW w:w="1793" w:type="dxa"/>
            <w:gridSpan w:val="2"/>
          </w:tcPr>
          <w:p w14:paraId="542E4956" w14:textId="3025725A" w:rsidR="00D66F55" w:rsidRPr="00F02A8A" w:rsidRDefault="0010687A" w:rsidP="00307816">
            <w:pPr>
              <w:tabs>
                <w:tab w:val="left" w:pos="1080"/>
              </w:tabs>
              <w:spacing w:after="0" w:line="240" w:lineRule="auto"/>
              <w:rPr>
                <w:rFonts w:ascii="Garamond" w:hAnsi="Garamond"/>
                <w:sz w:val="20"/>
                <w:szCs w:val="20"/>
              </w:rPr>
            </w:pPr>
            <w:r>
              <w:rPr>
                <w:rFonts w:ascii="Garamond" w:hAnsi="Garamond"/>
                <w:sz w:val="20"/>
                <w:szCs w:val="20"/>
              </w:rPr>
              <w:t>October, 2016</w:t>
            </w:r>
          </w:p>
        </w:tc>
        <w:tc>
          <w:tcPr>
            <w:tcW w:w="1325" w:type="dxa"/>
          </w:tcPr>
          <w:p w14:paraId="21478B6D" w14:textId="77777777" w:rsidR="00D66F55" w:rsidRDefault="007B53A3" w:rsidP="00307816">
            <w:pPr>
              <w:tabs>
                <w:tab w:val="left" w:pos="1080"/>
              </w:tabs>
              <w:spacing w:after="0" w:line="240" w:lineRule="auto"/>
              <w:rPr>
                <w:rFonts w:ascii="Garamond" w:hAnsi="Garamond"/>
                <w:sz w:val="20"/>
                <w:szCs w:val="20"/>
              </w:rPr>
            </w:pPr>
            <w:r>
              <w:rPr>
                <w:rFonts w:ascii="Garamond" w:hAnsi="Garamond"/>
                <w:sz w:val="20"/>
                <w:szCs w:val="20"/>
              </w:rPr>
              <w:t>UNDP Project Team</w:t>
            </w:r>
          </w:p>
          <w:p w14:paraId="0EC05019" w14:textId="70E11B5A" w:rsidR="007B53A3" w:rsidRPr="00F02A8A" w:rsidRDefault="007B53A3" w:rsidP="00307816">
            <w:pPr>
              <w:tabs>
                <w:tab w:val="left" w:pos="1080"/>
              </w:tabs>
              <w:spacing w:after="0" w:line="240" w:lineRule="auto"/>
              <w:rPr>
                <w:rFonts w:ascii="Garamond" w:hAnsi="Garamond"/>
                <w:sz w:val="20"/>
                <w:szCs w:val="20"/>
              </w:rPr>
            </w:pPr>
            <w:r>
              <w:rPr>
                <w:rFonts w:ascii="Garamond" w:hAnsi="Garamond"/>
                <w:sz w:val="20"/>
                <w:szCs w:val="20"/>
              </w:rPr>
              <w:t>Technical Advisory Board</w:t>
            </w:r>
          </w:p>
        </w:tc>
        <w:tc>
          <w:tcPr>
            <w:tcW w:w="2078" w:type="dxa"/>
          </w:tcPr>
          <w:p w14:paraId="02CD791F" w14:textId="69D8C7EA" w:rsidR="00D66F55" w:rsidRPr="00F02A8A" w:rsidRDefault="00C947AE" w:rsidP="00307816">
            <w:pPr>
              <w:tabs>
                <w:tab w:val="left" w:pos="1080"/>
              </w:tabs>
              <w:spacing w:after="0" w:line="240" w:lineRule="auto"/>
              <w:rPr>
                <w:rFonts w:ascii="Garamond" w:hAnsi="Garamond"/>
                <w:sz w:val="20"/>
                <w:szCs w:val="20"/>
              </w:rPr>
            </w:pPr>
            <w:r>
              <w:rPr>
                <w:rFonts w:ascii="Garamond" w:hAnsi="Garamond"/>
                <w:sz w:val="20"/>
                <w:szCs w:val="20"/>
              </w:rPr>
              <w:t>The consultant hired</w:t>
            </w:r>
          </w:p>
        </w:tc>
        <w:tc>
          <w:tcPr>
            <w:tcW w:w="1182" w:type="dxa"/>
          </w:tcPr>
          <w:p w14:paraId="1FAC49EB" w14:textId="567CB09F" w:rsidR="00D66F55" w:rsidRPr="00F02A8A" w:rsidRDefault="007B53A3" w:rsidP="00307816">
            <w:pPr>
              <w:tabs>
                <w:tab w:val="left" w:pos="1080"/>
              </w:tabs>
              <w:spacing w:after="0" w:line="240" w:lineRule="auto"/>
              <w:rPr>
                <w:rFonts w:ascii="Garamond" w:hAnsi="Garamond"/>
                <w:sz w:val="20"/>
                <w:szCs w:val="20"/>
              </w:rPr>
            </w:pPr>
            <w:r w:rsidRPr="007B53A3">
              <w:rPr>
                <w:rFonts w:ascii="Garamond" w:hAnsi="Garamond"/>
                <w:sz w:val="20"/>
                <w:szCs w:val="20"/>
              </w:rPr>
              <w:t>Work in progress</w:t>
            </w:r>
          </w:p>
        </w:tc>
      </w:tr>
      <w:tr w:rsidR="00D66F55" w:rsidRPr="00F02A8A" w14:paraId="2112AA1C" w14:textId="77777777" w:rsidTr="00E364DC">
        <w:tc>
          <w:tcPr>
            <w:tcW w:w="3403" w:type="dxa"/>
            <w:tcBorders>
              <w:bottom w:val="single" w:sz="6" w:space="0" w:color="auto"/>
            </w:tcBorders>
          </w:tcPr>
          <w:p w14:paraId="227E1DDA" w14:textId="50BC9449" w:rsidR="00D66F55" w:rsidRPr="00F02A8A" w:rsidRDefault="00D66F55" w:rsidP="00307816">
            <w:pPr>
              <w:tabs>
                <w:tab w:val="left" w:pos="1080"/>
              </w:tabs>
              <w:spacing w:after="0" w:line="240" w:lineRule="auto"/>
              <w:rPr>
                <w:rFonts w:ascii="Garamond" w:hAnsi="Garamond"/>
                <w:sz w:val="20"/>
                <w:szCs w:val="20"/>
              </w:rPr>
            </w:pPr>
            <w:r w:rsidRPr="00F02A8A">
              <w:rPr>
                <w:rFonts w:ascii="Garamond" w:hAnsi="Garamond"/>
                <w:sz w:val="20"/>
                <w:szCs w:val="20"/>
              </w:rPr>
              <w:t xml:space="preserve">1.3 </w:t>
            </w:r>
            <w:r w:rsidR="00763582">
              <w:rPr>
                <w:rFonts w:ascii="Garamond" w:hAnsi="Garamond"/>
                <w:sz w:val="20"/>
                <w:szCs w:val="20"/>
              </w:rPr>
              <w:t xml:space="preserve">Analyze the experience of other countries which was adopted procurement rules based on principles of  energy efficiency and life-cycle cost </w:t>
            </w:r>
          </w:p>
        </w:tc>
        <w:tc>
          <w:tcPr>
            <w:tcW w:w="1793" w:type="dxa"/>
            <w:gridSpan w:val="2"/>
            <w:tcBorders>
              <w:bottom w:val="single" w:sz="6" w:space="0" w:color="auto"/>
            </w:tcBorders>
          </w:tcPr>
          <w:p w14:paraId="5B4BE63F" w14:textId="216CCF47" w:rsidR="00D66F55" w:rsidRPr="00F02A8A" w:rsidRDefault="00763582" w:rsidP="00307816">
            <w:pPr>
              <w:tabs>
                <w:tab w:val="left" w:pos="1080"/>
              </w:tabs>
              <w:spacing w:after="0" w:line="240" w:lineRule="auto"/>
              <w:rPr>
                <w:rFonts w:ascii="Garamond" w:hAnsi="Garamond"/>
                <w:sz w:val="20"/>
                <w:szCs w:val="20"/>
              </w:rPr>
            </w:pPr>
            <w:r>
              <w:rPr>
                <w:rFonts w:ascii="Garamond" w:hAnsi="Garamond"/>
                <w:sz w:val="20"/>
                <w:szCs w:val="20"/>
              </w:rPr>
              <w:t>November, 2016</w:t>
            </w:r>
          </w:p>
        </w:tc>
        <w:tc>
          <w:tcPr>
            <w:tcW w:w="1325" w:type="dxa"/>
            <w:tcBorders>
              <w:bottom w:val="single" w:sz="6" w:space="0" w:color="auto"/>
            </w:tcBorders>
          </w:tcPr>
          <w:p w14:paraId="7391D968" w14:textId="77777777" w:rsidR="007B53A3" w:rsidRDefault="007B53A3" w:rsidP="00307816">
            <w:pPr>
              <w:tabs>
                <w:tab w:val="left" w:pos="1080"/>
              </w:tabs>
              <w:spacing w:after="0" w:line="240" w:lineRule="auto"/>
              <w:rPr>
                <w:rFonts w:ascii="Garamond" w:hAnsi="Garamond"/>
                <w:sz w:val="20"/>
                <w:szCs w:val="20"/>
              </w:rPr>
            </w:pPr>
            <w:r>
              <w:rPr>
                <w:rFonts w:ascii="Garamond" w:hAnsi="Garamond"/>
                <w:sz w:val="20"/>
                <w:szCs w:val="20"/>
              </w:rPr>
              <w:t>UNDP Project Team</w:t>
            </w:r>
          </w:p>
          <w:p w14:paraId="09CCE59E" w14:textId="77777777" w:rsidR="00D66F55" w:rsidRPr="00F02A8A" w:rsidRDefault="00D66F55" w:rsidP="00307816">
            <w:pPr>
              <w:tabs>
                <w:tab w:val="left" w:pos="1080"/>
              </w:tabs>
              <w:spacing w:after="0" w:line="240" w:lineRule="auto"/>
              <w:rPr>
                <w:rFonts w:ascii="Garamond" w:hAnsi="Garamond"/>
                <w:sz w:val="20"/>
                <w:szCs w:val="20"/>
              </w:rPr>
            </w:pPr>
          </w:p>
        </w:tc>
        <w:tc>
          <w:tcPr>
            <w:tcW w:w="2078" w:type="dxa"/>
            <w:tcBorders>
              <w:bottom w:val="single" w:sz="6" w:space="0" w:color="auto"/>
            </w:tcBorders>
          </w:tcPr>
          <w:p w14:paraId="14919300" w14:textId="121FAB0D" w:rsidR="00D66F55" w:rsidRPr="00F02A8A" w:rsidRDefault="007B53A3" w:rsidP="00307816">
            <w:pPr>
              <w:tabs>
                <w:tab w:val="left" w:pos="1080"/>
              </w:tabs>
              <w:spacing w:after="0" w:line="240" w:lineRule="auto"/>
              <w:rPr>
                <w:rFonts w:ascii="Garamond" w:hAnsi="Garamond"/>
                <w:sz w:val="20"/>
                <w:szCs w:val="20"/>
              </w:rPr>
            </w:pPr>
            <w:r w:rsidRPr="007B53A3">
              <w:rPr>
                <w:rFonts w:ascii="Garamond" w:hAnsi="Garamond"/>
                <w:sz w:val="20"/>
                <w:szCs w:val="20"/>
              </w:rPr>
              <w:t>Work in progress</w:t>
            </w:r>
          </w:p>
        </w:tc>
        <w:tc>
          <w:tcPr>
            <w:tcW w:w="1182" w:type="dxa"/>
            <w:tcBorders>
              <w:bottom w:val="single" w:sz="6" w:space="0" w:color="auto"/>
            </w:tcBorders>
          </w:tcPr>
          <w:p w14:paraId="2FC12E1C" w14:textId="77777777" w:rsidR="00D66F55" w:rsidRPr="00F02A8A" w:rsidRDefault="00D66F55" w:rsidP="00307816">
            <w:pPr>
              <w:tabs>
                <w:tab w:val="left" w:pos="1080"/>
              </w:tabs>
              <w:spacing w:after="0" w:line="240" w:lineRule="auto"/>
              <w:rPr>
                <w:rFonts w:ascii="Garamond" w:hAnsi="Garamond"/>
                <w:sz w:val="20"/>
                <w:szCs w:val="20"/>
              </w:rPr>
            </w:pPr>
          </w:p>
        </w:tc>
      </w:tr>
      <w:tr w:rsidR="00307816" w:rsidRPr="00F02A8A" w14:paraId="50FF3A48" w14:textId="77777777" w:rsidTr="00E364DC">
        <w:tc>
          <w:tcPr>
            <w:tcW w:w="9781" w:type="dxa"/>
            <w:gridSpan w:val="6"/>
            <w:tcBorders>
              <w:top w:val="single" w:sz="6" w:space="0" w:color="auto"/>
              <w:left w:val="nil"/>
              <w:bottom w:val="single" w:sz="4" w:space="0" w:color="auto"/>
              <w:right w:val="nil"/>
            </w:tcBorders>
          </w:tcPr>
          <w:p w14:paraId="0F0514E4" w14:textId="77777777" w:rsidR="00307816" w:rsidRPr="00F02A8A" w:rsidRDefault="00307816" w:rsidP="00307816">
            <w:pPr>
              <w:tabs>
                <w:tab w:val="left" w:pos="1080"/>
              </w:tabs>
              <w:spacing w:after="0" w:line="240" w:lineRule="auto"/>
              <w:rPr>
                <w:rFonts w:ascii="Garamond" w:hAnsi="Garamond"/>
                <w:sz w:val="20"/>
                <w:szCs w:val="20"/>
              </w:rPr>
            </w:pPr>
          </w:p>
        </w:tc>
      </w:tr>
      <w:tr w:rsidR="00D66F55" w:rsidRPr="00F02A8A" w14:paraId="2BD066A1" w14:textId="77777777" w:rsidTr="00307816">
        <w:tblPrEx>
          <w:tblBorders>
            <w:insideH w:val="single" w:sz="4" w:space="0" w:color="auto"/>
            <w:insideV w:val="single" w:sz="4" w:space="0" w:color="auto"/>
          </w:tblBorders>
        </w:tblPrEx>
        <w:tc>
          <w:tcPr>
            <w:tcW w:w="9781" w:type="dxa"/>
            <w:gridSpan w:val="6"/>
            <w:shd w:val="clear" w:color="auto" w:fill="F3F3F3"/>
          </w:tcPr>
          <w:p w14:paraId="7427896F" w14:textId="3F6701DD" w:rsidR="00D66F55" w:rsidRPr="000721B7" w:rsidRDefault="00D66F55" w:rsidP="00307816">
            <w:pPr>
              <w:spacing w:after="0" w:line="240" w:lineRule="auto"/>
              <w:rPr>
                <w:bCs/>
                <w:sz w:val="20"/>
                <w:szCs w:val="20"/>
              </w:rPr>
            </w:pPr>
            <w:r w:rsidRPr="00F02A8A">
              <w:rPr>
                <w:rFonts w:ascii="Garamond" w:hAnsi="Garamond"/>
                <w:b/>
                <w:sz w:val="20"/>
                <w:szCs w:val="20"/>
              </w:rPr>
              <w:t>Management response:</w:t>
            </w:r>
            <w:r w:rsidR="005D6CFB">
              <w:rPr>
                <w:rFonts w:ascii="Garamond" w:hAnsi="Garamond"/>
                <w:b/>
                <w:sz w:val="20"/>
                <w:szCs w:val="20"/>
              </w:rPr>
              <w:t xml:space="preserve"> </w:t>
            </w:r>
            <w:r w:rsidR="005D6CFB" w:rsidRPr="007E4893">
              <w:rPr>
                <w:bCs/>
                <w:sz w:val="20"/>
                <w:szCs w:val="20"/>
              </w:rPr>
              <w:t xml:space="preserve">Enhance </w:t>
            </w:r>
            <w:r w:rsidR="00307816" w:rsidRPr="007E4893">
              <w:rPr>
                <w:bCs/>
                <w:sz w:val="20"/>
                <w:szCs w:val="20"/>
              </w:rPr>
              <w:t xml:space="preserve">coordination </w:t>
            </w:r>
            <w:r w:rsidR="00307816">
              <w:rPr>
                <w:bCs/>
                <w:sz w:val="20"/>
                <w:szCs w:val="20"/>
              </w:rPr>
              <w:t>with</w:t>
            </w:r>
            <w:r w:rsidR="005D6CFB">
              <w:rPr>
                <w:bCs/>
                <w:sz w:val="20"/>
                <w:szCs w:val="20"/>
              </w:rPr>
              <w:t xml:space="preserve"> municipalities on building corresponding capacity within administration related to the</w:t>
            </w:r>
            <w:r w:rsidR="005D6CFB" w:rsidRPr="007E4893">
              <w:rPr>
                <w:bCs/>
                <w:sz w:val="20"/>
                <w:szCs w:val="20"/>
              </w:rPr>
              <w:t xml:space="preserve"> </w:t>
            </w:r>
            <w:r w:rsidR="005D6CFB">
              <w:rPr>
                <w:bCs/>
                <w:sz w:val="20"/>
                <w:szCs w:val="20"/>
              </w:rPr>
              <w:t xml:space="preserve">lighting system </w:t>
            </w:r>
            <w:r w:rsidR="005D6CFB" w:rsidRPr="007E4893">
              <w:rPr>
                <w:bCs/>
                <w:sz w:val="20"/>
                <w:szCs w:val="20"/>
              </w:rPr>
              <w:t xml:space="preserve">energy </w:t>
            </w:r>
            <w:r w:rsidR="005D6CFB">
              <w:rPr>
                <w:bCs/>
                <w:sz w:val="20"/>
                <w:szCs w:val="20"/>
              </w:rPr>
              <w:t>efficiency for conducting:  energy audits</w:t>
            </w:r>
            <w:r w:rsidR="00307816">
              <w:rPr>
                <w:bCs/>
                <w:sz w:val="20"/>
                <w:szCs w:val="20"/>
              </w:rPr>
              <w:t>, retrofit</w:t>
            </w:r>
            <w:r w:rsidR="000721B7">
              <w:rPr>
                <w:bCs/>
                <w:sz w:val="20"/>
                <w:szCs w:val="20"/>
              </w:rPr>
              <w:t xml:space="preserve"> strategy, </w:t>
            </w:r>
            <w:r w:rsidR="005D6CFB">
              <w:rPr>
                <w:bCs/>
                <w:sz w:val="20"/>
                <w:szCs w:val="20"/>
              </w:rPr>
              <w:t xml:space="preserve">procurement rules, negotiation with donors and financial institutions, ESCOs, </w:t>
            </w:r>
            <w:r w:rsidR="000721B7">
              <w:rPr>
                <w:bCs/>
                <w:sz w:val="20"/>
                <w:szCs w:val="20"/>
              </w:rPr>
              <w:t xml:space="preserve">and energy </w:t>
            </w:r>
            <w:r w:rsidR="005D6CFB">
              <w:rPr>
                <w:bCs/>
                <w:sz w:val="20"/>
                <w:szCs w:val="20"/>
              </w:rPr>
              <w:t xml:space="preserve">management </w:t>
            </w:r>
            <w:r w:rsidR="000721B7">
              <w:rPr>
                <w:bCs/>
                <w:sz w:val="20"/>
                <w:szCs w:val="20"/>
              </w:rPr>
              <w:t>in general.</w:t>
            </w:r>
          </w:p>
        </w:tc>
      </w:tr>
      <w:tr w:rsidR="00D66F55" w:rsidRPr="00F02A8A" w14:paraId="1C777969" w14:textId="77777777" w:rsidTr="00E364DC">
        <w:tblPrEx>
          <w:tblBorders>
            <w:insideH w:val="single" w:sz="4" w:space="0" w:color="auto"/>
            <w:insideV w:val="single" w:sz="4" w:space="0" w:color="auto"/>
          </w:tblBorders>
        </w:tblPrEx>
        <w:trPr>
          <w:trHeight w:val="135"/>
        </w:trPr>
        <w:tc>
          <w:tcPr>
            <w:tcW w:w="3403" w:type="dxa"/>
            <w:vMerge w:val="restart"/>
            <w:shd w:val="clear" w:color="auto" w:fill="F3F3F3"/>
          </w:tcPr>
          <w:p w14:paraId="74FDF957" w14:textId="77777777" w:rsidR="00D66F55" w:rsidRPr="00F02A8A" w:rsidRDefault="00D66F55" w:rsidP="00307816">
            <w:pPr>
              <w:tabs>
                <w:tab w:val="left" w:pos="1080"/>
              </w:tabs>
              <w:spacing w:after="0" w:line="240" w:lineRule="auto"/>
              <w:jc w:val="center"/>
              <w:rPr>
                <w:rFonts w:ascii="Garamond" w:hAnsi="Garamond"/>
                <w:b/>
                <w:sz w:val="20"/>
                <w:szCs w:val="20"/>
              </w:rPr>
            </w:pPr>
            <w:r w:rsidRPr="00F02A8A">
              <w:rPr>
                <w:rFonts w:ascii="Garamond" w:hAnsi="Garamond"/>
                <w:b/>
                <w:sz w:val="20"/>
                <w:szCs w:val="20"/>
              </w:rPr>
              <w:t>Key action(s)</w:t>
            </w:r>
          </w:p>
        </w:tc>
        <w:tc>
          <w:tcPr>
            <w:tcW w:w="1638" w:type="dxa"/>
            <w:vMerge w:val="restart"/>
            <w:shd w:val="clear" w:color="auto" w:fill="F3F3F3"/>
          </w:tcPr>
          <w:p w14:paraId="4E536A0D" w14:textId="65332D96" w:rsidR="00D66F55" w:rsidRPr="00F02A8A" w:rsidRDefault="00D66F55" w:rsidP="00307816">
            <w:pPr>
              <w:tabs>
                <w:tab w:val="left" w:pos="1080"/>
              </w:tabs>
              <w:spacing w:after="0" w:line="240" w:lineRule="auto"/>
              <w:jc w:val="center"/>
              <w:rPr>
                <w:rFonts w:ascii="Garamond" w:hAnsi="Garamond"/>
                <w:b/>
                <w:sz w:val="20"/>
                <w:szCs w:val="20"/>
              </w:rPr>
            </w:pPr>
            <w:r w:rsidRPr="00F02A8A">
              <w:rPr>
                <w:rFonts w:ascii="Garamond" w:hAnsi="Garamond"/>
                <w:b/>
                <w:sz w:val="20"/>
                <w:szCs w:val="20"/>
              </w:rPr>
              <w:t>Time frame</w:t>
            </w:r>
            <w:r w:rsidR="00A33498">
              <w:rPr>
                <w:rFonts w:ascii="Garamond" w:hAnsi="Garamond"/>
                <w:b/>
                <w:sz w:val="20"/>
                <w:szCs w:val="20"/>
              </w:rPr>
              <w:t xml:space="preserve"> </w:t>
            </w:r>
            <w:r w:rsidR="00A33498" w:rsidRPr="00A33498">
              <w:rPr>
                <w:rFonts w:ascii="Garamond" w:hAnsi="Garamond"/>
                <w:b/>
                <w:sz w:val="20"/>
                <w:szCs w:val="20"/>
              </w:rPr>
              <w:t>[month, year to month, year]</w:t>
            </w:r>
          </w:p>
        </w:tc>
        <w:tc>
          <w:tcPr>
            <w:tcW w:w="1480" w:type="dxa"/>
            <w:gridSpan w:val="2"/>
            <w:vMerge w:val="restart"/>
            <w:shd w:val="clear" w:color="auto" w:fill="F3F3F3"/>
          </w:tcPr>
          <w:p w14:paraId="711860D7" w14:textId="77777777" w:rsidR="00D66F55" w:rsidRPr="00F02A8A" w:rsidRDefault="00D66F55" w:rsidP="00307816">
            <w:pPr>
              <w:tabs>
                <w:tab w:val="left" w:pos="1080"/>
              </w:tabs>
              <w:spacing w:after="0" w:line="240" w:lineRule="auto"/>
              <w:jc w:val="center"/>
              <w:rPr>
                <w:rFonts w:ascii="Garamond" w:hAnsi="Garamond"/>
                <w:b/>
                <w:sz w:val="20"/>
                <w:szCs w:val="20"/>
              </w:rPr>
            </w:pPr>
            <w:r w:rsidRPr="00F02A8A">
              <w:rPr>
                <w:rFonts w:ascii="Garamond" w:hAnsi="Garamond"/>
                <w:b/>
                <w:sz w:val="20"/>
                <w:szCs w:val="20"/>
              </w:rPr>
              <w:t>Responsible unit(s)</w:t>
            </w:r>
          </w:p>
        </w:tc>
        <w:tc>
          <w:tcPr>
            <w:tcW w:w="3260" w:type="dxa"/>
            <w:gridSpan w:val="2"/>
            <w:shd w:val="clear" w:color="auto" w:fill="F3F3F3"/>
          </w:tcPr>
          <w:p w14:paraId="4F481C6E" w14:textId="77777777" w:rsidR="00D66F55" w:rsidRPr="00F02A8A" w:rsidRDefault="00D66F55" w:rsidP="00307816">
            <w:pPr>
              <w:tabs>
                <w:tab w:val="left" w:pos="1080"/>
              </w:tabs>
              <w:spacing w:after="0" w:line="240" w:lineRule="auto"/>
              <w:jc w:val="center"/>
              <w:rPr>
                <w:rFonts w:ascii="Garamond" w:hAnsi="Garamond"/>
                <w:b/>
                <w:sz w:val="20"/>
                <w:szCs w:val="20"/>
              </w:rPr>
            </w:pPr>
            <w:r w:rsidRPr="00F02A8A">
              <w:rPr>
                <w:rFonts w:ascii="Garamond" w:hAnsi="Garamond"/>
                <w:b/>
                <w:sz w:val="20"/>
                <w:szCs w:val="20"/>
              </w:rPr>
              <w:t>Tracking</w:t>
            </w:r>
          </w:p>
        </w:tc>
      </w:tr>
      <w:tr w:rsidR="00D66F55" w:rsidRPr="00F02A8A" w14:paraId="7F6233F6" w14:textId="77777777" w:rsidTr="00E364DC">
        <w:tblPrEx>
          <w:tblBorders>
            <w:insideH w:val="single" w:sz="4" w:space="0" w:color="auto"/>
            <w:insideV w:val="single" w:sz="4" w:space="0" w:color="auto"/>
          </w:tblBorders>
        </w:tblPrEx>
        <w:trPr>
          <w:trHeight w:val="135"/>
        </w:trPr>
        <w:tc>
          <w:tcPr>
            <w:tcW w:w="3403" w:type="dxa"/>
            <w:vMerge/>
            <w:shd w:val="clear" w:color="auto" w:fill="F3F3F3"/>
          </w:tcPr>
          <w:p w14:paraId="2E7975A1" w14:textId="77777777" w:rsidR="00D66F55" w:rsidRPr="00F02A8A" w:rsidRDefault="00D66F55" w:rsidP="00307816">
            <w:pPr>
              <w:tabs>
                <w:tab w:val="left" w:pos="1080"/>
              </w:tabs>
              <w:spacing w:after="0" w:line="240" w:lineRule="auto"/>
              <w:rPr>
                <w:rFonts w:ascii="Garamond" w:hAnsi="Garamond"/>
                <w:sz w:val="20"/>
                <w:szCs w:val="20"/>
              </w:rPr>
            </w:pPr>
          </w:p>
        </w:tc>
        <w:tc>
          <w:tcPr>
            <w:tcW w:w="1638" w:type="dxa"/>
            <w:vMerge/>
            <w:shd w:val="clear" w:color="auto" w:fill="F3F3F3"/>
          </w:tcPr>
          <w:p w14:paraId="04A27C15" w14:textId="77777777" w:rsidR="00D66F55" w:rsidRPr="00F02A8A" w:rsidRDefault="00D66F55" w:rsidP="00307816">
            <w:pPr>
              <w:tabs>
                <w:tab w:val="left" w:pos="1080"/>
              </w:tabs>
              <w:spacing w:after="0" w:line="240" w:lineRule="auto"/>
              <w:rPr>
                <w:rFonts w:ascii="Garamond" w:hAnsi="Garamond"/>
                <w:b/>
                <w:sz w:val="20"/>
                <w:szCs w:val="20"/>
              </w:rPr>
            </w:pPr>
          </w:p>
        </w:tc>
        <w:tc>
          <w:tcPr>
            <w:tcW w:w="1480" w:type="dxa"/>
            <w:gridSpan w:val="2"/>
            <w:vMerge/>
            <w:shd w:val="clear" w:color="auto" w:fill="F3F3F3"/>
          </w:tcPr>
          <w:p w14:paraId="687ED5E4" w14:textId="77777777" w:rsidR="00D66F55" w:rsidRPr="00F02A8A" w:rsidRDefault="00D66F55" w:rsidP="00307816">
            <w:pPr>
              <w:tabs>
                <w:tab w:val="left" w:pos="1080"/>
              </w:tabs>
              <w:spacing w:after="0" w:line="240" w:lineRule="auto"/>
              <w:rPr>
                <w:rFonts w:ascii="Garamond" w:hAnsi="Garamond"/>
                <w:b/>
                <w:sz w:val="20"/>
                <w:szCs w:val="20"/>
              </w:rPr>
            </w:pPr>
          </w:p>
        </w:tc>
        <w:tc>
          <w:tcPr>
            <w:tcW w:w="2078" w:type="dxa"/>
          </w:tcPr>
          <w:p w14:paraId="64E088BB" w14:textId="77777777" w:rsidR="00D66F55" w:rsidRPr="00F02A8A" w:rsidRDefault="00D66F55" w:rsidP="00307816">
            <w:pPr>
              <w:tabs>
                <w:tab w:val="left" w:pos="1080"/>
              </w:tabs>
              <w:spacing w:after="0" w:line="240" w:lineRule="auto"/>
              <w:jc w:val="center"/>
              <w:rPr>
                <w:rFonts w:ascii="Garamond" w:hAnsi="Garamond"/>
                <w:b/>
                <w:sz w:val="20"/>
                <w:szCs w:val="20"/>
              </w:rPr>
            </w:pPr>
            <w:r w:rsidRPr="00F02A8A">
              <w:rPr>
                <w:rFonts w:ascii="Garamond" w:hAnsi="Garamond"/>
                <w:b/>
                <w:sz w:val="20"/>
                <w:szCs w:val="20"/>
              </w:rPr>
              <w:t>Comments</w:t>
            </w:r>
          </w:p>
        </w:tc>
        <w:tc>
          <w:tcPr>
            <w:tcW w:w="1182" w:type="dxa"/>
          </w:tcPr>
          <w:p w14:paraId="14EA6645" w14:textId="77777777" w:rsidR="00D66F55" w:rsidRPr="00F02A8A" w:rsidRDefault="00D66F55" w:rsidP="00307816">
            <w:pPr>
              <w:tabs>
                <w:tab w:val="left" w:pos="1080"/>
              </w:tabs>
              <w:spacing w:after="0" w:line="240" w:lineRule="auto"/>
              <w:jc w:val="center"/>
              <w:rPr>
                <w:rFonts w:ascii="Garamond" w:hAnsi="Garamond"/>
                <w:b/>
                <w:sz w:val="20"/>
                <w:szCs w:val="20"/>
              </w:rPr>
            </w:pPr>
            <w:r w:rsidRPr="00F02A8A">
              <w:rPr>
                <w:rFonts w:ascii="Garamond" w:hAnsi="Garamond"/>
                <w:b/>
                <w:sz w:val="20"/>
                <w:szCs w:val="20"/>
              </w:rPr>
              <w:t>Status</w:t>
            </w:r>
          </w:p>
        </w:tc>
      </w:tr>
      <w:tr w:rsidR="00D66F55" w:rsidRPr="00F02A8A" w14:paraId="3DCFB064" w14:textId="77777777" w:rsidTr="00E364DC">
        <w:tblPrEx>
          <w:tblBorders>
            <w:insideH w:val="single" w:sz="4" w:space="0" w:color="auto"/>
            <w:insideV w:val="single" w:sz="4" w:space="0" w:color="auto"/>
          </w:tblBorders>
        </w:tblPrEx>
        <w:tc>
          <w:tcPr>
            <w:tcW w:w="3403" w:type="dxa"/>
          </w:tcPr>
          <w:p w14:paraId="75706ED5" w14:textId="6FA40DD4" w:rsidR="00D66F55" w:rsidRPr="00F02A8A" w:rsidRDefault="00D66F55" w:rsidP="00A757A7">
            <w:pPr>
              <w:tabs>
                <w:tab w:val="left" w:pos="1080"/>
              </w:tabs>
              <w:spacing w:after="0" w:line="240" w:lineRule="auto"/>
              <w:rPr>
                <w:rFonts w:ascii="Garamond" w:hAnsi="Garamond"/>
                <w:sz w:val="20"/>
                <w:szCs w:val="20"/>
              </w:rPr>
            </w:pPr>
            <w:r w:rsidRPr="00F02A8A">
              <w:rPr>
                <w:rFonts w:ascii="Garamond" w:hAnsi="Garamond"/>
                <w:sz w:val="20"/>
                <w:szCs w:val="20"/>
              </w:rPr>
              <w:t xml:space="preserve">2.1 </w:t>
            </w:r>
            <w:r w:rsidR="004C3FB2">
              <w:rPr>
                <w:rFonts w:ascii="Garamond" w:hAnsi="Garamond"/>
                <w:sz w:val="20"/>
                <w:szCs w:val="20"/>
              </w:rPr>
              <w:t xml:space="preserve">Develop and introduce procurement Guidelines for out-door and in-door lighting fixtures based on technical specifications which considers minimum energy efficiency requirements, quality safeguards, life-cycle costing. The experience of the </w:t>
            </w:r>
            <w:r w:rsidR="00572AE2">
              <w:rPr>
                <w:rFonts w:ascii="Garamond" w:hAnsi="Garamond"/>
                <w:sz w:val="20"/>
                <w:szCs w:val="20"/>
              </w:rPr>
              <w:t xml:space="preserve">Project </w:t>
            </w:r>
            <w:r w:rsidR="004C3FB2">
              <w:rPr>
                <w:rFonts w:ascii="Garamond" w:hAnsi="Garamond"/>
                <w:sz w:val="20"/>
                <w:szCs w:val="20"/>
              </w:rPr>
              <w:t xml:space="preserve">gained during implementation of pilot projects will be used and consulted with partner municipalities. </w:t>
            </w:r>
            <w:r w:rsidR="008E26CC">
              <w:rPr>
                <w:rFonts w:ascii="Garamond" w:hAnsi="Garamond"/>
                <w:sz w:val="20"/>
                <w:szCs w:val="20"/>
              </w:rPr>
              <w:t>The Guidelines will be shared with</w:t>
            </w:r>
            <w:r w:rsidR="00572AE2">
              <w:rPr>
                <w:rFonts w:ascii="Garamond" w:hAnsi="Garamond"/>
                <w:sz w:val="20"/>
                <w:szCs w:val="20"/>
              </w:rPr>
              <w:t xml:space="preserve"> Yerevan Municipality, partner 13 municipalities, as well as with Ministry of </w:t>
            </w:r>
            <w:r w:rsidR="007B0E68">
              <w:rPr>
                <w:rFonts w:ascii="Garamond" w:hAnsi="Garamond"/>
                <w:sz w:val="20"/>
                <w:szCs w:val="20"/>
              </w:rPr>
              <w:t>T</w:t>
            </w:r>
            <w:r w:rsidR="00572AE2">
              <w:rPr>
                <w:rFonts w:ascii="Garamond" w:hAnsi="Garamond"/>
                <w:sz w:val="20"/>
                <w:szCs w:val="20"/>
              </w:rPr>
              <w:t>erritorial Administration and Development.</w:t>
            </w:r>
            <w:r w:rsidR="007B0E68">
              <w:rPr>
                <w:rFonts w:ascii="Garamond" w:hAnsi="Garamond"/>
                <w:sz w:val="20"/>
                <w:szCs w:val="20"/>
              </w:rPr>
              <w:t xml:space="preserve"> </w:t>
            </w:r>
          </w:p>
        </w:tc>
        <w:tc>
          <w:tcPr>
            <w:tcW w:w="1638" w:type="dxa"/>
          </w:tcPr>
          <w:p w14:paraId="7558D4FE" w14:textId="4A5D6F85" w:rsidR="00D66F55" w:rsidRPr="00F02A8A" w:rsidRDefault="008E26CC" w:rsidP="00307816">
            <w:pPr>
              <w:tabs>
                <w:tab w:val="left" w:pos="1080"/>
              </w:tabs>
              <w:spacing w:after="0" w:line="240" w:lineRule="auto"/>
              <w:rPr>
                <w:rFonts w:ascii="Garamond" w:hAnsi="Garamond"/>
                <w:sz w:val="20"/>
                <w:szCs w:val="20"/>
              </w:rPr>
            </w:pPr>
            <w:r>
              <w:rPr>
                <w:rFonts w:ascii="Garamond" w:hAnsi="Garamond"/>
                <w:sz w:val="20"/>
                <w:szCs w:val="20"/>
              </w:rPr>
              <w:t>February 2017</w:t>
            </w:r>
          </w:p>
        </w:tc>
        <w:tc>
          <w:tcPr>
            <w:tcW w:w="1480" w:type="dxa"/>
            <w:gridSpan w:val="2"/>
          </w:tcPr>
          <w:p w14:paraId="6BEFF89A" w14:textId="3A07FA91" w:rsidR="00D66F55" w:rsidRPr="00F02A8A" w:rsidRDefault="007B53A3" w:rsidP="00307816">
            <w:pPr>
              <w:tabs>
                <w:tab w:val="left" w:pos="1080"/>
              </w:tabs>
              <w:spacing w:after="0" w:line="240" w:lineRule="auto"/>
              <w:rPr>
                <w:rFonts w:ascii="Garamond" w:hAnsi="Garamond"/>
                <w:sz w:val="20"/>
                <w:szCs w:val="20"/>
              </w:rPr>
            </w:pPr>
            <w:r>
              <w:rPr>
                <w:rFonts w:ascii="Garamond" w:hAnsi="Garamond"/>
                <w:sz w:val="20"/>
                <w:szCs w:val="20"/>
              </w:rPr>
              <w:t>UNDP Project team</w:t>
            </w:r>
          </w:p>
        </w:tc>
        <w:tc>
          <w:tcPr>
            <w:tcW w:w="2078" w:type="dxa"/>
          </w:tcPr>
          <w:p w14:paraId="63F1DA67" w14:textId="77777777" w:rsidR="00D66F55" w:rsidRDefault="007B53A3" w:rsidP="00307816">
            <w:pPr>
              <w:tabs>
                <w:tab w:val="left" w:pos="1080"/>
              </w:tabs>
              <w:spacing w:after="0" w:line="240" w:lineRule="auto"/>
              <w:rPr>
                <w:rFonts w:ascii="Garamond" w:hAnsi="Garamond"/>
                <w:sz w:val="20"/>
                <w:szCs w:val="20"/>
              </w:rPr>
            </w:pPr>
            <w:r>
              <w:rPr>
                <w:rFonts w:ascii="Garamond" w:hAnsi="Garamond"/>
                <w:sz w:val="20"/>
                <w:szCs w:val="20"/>
              </w:rPr>
              <w:t>Initial discussions with Yerevan Municipality conducted.</w:t>
            </w:r>
          </w:p>
          <w:p w14:paraId="70210E2C" w14:textId="77777777" w:rsidR="007B53A3" w:rsidRPr="00F02A8A" w:rsidRDefault="007B53A3" w:rsidP="00307816">
            <w:pPr>
              <w:tabs>
                <w:tab w:val="left" w:pos="1080"/>
              </w:tabs>
              <w:spacing w:after="0" w:line="240" w:lineRule="auto"/>
              <w:rPr>
                <w:rFonts w:ascii="Garamond" w:hAnsi="Garamond"/>
                <w:sz w:val="20"/>
                <w:szCs w:val="20"/>
              </w:rPr>
            </w:pPr>
          </w:p>
        </w:tc>
        <w:tc>
          <w:tcPr>
            <w:tcW w:w="1182" w:type="dxa"/>
          </w:tcPr>
          <w:p w14:paraId="3F29B348" w14:textId="552317F9" w:rsidR="00D66F55" w:rsidRPr="00F02A8A" w:rsidRDefault="007B53A3" w:rsidP="00307816">
            <w:pPr>
              <w:tabs>
                <w:tab w:val="left" w:pos="1080"/>
              </w:tabs>
              <w:spacing w:after="0" w:line="240" w:lineRule="auto"/>
              <w:rPr>
                <w:rFonts w:ascii="Garamond" w:hAnsi="Garamond"/>
                <w:sz w:val="20"/>
                <w:szCs w:val="20"/>
              </w:rPr>
            </w:pPr>
            <w:r w:rsidRPr="007B53A3">
              <w:rPr>
                <w:rFonts w:ascii="Garamond" w:hAnsi="Garamond"/>
                <w:sz w:val="20"/>
                <w:szCs w:val="20"/>
              </w:rPr>
              <w:t>Work in progress</w:t>
            </w:r>
          </w:p>
        </w:tc>
      </w:tr>
      <w:tr w:rsidR="00D66F55" w:rsidRPr="00F02A8A" w14:paraId="185AF646" w14:textId="77777777" w:rsidTr="00E364DC">
        <w:tblPrEx>
          <w:tblBorders>
            <w:insideH w:val="single" w:sz="4" w:space="0" w:color="auto"/>
            <w:insideV w:val="single" w:sz="4" w:space="0" w:color="auto"/>
          </w:tblBorders>
        </w:tblPrEx>
        <w:tc>
          <w:tcPr>
            <w:tcW w:w="3403" w:type="dxa"/>
          </w:tcPr>
          <w:p w14:paraId="63AEC0FF" w14:textId="677440D3" w:rsidR="00D66F55" w:rsidRPr="00F02A8A" w:rsidRDefault="00D66F55" w:rsidP="00307816">
            <w:pPr>
              <w:tabs>
                <w:tab w:val="left" w:pos="1080"/>
              </w:tabs>
              <w:spacing w:after="0" w:line="240" w:lineRule="auto"/>
              <w:rPr>
                <w:rFonts w:ascii="Garamond" w:hAnsi="Garamond"/>
                <w:sz w:val="20"/>
                <w:szCs w:val="20"/>
              </w:rPr>
            </w:pPr>
            <w:r w:rsidRPr="00F02A8A">
              <w:rPr>
                <w:rFonts w:ascii="Garamond" w:hAnsi="Garamond"/>
                <w:sz w:val="20"/>
                <w:szCs w:val="20"/>
              </w:rPr>
              <w:t xml:space="preserve">2.2 </w:t>
            </w:r>
            <w:r w:rsidR="008E26CC">
              <w:rPr>
                <w:rFonts w:ascii="Garamond" w:hAnsi="Garamond"/>
                <w:sz w:val="20"/>
                <w:szCs w:val="20"/>
              </w:rPr>
              <w:t>Develop m</w:t>
            </w:r>
            <w:r w:rsidR="007B0E68" w:rsidRPr="007B0E68">
              <w:rPr>
                <w:rFonts w:ascii="Garamond" w:hAnsi="Garamond"/>
                <w:sz w:val="20"/>
                <w:szCs w:val="20"/>
              </w:rPr>
              <w:t>ethodological guidance/manual</w:t>
            </w:r>
            <w:r w:rsidR="007B0E68">
              <w:rPr>
                <w:rFonts w:ascii="Garamond" w:hAnsi="Garamond"/>
                <w:sz w:val="20"/>
                <w:szCs w:val="20"/>
              </w:rPr>
              <w:t xml:space="preserve"> on energy audit </w:t>
            </w:r>
            <w:r w:rsidR="008E26CC">
              <w:rPr>
                <w:rFonts w:ascii="Garamond" w:hAnsi="Garamond"/>
                <w:sz w:val="20"/>
                <w:szCs w:val="20"/>
              </w:rPr>
              <w:t xml:space="preserve">and </w:t>
            </w:r>
            <w:proofErr w:type="spellStart"/>
            <w:r w:rsidR="008E26CC">
              <w:rPr>
                <w:rFonts w:ascii="Garamond" w:hAnsi="Garamond"/>
                <w:sz w:val="20"/>
                <w:szCs w:val="20"/>
              </w:rPr>
              <w:t>orga</w:t>
            </w:r>
            <w:r w:rsidR="007B53A3">
              <w:rPr>
                <w:rFonts w:ascii="Garamond" w:hAnsi="Garamond"/>
                <w:sz w:val="20"/>
                <w:szCs w:val="20"/>
              </w:rPr>
              <w:t>n</w:t>
            </w:r>
            <w:r w:rsidR="008E26CC">
              <w:rPr>
                <w:rFonts w:ascii="Garamond" w:hAnsi="Garamond"/>
                <w:sz w:val="20"/>
                <w:szCs w:val="20"/>
              </w:rPr>
              <w:t>ise</w:t>
            </w:r>
            <w:proofErr w:type="spellEnd"/>
            <w:r w:rsidR="008E26CC">
              <w:rPr>
                <w:rFonts w:ascii="Garamond" w:hAnsi="Garamond"/>
                <w:sz w:val="20"/>
                <w:szCs w:val="20"/>
              </w:rPr>
              <w:t xml:space="preserve"> </w:t>
            </w:r>
            <w:r w:rsidR="007B0E68">
              <w:rPr>
                <w:rFonts w:ascii="Garamond" w:hAnsi="Garamond"/>
                <w:sz w:val="20"/>
                <w:szCs w:val="20"/>
              </w:rPr>
              <w:t xml:space="preserve">training </w:t>
            </w:r>
            <w:proofErr w:type="spellStart"/>
            <w:r w:rsidR="007B0E68">
              <w:rPr>
                <w:rFonts w:ascii="Garamond" w:hAnsi="Garamond"/>
                <w:sz w:val="20"/>
                <w:szCs w:val="20"/>
              </w:rPr>
              <w:t>programme</w:t>
            </w:r>
            <w:proofErr w:type="spellEnd"/>
            <w:r w:rsidR="007B0E68">
              <w:rPr>
                <w:rFonts w:ascii="Garamond" w:hAnsi="Garamond"/>
                <w:sz w:val="20"/>
                <w:szCs w:val="20"/>
              </w:rPr>
              <w:t xml:space="preserve"> for municipality specialists.</w:t>
            </w:r>
          </w:p>
        </w:tc>
        <w:tc>
          <w:tcPr>
            <w:tcW w:w="1638" w:type="dxa"/>
          </w:tcPr>
          <w:p w14:paraId="422EDA37" w14:textId="09B3C4DF" w:rsidR="00D66F55" w:rsidRPr="00F02A8A" w:rsidRDefault="008E26CC" w:rsidP="00307816">
            <w:pPr>
              <w:tabs>
                <w:tab w:val="left" w:pos="1080"/>
              </w:tabs>
              <w:spacing w:after="0" w:line="240" w:lineRule="auto"/>
              <w:rPr>
                <w:rFonts w:ascii="Garamond" w:hAnsi="Garamond"/>
                <w:sz w:val="20"/>
                <w:szCs w:val="20"/>
              </w:rPr>
            </w:pPr>
            <w:r>
              <w:rPr>
                <w:rFonts w:ascii="Garamond" w:hAnsi="Garamond"/>
                <w:sz w:val="20"/>
                <w:szCs w:val="20"/>
              </w:rPr>
              <w:t xml:space="preserve"> December 2016</w:t>
            </w:r>
          </w:p>
        </w:tc>
        <w:tc>
          <w:tcPr>
            <w:tcW w:w="1480" w:type="dxa"/>
            <w:gridSpan w:val="2"/>
          </w:tcPr>
          <w:p w14:paraId="3D4E6118" w14:textId="77777777" w:rsidR="007B53A3" w:rsidRDefault="007B53A3" w:rsidP="00307816">
            <w:pPr>
              <w:tabs>
                <w:tab w:val="left" w:pos="1080"/>
              </w:tabs>
              <w:spacing w:after="0" w:line="240" w:lineRule="auto"/>
              <w:rPr>
                <w:rFonts w:ascii="Garamond" w:hAnsi="Garamond"/>
                <w:sz w:val="20"/>
                <w:szCs w:val="20"/>
              </w:rPr>
            </w:pPr>
            <w:r>
              <w:rPr>
                <w:rFonts w:ascii="Garamond" w:hAnsi="Garamond"/>
                <w:sz w:val="20"/>
                <w:szCs w:val="20"/>
              </w:rPr>
              <w:t>UNDP Project Team</w:t>
            </w:r>
          </w:p>
          <w:p w14:paraId="1A76592F" w14:textId="77777777" w:rsidR="00D66F55" w:rsidRPr="00F02A8A" w:rsidRDefault="00D66F55" w:rsidP="00307816">
            <w:pPr>
              <w:tabs>
                <w:tab w:val="left" w:pos="1080"/>
              </w:tabs>
              <w:spacing w:after="0" w:line="240" w:lineRule="auto"/>
              <w:rPr>
                <w:rFonts w:ascii="Garamond" w:hAnsi="Garamond"/>
                <w:sz w:val="20"/>
                <w:szCs w:val="20"/>
              </w:rPr>
            </w:pPr>
          </w:p>
        </w:tc>
        <w:tc>
          <w:tcPr>
            <w:tcW w:w="2078" w:type="dxa"/>
          </w:tcPr>
          <w:p w14:paraId="49481473" w14:textId="33C6BA6E" w:rsidR="00D66F55" w:rsidRPr="00F02A8A" w:rsidRDefault="00D66F55" w:rsidP="00307816">
            <w:pPr>
              <w:tabs>
                <w:tab w:val="left" w:pos="1080"/>
              </w:tabs>
              <w:spacing w:after="0" w:line="240" w:lineRule="auto"/>
              <w:rPr>
                <w:rFonts w:ascii="Garamond" w:hAnsi="Garamond"/>
                <w:sz w:val="20"/>
                <w:szCs w:val="20"/>
              </w:rPr>
            </w:pPr>
          </w:p>
        </w:tc>
        <w:tc>
          <w:tcPr>
            <w:tcW w:w="1182" w:type="dxa"/>
          </w:tcPr>
          <w:p w14:paraId="6D455857" w14:textId="69EAD06C" w:rsidR="00D66F55" w:rsidRPr="00F02A8A" w:rsidRDefault="007B53A3" w:rsidP="00307816">
            <w:pPr>
              <w:tabs>
                <w:tab w:val="left" w:pos="1080"/>
              </w:tabs>
              <w:spacing w:after="0" w:line="240" w:lineRule="auto"/>
              <w:rPr>
                <w:rFonts w:ascii="Garamond" w:hAnsi="Garamond"/>
                <w:sz w:val="20"/>
                <w:szCs w:val="20"/>
              </w:rPr>
            </w:pPr>
            <w:r w:rsidRPr="007B53A3">
              <w:rPr>
                <w:rFonts w:ascii="Garamond" w:hAnsi="Garamond"/>
                <w:sz w:val="20"/>
                <w:szCs w:val="20"/>
              </w:rPr>
              <w:t>Work in progress</w:t>
            </w:r>
          </w:p>
        </w:tc>
      </w:tr>
      <w:tr w:rsidR="00D66F55" w:rsidRPr="00F02A8A" w14:paraId="20A41095" w14:textId="77777777" w:rsidTr="00E364DC">
        <w:tblPrEx>
          <w:tblBorders>
            <w:insideH w:val="single" w:sz="4" w:space="0" w:color="auto"/>
            <w:insideV w:val="single" w:sz="4" w:space="0" w:color="auto"/>
          </w:tblBorders>
        </w:tblPrEx>
        <w:tc>
          <w:tcPr>
            <w:tcW w:w="3403" w:type="dxa"/>
          </w:tcPr>
          <w:p w14:paraId="74A687DC" w14:textId="0B3304D4" w:rsidR="00D66F55" w:rsidRPr="00F02A8A" w:rsidRDefault="00D66F55" w:rsidP="00307816">
            <w:pPr>
              <w:tabs>
                <w:tab w:val="left" w:pos="1080"/>
              </w:tabs>
              <w:spacing w:after="0" w:line="240" w:lineRule="auto"/>
              <w:rPr>
                <w:rFonts w:ascii="Garamond" w:hAnsi="Garamond"/>
                <w:sz w:val="20"/>
                <w:szCs w:val="20"/>
              </w:rPr>
            </w:pPr>
            <w:r w:rsidRPr="00F02A8A">
              <w:rPr>
                <w:rFonts w:ascii="Garamond" w:hAnsi="Garamond"/>
                <w:sz w:val="20"/>
                <w:szCs w:val="20"/>
              </w:rPr>
              <w:t>2.3</w:t>
            </w:r>
            <w:r w:rsidR="007B0E68">
              <w:rPr>
                <w:rFonts w:ascii="Garamond" w:hAnsi="Garamond"/>
                <w:sz w:val="20"/>
                <w:szCs w:val="20"/>
              </w:rPr>
              <w:t xml:space="preserve"> </w:t>
            </w:r>
            <w:r w:rsidR="008E26CC">
              <w:rPr>
                <w:rFonts w:ascii="Garamond" w:hAnsi="Garamond"/>
                <w:sz w:val="20"/>
                <w:szCs w:val="20"/>
              </w:rPr>
              <w:t xml:space="preserve">Develop the overview of the Municipal Energy Efficiency Revolving Funds </w:t>
            </w:r>
            <w:r w:rsidR="007B53A3">
              <w:rPr>
                <w:rFonts w:ascii="Garamond" w:hAnsi="Garamond"/>
                <w:sz w:val="20"/>
                <w:szCs w:val="20"/>
              </w:rPr>
              <w:t xml:space="preserve">and share with stakeholders </w:t>
            </w:r>
          </w:p>
        </w:tc>
        <w:tc>
          <w:tcPr>
            <w:tcW w:w="1638" w:type="dxa"/>
          </w:tcPr>
          <w:p w14:paraId="33B6F81C" w14:textId="7090C1FA" w:rsidR="00D66F55" w:rsidRPr="00F02A8A" w:rsidDel="00BA6647" w:rsidRDefault="007B53A3" w:rsidP="00307816">
            <w:pPr>
              <w:tabs>
                <w:tab w:val="left" w:pos="1080"/>
              </w:tabs>
              <w:spacing w:after="0" w:line="240" w:lineRule="auto"/>
              <w:rPr>
                <w:rFonts w:ascii="Garamond" w:hAnsi="Garamond"/>
                <w:sz w:val="20"/>
                <w:szCs w:val="20"/>
              </w:rPr>
            </w:pPr>
            <w:r>
              <w:rPr>
                <w:rFonts w:ascii="Garamond" w:hAnsi="Garamond"/>
                <w:sz w:val="20"/>
                <w:szCs w:val="20"/>
              </w:rPr>
              <w:t>Continuous</w:t>
            </w:r>
          </w:p>
        </w:tc>
        <w:tc>
          <w:tcPr>
            <w:tcW w:w="1480" w:type="dxa"/>
            <w:gridSpan w:val="2"/>
          </w:tcPr>
          <w:p w14:paraId="3F1ADF09" w14:textId="04EB41A7" w:rsidR="007B53A3" w:rsidRDefault="007B53A3" w:rsidP="00307816">
            <w:pPr>
              <w:tabs>
                <w:tab w:val="left" w:pos="1080"/>
              </w:tabs>
              <w:spacing w:after="0" w:line="240" w:lineRule="auto"/>
              <w:rPr>
                <w:rFonts w:ascii="Garamond" w:hAnsi="Garamond"/>
                <w:sz w:val="20"/>
                <w:szCs w:val="20"/>
              </w:rPr>
            </w:pPr>
            <w:r>
              <w:rPr>
                <w:rFonts w:ascii="Garamond" w:hAnsi="Garamond"/>
                <w:sz w:val="20"/>
                <w:szCs w:val="20"/>
              </w:rPr>
              <w:t>UNDP CO</w:t>
            </w:r>
          </w:p>
          <w:p w14:paraId="02EFA85E" w14:textId="77777777" w:rsidR="007B53A3" w:rsidRDefault="007B53A3" w:rsidP="00307816">
            <w:pPr>
              <w:tabs>
                <w:tab w:val="left" w:pos="1080"/>
              </w:tabs>
              <w:spacing w:after="0" w:line="240" w:lineRule="auto"/>
              <w:rPr>
                <w:rFonts w:ascii="Garamond" w:hAnsi="Garamond"/>
                <w:sz w:val="20"/>
                <w:szCs w:val="20"/>
              </w:rPr>
            </w:pPr>
            <w:r>
              <w:rPr>
                <w:rFonts w:ascii="Garamond" w:hAnsi="Garamond"/>
                <w:sz w:val="20"/>
                <w:szCs w:val="20"/>
              </w:rPr>
              <w:t>UNDP Project Team</w:t>
            </w:r>
          </w:p>
          <w:p w14:paraId="0D592750" w14:textId="77777777" w:rsidR="00D66F55" w:rsidRPr="00F02A8A" w:rsidDel="00BA6647" w:rsidRDefault="00D66F55" w:rsidP="00307816">
            <w:pPr>
              <w:tabs>
                <w:tab w:val="left" w:pos="1080"/>
              </w:tabs>
              <w:spacing w:after="0" w:line="240" w:lineRule="auto"/>
              <w:rPr>
                <w:rFonts w:ascii="Garamond" w:hAnsi="Garamond"/>
                <w:sz w:val="20"/>
                <w:szCs w:val="20"/>
              </w:rPr>
            </w:pPr>
          </w:p>
        </w:tc>
        <w:tc>
          <w:tcPr>
            <w:tcW w:w="2078" w:type="dxa"/>
          </w:tcPr>
          <w:p w14:paraId="3045D313" w14:textId="3D07EF8F" w:rsidR="00D66F55" w:rsidRPr="00F02A8A" w:rsidRDefault="007B53A3" w:rsidP="00307816">
            <w:pPr>
              <w:tabs>
                <w:tab w:val="left" w:pos="1080"/>
              </w:tabs>
              <w:spacing w:after="0" w:line="240" w:lineRule="auto"/>
              <w:rPr>
                <w:rFonts w:ascii="Garamond" w:hAnsi="Garamond"/>
                <w:sz w:val="20"/>
                <w:szCs w:val="20"/>
              </w:rPr>
            </w:pPr>
            <w:r>
              <w:rPr>
                <w:rFonts w:ascii="Garamond" w:hAnsi="Garamond"/>
                <w:sz w:val="20"/>
                <w:szCs w:val="20"/>
              </w:rPr>
              <w:t>The overview developed and shared during the Donor Coordination meeting in UN on 28 of June 2016</w:t>
            </w:r>
          </w:p>
        </w:tc>
        <w:tc>
          <w:tcPr>
            <w:tcW w:w="1182" w:type="dxa"/>
          </w:tcPr>
          <w:p w14:paraId="01BF3D6C" w14:textId="644374C9" w:rsidR="00D66F55" w:rsidRPr="00F02A8A" w:rsidRDefault="007B53A3" w:rsidP="00307816">
            <w:pPr>
              <w:tabs>
                <w:tab w:val="left" w:pos="1080"/>
              </w:tabs>
              <w:spacing w:after="0" w:line="240" w:lineRule="auto"/>
              <w:rPr>
                <w:rFonts w:ascii="Garamond" w:hAnsi="Garamond"/>
                <w:sz w:val="20"/>
                <w:szCs w:val="20"/>
              </w:rPr>
            </w:pPr>
            <w:r>
              <w:rPr>
                <w:rFonts w:ascii="Garamond" w:hAnsi="Garamond"/>
                <w:sz w:val="20"/>
                <w:szCs w:val="20"/>
              </w:rPr>
              <w:t>Continuous</w:t>
            </w:r>
          </w:p>
        </w:tc>
      </w:tr>
      <w:tr w:rsidR="007B0E68" w:rsidRPr="00F02A8A" w14:paraId="777EEC4F" w14:textId="77777777" w:rsidTr="00E364DC">
        <w:tblPrEx>
          <w:tblBorders>
            <w:insideH w:val="single" w:sz="4" w:space="0" w:color="auto"/>
            <w:insideV w:val="single" w:sz="4" w:space="0" w:color="auto"/>
          </w:tblBorders>
        </w:tblPrEx>
        <w:tc>
          <w:tcPr>
            <w:tcW w:w="3403" w:type="dxa"/>
          </w:tcPr>
          <w:p w14:paraId="4637D5DE" w14:textId="7041A6E8" w:rsidR="007B0E68" w:rsidRPr="007B0E68" w:rsidRDefault="007B0E68" w:rsidP="00307816">
            <w:pPr>
              <w:spacing w:after="0" w:line="240" w:lineRule="auto"/>
              <w:rPr>
                <w:rFonts w:ascii="Garamond" w:hAnsi="Garamond"/>
                <w:sz w:val="20"/>
                <w:szCs w:val="20"/>
                <w:lang w:val="en-GB"/>
              </w:rPr>
            </w:pPr>
            <w:r w:rsidRPr="007B0E68">
              <w:rPr>
                <w:rFonts w:ascii="Garamond" w:hAnsi="Garamond"/>
                <w:sz w:val="20"/>
                <w:szCs w:val="20"/>
              </w:rPr>
              <w:t>2.4</w:t>
            </w:r>
            <w:r w:rsidRPr="004B3D95">
              <w:t xml:space="preserve"> </w:t>
            </w:r>
            <w:r w:rsidR="008E26CC">
              <w:rPr>
                <w:rFonts w:ascii="Garamond" w:hAnsi="Garamond"/>
                <w:sz w:val="20"/>
                <w:szCs w:val="20"/>
              </w:rPr>
              <w:t xml:space="preserve">In consultation with Yerevan Municipality, Ministry of Labor and Social Affairs, donors involved in social support assistance programs select </w:t>
            </w:r>
            <w:r w:rsidR="008E26CC">
              <w:rPr>
                <w:rFonts w:ascii="Garamond" w:hAnsi="Garamond"/>
                <w:sz w:val="20"/>
                <w:szCs w:val="20"/>
              </w:rPr>
              <w:lastRenderedPageBreak/>
              <w:t xml:space="preserve">representative buildings for in-door light retrofitting projects. </w:t>
            </w:r>
            <w:r w:rsidR="007B53A3">
              <w:rPr>
                <w:rFonts w:ascii="Garamond" w:hAnsi="Garamond"/>
                <w:sz w:val="20"/>
                <w:szCs w:val="20"/>
              </w:rPr>
              <w:t>Analyze</w:t>
            </w:r>
            <w:r w:rsidR="008E26CC">
              <w:rPr>
                <w:rFonts w:ascii="Garamond" w:hAnsi="Garamond"/>
                <w:sz w:val="20"/>
                <w:szCs w:val="20"/>
              </w:rPr>
              <w:t xml:space="preserve"> the project results and ensure appropriate dissemination of the outcomes </w:t>
            </w:r>
            <w:r w:rsidR="008E26CC">
              <w:t xml:space="preserve"> </w:t>
            </w:r>
          </w:p>
        </w:tc>
        <w:tc>
          <w:tcPr>
            <w:tcW w:w="1638" w:type="dxa"/>
          </w:tcPr>
          <w:p w14:paraId="67148B2D" w14:textId="1E870AFB" w:rsidR="007B0E68" w:rsidRPr="00F02A8A" w:rsidDel="00BA6647" w:rsidRDefault="008E26CC" w:rsidP="00307816">
            <w:pPr>
              <w:tabs>
                <w:tab w:val="left" w:pos="1080"/>
              </w:tabs>
              <w:spacing w:after="0" w:line="240" w:lineRule="auto"/>
              <w:rPr>
                <w:rFonts w:ascii="Garamond" w:hAnsi="Garamond"/>
                <w:sz w:val="20"/>
                <w:szCs w:val="20"/>
              </w:rPr>
            </w:pPr>
            <w:r>
              <w:rPr>
                <w:rFonts w:ascii="Garamond" w:hAnsi="Garamond"/>
                <w:sz w:val="20"/>
                <w:szCs w:val="20"/>
              </w:rPr>
              <w:lastRenderedPageBreak/>
              <w:t>2016-2017</w:t>
            </w:r>
          </w:p>
        </w:tc>
        <w:tc>
          <w:tcPr>
            <w:tcW w:w="1480" w:type="dxa"/>
            <w:gridSpan w:val="2"/>
          </w:tcPr>
          <w:p w14:paraId="7AFFD8DB" w14:textId="77777777" w:rsidR="007B53A3" w:rsidRDefault="007B53A3" w:rsidP="00307816">
            <w:pPr>
              <w:tabs>
                <w:tab w:val="left" w:pos="1080"/>
              </w:tabs>
              <w:spacing w:after="0" w:line="240" w:lineRule="auto"/>
              <w:rPr>
                <w:rFonts w:ascii="Garamond" w:hAnsi="Garamond"/>
                <w:sz w:val="20"/>
                <w:szCs w:val="20"/>
              </w:rPr>
            </w:pPr>
            <w:r>
              <w:rPr>
                <w:rFonts w:ascii="Garamond" w:hAnsi="Garamond"/>
                <w:sz w:val="20"/>
                <w:szCs w:val="20"/>
              </w:rPr>
              <w:t>UNDP Project Team</w:t>
            </w:r>
          </w:p>
          <w:p w14:paraId="1A2C1BE9" w14:textId="442F4C29" w:rsidR="007B0E68" w:rsidRPr="00F02A8A" w:rsidDel="00BA6647" w:rsidRDefault="007B53A3" w:rsidP="00307816">
            <w:pPr>
              <w:tabs>
                <w:tab w:val="left" w:pos="1080"/>
              </w:tabs>
              <w:spacing w:after="0" w:line="240" w:lineRule="auto"/>
              <w:rPr>
                <w:rFonts w:ascii="Garamond" w:hAnsi="Garamond"/>
                <w:sz w:val="20"/>
                <w:szCs w:val="20"/>
              </w:rPr>
            </w:pPr>
            <w:r>
              <w:rPr>
                <w:rFonts w:ascii="Garamond" w:hAnsi="Garamond"/>
                <w:sz w:val="20"/>
                <w:szCs w:val="20"/>
              </w:rPr>
              <w:t>Project Board</w:t>
            </w:r>
          </w:p>
        </w:tc>
        <w:tc>
          <w:tcPr>
            <w:tcW w:w="2078" w:type="dxa"/>
          </w:tcPr>
          <w:p w14:paraId="293775F7" w14:textId="1EF023B0" w:rsidR="007B0E68" w:rsidRPr="00F02A8A" w:rsidRDefault="007823F1" w:rsidP="00307816">
            <w:pPr>
              <w:tabs>
                <w:tab w:val="left" w:pos="1080"/>
              </w:tabs>
              <w:spacing w:after="0" w:line="240" w:lineRule="auto"/>
              <w:rPr>
                <w:rFonts w:ascii="Garamond" w:hAnsi="Garamond"/>
                <w:sz w:val="20"/>
                <w:szCs w:val="20"/>
              </w:rPr>
            </w:pPr>
            <w:r>
              <w:rPr>
                <w:rFonts w:ascii="Garamond" w:hAnsi="Garamond"/>
                <w:sz w:val="20"/>
                <w:szCs w:val="20"/>
              </w:rPr>
              <w:t xml:space="preserve">The Ministry of Labor and Social Affairs, World Vision Armenia, and Yerevan </w:t>
            </w:r>
            <w:r>
              <w:rPr>
                <w:rFonts w:ascii="Garamond" w:hAnsi="Garamond"/>
                <w:sz w:val="20"/>
                <w:szCs w:val="20"/>
              </w:rPr>
              <w:lastRenderedPageBreak/>
              <w:t xml:space="preserve">Municipality has identified potential areas for demonstration of indoor lighting retrofit projects </w:t>
            </w:r>
          </w:p>
        </w:tc>
        <w:tc>
          <w:tcPr>
            <w:tcW w:w="1182" w:type="dxa"/>
          </w:tcPr>
          <w:p w14:paraId="4FB540AC" w14:textId="6C08928E" w:rsidR="007B0E68" w:rsidRPr="00F02A8A" w:rsidRDefault="007823F1" w:rsidP="00307816">
            <w:pPr>
              <w:tabs>
                <w:tab w:val="left" w:pos="1080"/>
              </w:tabs>
              <w:spacing w:after="0" w:line="240" w:lineRule="auto"/>
              <w:rPr>
                <w:rFonts w:ascii="Garamond" w:hAnsi="Garamond"/>
                <w:sz w:val="20"/>
                <w:szCs w:val="20"/>
              </w:rPr>
            </w:pPr>
            <w:r w:rsidRPr="007B53A3">
              <w:rPr>
                <w:rFonts w:ascii="Garamond" w:hAnsi="Garamond"/>
                <w:sz w:val="20"/>
                <w:szCs w:val="20"/>
              </w:rPr>
              <w:lastRenderedPageBreak/>
              <w:t>Work in progress</w:t>
            </w:r>
          </w:p>
        </w:tc>
      </w:tr>
    </w:tbl>
    <w:p w14:paraId="511CEE62" w14:textId="77777777" w:rsidR="00D66F55" w:rsidRPr="00F02A8A" w:rsidRDefault="00D66F55" w:rsidP="00307816">
      <w:pPr>
        <w:tabs>
          <w:tab w:val="left" w:pos="1080"/>
        </w:tabs>
        <w:spacing w:after="0" w:line="240" w:lineRule="auto"/>
        <w:rPr>
          <w:rFonts w:ascii="Garamond" w:hAnsi="Garamond"/>
          <w:sz w:val="20"/>
          <w:szCs w:val="20"/>
        </w:rPr>
      </w:pPr>
    </w:p>
    <w:tbl>
      <w:tblPr>
        <w:tblW w:w="9781" w:type="dxa"/>
        <w:tblInd w:w="-1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44"/>
        <w:gridCol w:w="1701"/>
        <w:gridCol w:w="1807"/>
        <w:gridCol w:w="1203"/>
        <w:gridCol w:w="1526"/>
      </w:tblGrid>
      <w:tr w:rsidR="00D66F55" w:rsidRPr="00F02A8A" w14:paraId="2B5C7BA2" w14:textId="77777777" w:rsidTr="00E364DC">
        <w:trPr>
          <w:trHeight w:val="416"/>
        </w:trPr>
        <w:tc>
          <w:tcPr>
            <w:tcW w:w="9781" w:type="dxa"/>
            <w:gridSpan w:val="5"/>
            <w:shd w:val="clear" w:color="auto" w:fill="F3F3F3"/>
          </w:tcPr>
          <w:p w14:paraId="14FCF38D" w14:textId="77777777" w:rsidR="00307816" w:rsidRPr="00E364DC" w:rsidRDefault="00D66F55" w:rsidP="00307816">
            <w:pPr>
              <w:spacing w:after="0" w:line="240" w:lineRule="auto"/>
              <w:rPr>
                <w:rFonts w:ascii="Garamond" w:hAnsi="Garamond"/>
                <w:b/>
                <w:i/>
                <w:u w:val="single"/>
              </w:rPr>
            </w:pPr>
            <w:r w:rsidRPr="00AF13F6">
              <w:rPr>
                <w:rFonts w:ascii="Garamond" w:hAnsi="Garamond"/>
                <w:sz w:val="20"/>
                <w:szCs w:val="20"/>
              </w:rPr>
              <w:br w:type="page"/>
            </w:r>
            <w:r w:rsidRPr="00E364DC">
              <w:rPr>
                <w:rFonts w:ascii="Garamond" w:hAnsi="Garamond"/>
                <w:b/>
                <w:i/>
                <w:u w:val="single"/>
              </w:rPr>
              <w:t xml:space="preserve">Midterm Review recommendation 3. </w:t>
            </w:r>
          </w:p>
          <w:p w14:paraId="34AA2F8D" w14:textId="0D947AFF" w:rsidR="009937BB" w:rsidRPr="00307816" w:rsidRDefault="009937BB" w:rsidP="00307816">
            <w:pPr>
              <w:spacing w:after="0" w:line="240" w:lineRule="auto"/>
              <w:rPr>
                <w:b/>
              </w:rPr>
            </w:pPr>
            <w:r w:rsidRPr="00307816">
              <w:rPr>
                <w:b/>
              </w:rPr>
              <w:t xml:space="preserve">Maintain high level of public outreach and </w:t>
            </w:r>
            <w:r w:rsidR="00307816" w:rsidRPr="00307816">
              <w:rPr>
                <w:b/>
              </w:rPr>
              <w:t>institutionalize</w:t>
            </w:r>
            <w:r w:rsidRPr="00307816">
              <w:rPr>
                <w:b/>
              </w:rPr>
              <w:t xml:space="preserve"> public awareness measures in the long term </w:t>
            </w:r>
          </w:p>
          <w:p w14:paraId="7FEF0D75" w14:textId="78B39CF5" w:rsidR="009937BB" w:rsidRPr="007E0664" w:rsidRDefault="009937BB" w:rsidP="00307816">
            <w:pPr>
              <w:pStyle w:val="ListParagraph"/>
              <w:numPr>
                <w:ilvl w:val="1"/>
                <w:numId w:val="1"/>
              </w:numPr>
              <w:spacing w:after="0"/>
            </w:pPr>
            <w:r w:rsidRPr="007E0664">
              <w:t xml:space="preserve">The Project shall maintain the high level of dissemination and public awareness creation activities throughout </w:t>
            </w:r>
            <w:r>
              <w:t>the remaining</w:t>
            </w:r>
            <w:r w:rsidRPr="007E0664">
              <w:t xml:space="preserve"> project period</w:t>
            </w:r>
            <w:r>
              <w:t>. Public outreach expert, preferably with international background and relevant expertise shall be nominated to implement dedicated awareness activities.</w:t>
            </w:r>
          </w:p>
          <w:p w14:paraId="10E44E86" w14:textId="77777777" w:rsidR="009937BB" w:rsidRPr="00463268" w:rsidRDefault="009937BB" w:rsidP="00307816">
            <w:pPr>
              <w:pStyle w:val="ListParagraph"/>
              <w:numPr>
                <w:ilvl w:val="1"/>
                <w:numId w:val="1"/>
              </w:numPr>
              <w:spacing w:after="0"/>
            </w:pPr>
            <w:r w:rsidRPr="00463268">
              <w:t>Establishment of a testing laboratory for lighting equipment and educational laboratory in a university is already underway. However, it shall be assessed whether any complementary outreach is required e.g. for universities to encourage the effective use of the laboratory for research and educational purposes by a variety of stakeholders.</w:t>
            </w:r>
          </w:p>
          <w:p w14:paraId="21A51877" w14:textId="77777777" w:rsidR="009937BB" w:rsidRPr="007E0664" w:rsidRDefault="009937BB" w:rsidP="00307816">
            <w:pPr>
              <w:pStyle w:val="ListParagraph"/>
              <w:numPr>
                <w:ilvl w:val="1"/>
                <w:numId w:val="1"/>
              </w:numPr>
              <w:spacing w:after="0"/>
            </w:pPr>
            <w:r>
              <w:t>L</w:t>
            </w:r>
            <w:r w:rsidRPr="007E0664">
              <w:t xml:space="preserve">ighting campaigns and awareness programs </w:t>
            </w:r>
            <w:r>
              <w:t>shall be widened up and addressing the potential for EE in lighting for different end-user groups (users of public and residential buildings). Reinventing the wheel is not necessary, since there is a vast experience to learn from other countries’ program experiences</w:t>
            </w:r>
            <w:r>
              <w:rPr>
                <w:rStyle w:val="FootnoteReference"/>
              </w:rPr>
              <w:footnoteReference w:id="4"/>
            </w:r>
            <w:r>
              <w:t>. Project shall further start measuring impact of campaigns allowing to measure the contribution of EE lighting retrofits towards the</w:t>
            </w:r>
            <w:r w:rsidRPr="007E0664">
              <w:t xml:space="preserve"> </w:t>
            </w:r>
            <w:r>
              <w:t>change of</w:t>
            </w:r>
            <w:r w:rsidRPr="007E0664">
              <w:t xml:space="preserve"> energy </w:t>
            </w:r>
            <w:r>
              <w:t>demand in the country, and towards the project finalisation introduce specific monitoring indicators into its M&amp;E strategy.</w:t>
            </w:r>
          </w:p>
          <w:p w14:paraId="55A84008" w14:textId="77777777" w:rsidR="009937BB" w:rsidRDefault="009937BB" w:rsidP="00307816">
            <w:pPr>
              <w:pStyle w:val="ListParagraph"/>
              <w:numPr>
                <w:ilvl w:val="1"/>
                <w:numId w:val="1"/>
              </w:numPr>
              <w:spacing w:after="0"/>
            </w:pPr>
            <w:r>
              <w:t>In terms of more effective and visible awareness and campaigning, a dedicated website (separate web domain) shall be introduced in Armenia. This website – eventually combined with social media functionality – shall provide the major information hub on energy efficient lighting in Armenia.</w:t>
            </w:r>
          </w:p>
          <w:p w14:paraId="32AD5297" w14:textId="77777777" w:rsidR="009937BB" w:rsidRDefault="009937BB" w:rsidP="00307816">
            <w:pPr>
              <w:pStyle w:val="ListParagraph"/>
              <w:numPr>
                <w:ilvl w:val="1"/>
                <w:numId w:val="1"/>
              </w:numPr>
              <w:spacing w:after="0"/>
            </w:pPr>
            <w:r>
              <w:t xml:space="preserve">Experiences and lessons learnt from Armenian GUL project shall be referred to in the UNEP’s </w:t>
            </w:r>
            <w:proofErr w:type="spellStart"/>
            <w:r>
              <w:t>en.light</w:t>
            </w:r>
            <w:proofErr w:type="spellEnd"/>
            <w:r>
              <w:t xml:space="preserve"> programme website (</w:t>
            </w:r>
            <w:hyperlink r:id="rId7" w:history="1">
              <w:r w:rsidRPr="008B03C2">
                <w:rPr>
                  <w:rStyle w:val="Hyperlink"/>
                </w:rPr>
                <w:t>http://www.enlighten-initiative.org/</w:t>
              </w:r>
            </w:hyperlink>
            <w:r>
              <w:t>), thus becoming part of the international cooperation network and exchange platform. Further exchange with other countries implementing similar activities (</w:t>
            </w:r>
            <w:proofErr w:type="spellStart"/>
            <w:r>
              <w:t>e.g</w:t>
            </w:r>
            <w:proofErr w:type="spellEnd"/>
            <w:r>
              <w:t xml:space="preserve"> Russia, Kazakhstan, Belarus) shall be maintained.</w:t>
            </w:r>
          </w:p>
          <w:p w14:paraId="5DF216AB" w14:textId="07CF9506" w:rsidR="00D66F55" w:rsidRPr="00AF13F6" w:rsidRDefault="009937BB" w:rsidP="00A757A7">
            <w:pPr>
              <w:pStyle w:val="ListParagraph"/>
              <w:numPr>
                <w:ilvl w:val="1"/>
                <w:numId w:val="1"/>
              </w:numPr>
              <w:spacing w:after="0"/>
              <w:ind w:left="1077" w:hanging="357"/>
              <w:contextualSpacing w:val="0"/>
            </w:pPr>
            <w:r>
              <w:t>I</w:t>
            </w:r>
            <w:r w:rsidRPr="00122EDA">
              <w:t xml:space="preserve">t is recommended that </w:t>
            </w:r>
            <w:r>
              <w:t xml:space="preserve">the </w:t>
            </w:r>
            <w:r w:rsidRPr="00122EDA">
              <w:t xml:space="preserve">project </w:t>
            </w:r>
            <w:r>
              <w:t>team</w:t>
            </w:r>
            <w:r w:rsidRPr="00122EDA">
              <w:t xml:space="preserve"> </w:t>
            </w:r>
            <w:r w:rsidR="00A757A7">
              <w:t>invest</w:t>
            </w:r>
            <w:r w:rsidRPr="00122EDA">
              <w:t xml:space="preserve"> to compile </w:t>
            </w:r>
            <w:r>
              <w:t>“</w:t>
            </w:r>
            <w:r w:rsidRPr="00122EDA">
              <w:t xml:space="preserve">lessons learnt” </w:t>
            </w:r>
            <w:r>
              <w:t xml:space="preserve">from the project </w:t>
            </w:r>
            <w:r w:rsidRPr="00122EDA">
              <w:t xml:space="preserve">to contribute to the project’s </w:t>
            </w:r>
            <w:r>
              <w:t>knowledge management</w:t>
            </w:r>
            <w:r w:rsidRPr="00122EDA">
              <w:t>, learning and information dissemination strategy.</w:t>
            </w:r>
            <w:r>
              <w:t xml:space="preserve"> A</w:t>
            </w:r>
            <w:r w:rsidRPr="00122EDA">
              <w:t xml:space="preserve">n analytical, thorough and, as required, also critical </w:t>
            </w:r>
            <w:r>
              <w:t>report</w:t>
            </w:r>
            <w:r w:rsidRPr="00122EDA">
              <w:t xml:space="preserve"> summarizing experience and findings of this project would highly benefit </w:t>
            </w:r>
            <w:r>
              <w:t xml:space="preserve">the country activities </w:t>
            </w:r>
            <w:r w:rsidRPr="00122EDA">
              <w:t xml:space="preserve">and UNDP in general. As a part of that, an analysis of the pilot project tender results and their evolution over the time in line with the capacity built </w:t>
            </w:r>
            <w:r>
              <w:t>shall be considered</w:t>
            </w:r>
            <w:r w:rsidRPr="00122EDA">
              <w:t xml:space="preserve"> </w:t>
            </w:r>
            <w:r>
              <w:t>in such review.</w:t>
            </w:r>
          </w:p>
        </w:tc>
      </w:tr>
      <w:tr w:rsidR="00D66F55" w:rsidRPr="00F02A8A" w14:paraId="10039FAB" w14:textId="77777777" w:rsidTr="00E364DC">
        <w:tc>
          <w:tcPr>
            <w:tcW w:w="9781" w:type="dxa"/>
            <w:gridSpan w:val="5"/>
            <w:tcBorders>
              <w:top w:val="single" w:sz="4" w:space="0" w:color="auto"/>
              <w:bottom w:val="single" w:sz="6" w:space="0" w:color="auto"/>
            </w:tcBorders>
            <w:shd w:val="clear" w:color="auto" w:fill="F3F3F3"/>
          </w:tcPr>
          <w:p w14:paraId="15FFC3B4" w14:textId="1E406E67" w:rsidR="00D66F55" w:rsidRPr="00F02A8A" w:rsidRDefault="00D66F55" w:rsidP="00307816">
            <w:pPr>
              <w:tabs>
                <w:tab w:val="left" w:pos="1080"/>
              </w:tabs>
              <w:spacing w:after="0" w:line="240" w:lineRule="auto"/>
              <w:rPr>
                <w:rFonts w:ascii="Garamond" w:hAnsi="Garamond"/>
                <w:sz w:val="20"/>
                <w:szCs w:val="20"/>
              </w:rPr>
            </w:pPr>
            <w:r w:rsidRPr="00F02A8A">
              <w:rPr>
                <w:rFonts w:ascii="Garamond" w:hAnsi="Garamond"/>
                <w:b/>
                <w:sz w:val="20"/>
                <w:szCs w:val="20"/>
              </w:rPr>
              <w:t>Management response</w:t>
            </w:r>
            <w:r w:rsidRPr="00F02A8A">
              <w:rPr>
                <w:rFonts w:ascii="Garamond" w:hAnsi="Garamond"/>
                <w:sz w:val="20"/>
                <w:szCs w:val="20"/>
              </w:rPr>
              <w:t xml:space="preserve">: </w:t>
            </w:r>
            <w:r w:rsidR="000721B7" w:rsidRPr="007E4893">
              <w:rPr>
                <w:bCs/>
                <w:sz w:val="20"/>
                <w:szCs w:val="20"/>
              </w:rPr>
              <w:t>The Project outreach strategy implementation will be continued and</w:t>
            </w:r>
            <w:r w:rsidR="000721B7">
              <w:rPr>
                <w:bCs/>
                <w:sz w:val="20"/>
                <w:szCs w:val="20"/>
              </w:rPr>
              <w:t xml:space="preserve"> upgraded to the current project stage needs</w:t>
            </w:r>
            <w:r w:rsidR="000721B7" w:rsidRPr="007E4893">
              <w:rPr>
                <w:bCs/>
                <w:sz w:val="20"/>
                <w:szCs w:val="20"/>
              </w:rPr>
              <w:t xml:space="preserve"> </w:t>
            </w:r>
          </w:p>
        </w:tc>
      </w:tr>
      <w:tr w:rsidR="00D66F55" w:rsidRPr="00F02A8A" w14:paraId="308B07D2" w14:textId="77777777" w:rsidTr="00E364DC">
        <w:trPr>
          <w:trHeight w:val="135"/>
        </w:trPr>
        <w:tc>
          <w:tcPr>
            <w:tcW w:w="3544" w:type="dxa"/>
            <w:vMerge w:val="restart"/>
            <w:tcBorders>
              <w:top w:val="single" w:sz="6" w:space="0" w:color="auto"/>
              <w:bottom w:val="single" w:sz="6" w:space="0" w:color="auto"/>
              <w:right w:val="single" w:sz="6" w:space="0" w:color="auto"/>
            </w:tcBorders>
            <w:shd w:val="clear" w:color="auto" w:fill="F3F3F3"/>
          </w:tcPr>
          <w:p w14:paraId="76111D56" w14:textId="77777777" w:rsidR="00D66F55" w:rsidRPr="00F02A8A" w:rsidRDefault="00D66F55" w:rsidP="00307816">
            <w:pPr>
              <w:tabs>
                <w:tab w:val="left" w:pos="1080"/>
              </w:tabs>
              <w:spacing w:after="0" w:line="240" w:lineRule="auto"/>
              <w:jc w:val="center"/>
              <w:rPr>
                <w:rFonts w:ascii="Garamond" w:hAnsi="Garamond"/>
                <w:b/>
                <w:sz w:val="20"/>
                <w:szCs w:val="20"/>
              </w:rPr>
            </w:pPr>
            <w:r w:rsidRPr="00F02A8A">
              <w:rPr>
                <w:rFonts w:ascii="Garamond" w:hAnsi="Garamond"/>
                <w:b/>
                <w:sz w:val="20"/>
                <w:szCs w:val="20"/>
              </w:rPr>
              <w:t>Key action(s)</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F3F3F3"/>
          </w:tcPr>
          <w:p w14:paraId="099F719E" w14:textId="0957DED1" w:rsidR="00D66F55" w:rsidRPr="00F02A8A" w:rsidRDefault="00D66F55" w:rsidP="00307816">
            <w:pPr>
              <w:tabs>
                <w:tab w:val="left" w:pos="1080"/>
              </w:tabs>
              <w:spacing w:after="0" w:line="240" w:lineRule="auto"/>
              <w:jc w:val="center"/>
              <w:rPr>
                <w:rFonts w:ascii="Garamond" w:hAnsi="Garamond"/>
                <w:b/>
                <w:sz w:val="20"/>
                <w:szCs w:val="20"/>
              </w:rPr>
            </w:pPr>
            <w:r w:rsidRPr="00F02A8A">
              <w:rPr>
                <w:rFonts w:ascii="Garamond" w:hAnsi="Garamond"/>
                <w:b/>
                <w:sz w:val="20"/>
                <w:szCs w:val="20"/>
              </w:rPr>
              <w:t>Time frame</w:t>
            </w:r>
            <w:r w:rsidR="00A33498">
              <w:rPr>
                <w:rFonts w:ascii="Garamond" w:hAnsi="Garamond"/>
                <w:b/>
                <w:sz w:val="20"/>
                <w:szCs w:val="20"/>
              </w:rPr>
              <w:t xml:space="preserve"> </w:t>
            </w:r>
            <w:r w:rsidR="00A33498" w:rsidRPr="00A33498">
              <w:rPr>
                <w:rFonts w:ascii="Garamond" w:hAnsi="Garamond"/>
                <w:b/>
                <w:sz w:val="20"/>
                <w:szCs w:val="20"/>
              </w:rPr>
              <w:t>[month, year to month, year]</w:t>
            </w:r>
          </w:p>
        </w:tc>
        <w:tc>
          <w:tcPr>
            <w:tcW w:w="1807" w:type="dxa"/>
            <w:vMerge w:val="restart"/>
            <w:tcBorders>
              <w:top w:val="single" w:sz="6" w:space="0" w:color="auto"/>
              <w:left w:val="single" w:sz="6" w:space="0" w:color="auto"/>
              <w:bottom w:val="single" w:sz="6" w:space="0" w:color="auto"/>
              <w:right w:val="single" w:sz="6" w:space="0" w:color="auto"/>
            </w:tcBorders>
            <w:shd w:val="clear" w:color="auto" w:fill="F3F3F3"/>
          </w:tcPr>
          <w:p w14:paraId="44D67A2A" w14:textId="77777777" w:rsidR="00D66F55" w:rsidRPr="00F02A8A" w:rsidRDefault="00D66F55" w:rsidP="00307816">
            <w:pPr>
              <w:tabs>
                <w:tab w:val="left" w:pos="1080"/>
              </w:tabs>
              <w:spacing w:after="0" w:line="240" w:lineRule="auto"/>
              <w:jc w:val="center"/>
              <w:rPr>
                <w:rFonts w:ascii="Garamond" w:hAnsi="Garamond"/>
                <w:b/>
                <w:sz w:val="20"/>
                <w:szCs w:val="20"/>
              </w:rPr>
            </w:pPr>
            <w:r w:rsidRPr="00F02A8A">
              <w:rPr>
                <w:rFonts w:ascii="Garamond" w:hAnsi="Garamond"/>
                <w:b/>
                <w:sz w:val="20"/>
                <w:szCs w:val="20"/>
              </w:rPr>
              <w:t>Responsible unit(s)</w:t>
            </w:r>
          </w:p>
        </w:tc>
        <w:tc>
          <w:tcPr>
            <w:tcW w:w="2729" w:type="dxa"/>
            <w:gridSpan w:val="2"/>
            <w:tcBorders>
              <w:top w:val="single" w:sz="6" w:space="0" w:color="auto"/>
              <w:left w:val="single" w:sz="6" w:space="0" w:color="auto"/>
              <w:bottom w:val="single" w:sz="6" w:space="0" w:color="auto"/>
            </w:tcBorders>
            <w:shd w:val="clear" w:color="auto" w:fill="F3F3F3"/>
          </w:tcPr>
          <w:p w14:paraId="731966D6" w14:textId="77777777" w:rsidR="00D66F55" w:rsidRPr="00F02A8A" w:rsidRDefault="00D66F55" w:rsidP="00307816">
            <w:pPr>
              <w:tabs>
                <w:tab w:val="left" w:pos="1080"/>
              </w:tabs>
              <w:spacing w:after="0" w:line="240" w:lineRule="auto"/>
              <w:jc w:val="center"/>
              <w:rPr>
                <w:rFonts w:ascii="Garamond" w:hAnsi="Garamond"/>
                <w:b/>
                <w:sz w:val="20"/>
                <w:szCs w:val="20"/>
              </w:rPr>
            </w:pPr>
            <w:r w:rsidRPr="00F02A8A">
              <w:rPr>
                <w:rFonts w:ascii="Garamond" w:hAnsi="Garamond"/>
                <w:b/>
                <w:sz w:val="20"/>
                <w:szCs w:val="20"/>
              </w:rPr>
              <w:t>Tracking</w:t>
            </w:r>
          </w:p>
        </w:tc>
      </w:tr>
      <w:tr w:rsidR="00D66F55" w:rsidRPr="00F02A8A" w14:paraId="5C6A17CA" w14:textId="77777777" w:rsidTr="00E364DC">
        <w:trPr>
          <w:trHeight w:val="138"/>
        </w:trPr>
        <w:tc>
          <w:tcPr>
            <w:tcW w:w="3544" w:type="dxa"/>
            <w:vMerge/>
            <w:tcBorders>
              <w:top w:val="single" w:sz="6" w:space="0" w:color="auto"/>
              <w:bottom w:val="single" w:sz="6" w:space="0" w:color="auto"/>
              <w:right w:val="single" w:sz="6" w:space="0" w:color="auto"/>
            </w:tcBorders>
            <w:shd w:val="clear" w:color="auto" w:fill="F3F3F3"/>
          </w:tcPr>
          <w:p w14:paraId="60B7C24D" w14:textId="77777777" w:rsidR="00D66F55" w:rsidRPr="00F02A8A" w:rsidRDefault="00D66F55" w:rsidP="00307816">
            <w:pPr>
              <w:tabs>
                <w:tab w:val="left" w:pos="1080"/>
              </w:tabs>
              <w:spacing w:after="0" w:line="240" w:lineRule="auto"/>
              <w:rPr>
                <w:rFonts w:ascii="Garamond" w:hAnsi="Garamond"/>
                <w:sz w:val="20"/>
                <w:szCs w:val="20"/>
              </w:rPr>
            </w:pPr>
          </w:p>
        </w:tc>
        <w:tc>
          <w:tcPr>
            <w:tcW w:w="1701" w:type="dxa"/>
            <w:vMerge/>
            <w:tcBorders>
              <w:top w:val="single" w:sz="6" w:space="0" w:color="auto"/>
              <w:left w:val="single" w:sz="6" w:space="0" w:color="auto"/>
              <w:bottom w:val="single" w:sz="6" w:space="0" w:color="auto"/>
              <w:right w:val="single" w:sz="6" w:space="0" w:color="auto"/>
            </w:tcBorders>
            <w:shd w:val="clear" w:color="auto" w:fill="F3F3F3"/>
          </w:tcPr>
          <w:p w14:paraId="04A5FAF6" w14:textId="77777777" w:rsidR="00D66F55" w:rsidRPr="00F02A8A" w:rsidRDefault="00D66F55" w:rsidP="00307816">
            <w:pPr>
              <w:tabs>
                <w:tab w:val="left" w:pos="1080"/>
              </w:tabs>
              <w:spacing w:after="0" w:line="240" w:lineRule="auto"/>
              <w:rPr>
                <w:rFonts w:ascii="Garamond" w:hAnsi="Garamond"/>
                <w:b/>
                <w:sz w:val="20"/>
                <w:szCs w:val="20"/>
              </w:rPr>
            </w:pPr>
          </w:p>
        </w:tc>
        <w:tc>
          <w:tcPr>
            <w:tcW w:w="1807" w:type="dxa"/>
            <w:vMerge/>
            <w:tcBorders>
              <w:top w:val="single" w:sz="6" w:space="0" w:color="auto"/>
              <w:left w:val="single" w:sz="6" w:space="0" w:color="auto"/>
              <w:bottom w:val="single" w:sz="6" w:space="0" w:color="auto"/>
              <w:right w:val="single" w:sz="6" w:space="0" w:color="auto"/>
            </w:tcBorders>
            <w:shd w:val="clear" w:color="auto" w:fill="F3F3F3"/>
          </w:tcPr>
          <w:p w14:paraId="6E9973ED" w14:textId="77777777" w:rsidR="00D66F55" w:rsidRPr="00F02A8A" w:rsidRDefault="00D66F55" w:rsidP="00307816">
            <w:pPr>
              <w:tabs>
                <w:tab w:val="left" w:pos="1080"/>
              </w:tabs>
              <w:spacing w:after="0" w:line="240" w:lineRule="auto"/>
              <w:rPr>
                <w:rFonts w:ascii="Garamond" w:hAnsi="Garamond"/>
                <w:b/>
                <w:sz w:val="20"/>
                <w:szCs w:val="20"/>
              </w:rPr>
            </w:pPr>
          </w:p>
        </w:tc>
        <w:tc>
          <w:tcPr>
            <w:tcW w:w="1203" w:type="dxa"/>
            <w:tcBorders>
              <w:top w:val="single" w:sz="6" w:space="0" w:color="auto"/>
              <w:left w:val="single" w:sz="6" w:space="0" w:color="auto"/>
              <w:bottom w:val="single" w:sz="6" w:space="0" w:color="auto"/>
              <w:right w:val="single" w:sz="6" w:space="0" w:color="auto"/>
            </w:tcBorders>
          </w:tcPr>
          <w:p w14:paraId="10012CA8" w14:textId="77777777" w:rsidR="00D66F55" w:rsidRPr="00F02A8A" w:rsidRDefault="00D66F55" w:rsidP="00307816">
            <w:pPr>
              <w:tabs>
                <w:tab w:val="left" w:pos="1080"/>
              </w:tabs>
              <w:spacing w:after="0" w:line="240" w:lineRule="auto"/>
              <w:jc w:val="center"/>
              <w:rPr>
                <w:rFonts w:ascii="Garamond" w:hAnsi="Garamond"/>
                <w:b/>
                <w:sz w:val="20"/>
                <w:szCs w:val="20"/>
              </w:rPr>
            </w:pPr>
            <w:r w:rsidRPr="00F02A8A">
              <w:rPr>
                <w:rFonts w:ascii="Garamond" w:hAnsi="Garamond"/>
                <w:b/>
                <w:sz w:val="20"/>
                <w:szCs w:val="20"/>
              </w:rPr>
              <w:t>Comments</w:t>
            </w:r>
          </w:p>
        </w:tc>
        <w:tc>
          <w:tcPr>
            <w:tcW w:w="1526" w:type="dxa"/>
            <w:tcBorders>
              <w:top w:val="single" w:sz="6" w:space="0" w:color="auto"/>
              <w:left w:val="single" w:sz="6" w:space="0" w:color="auto"/>
              <w:bottom w:val="single" w:sz="6" w:space="0" w:color="auto"/>
            </w:tcBorders>
          </w:tcPr>
          <w:p w14:paraId="181AEFB1" w14:textId="77777777" w:rsidR="00D66F55" w:rsidRPr="00F02A8A" w:rsidRDefault="00D66F55" w:rsidP="00307816">
            <w:pPr>
              <w:tabs>
                <w:tab w:val="left" w:pos="1080"/>
              </w:tabs>
              <w:spacing w:after="0" w:line="240" w:lineRule="auto"/>
              <w:jc w:val="center"/>
              <w:rPr>
                <w:rFonts w:ascii="Garamond" w:hAnsi="Garamond"/>
                <w:b/>
                <w:sz w:val="20"/>
                <w:szCs w:val="20"/>
              </w:rPr>
            </w:pPr>
            <w:r w:rsidRPr="00F02A8A">
              <w:rPr>
                <w:rFonts w:ascii="Garamond" w:hAnsi="Garamond"/>
                <w:b/>
                <w:sz w:val="20"/>
                <w:szCs w:val="20"/>
              </w:rPr>
              <w:t>Status</w:t>
            </w:r>
          </w:p>
        </w:tc>
      </w:tr>
      <w:tr w:rsidR="00D66F55" w:rsidRPr="00F02A8A" w14:paraId="2F23B847" w14:textId="77777777" w:rsidTr="00A757A7">
        <w:trPr>
          <w:trHeight w:val="978"/>
        </w:trPr>
        <w:tc>
          <w:tcPr>
            <w:tcW w:w="3544" w:type="dxa"/>
            <w:tcBorders>
              <w:top w:val="single" w:sz="6" w:space="0" w:color="auto"/>
              <w:bottom w:val="single" w:sz="6" w:space="0" w:color="auto"/>
              <w:right w:val="single" w:sz="6" w:space="0" w:color="auto"/>
            </w:tcBorders>
          </w:tcPr>
          <w:p w14:paraId="6D1F8CF4" w14:textId="381433CE" w:rsidR="00D66F55" w:rsidRPr="00F02A8A" w:rsidRDefault="00D66F55" w:rsidP="00307816">
            <w:pPr>
              <w:tabs>
                <w:tab w:val="left" w:pos="1080"/>
              </w:tabs>
              <w:spacing w:after="0" w:line="240" w:lineRule="auto"/>
              <w:rPr>
                <w:rFonts w:ascii="Garamond" w:hAnsi="Garamond"/>
                <w:sz w:val="20"/>
                <w:szCs w:val="20"/>
              </w:rPr>
            </w:pPr>
            <w:r w:rsidRPr="00F02A8A">
              <w:rPr>
                <w:rFonts w:ascii="Garamond" w:hAnsi="Garamond"/>
                <w:sz w:val="20"/>
                <w:szCs w:val="20"/>
              </w:rPr>
              <w:t xml:space="preserve">3.1 </w:t>
            </w:r>
            <w:r w:rsidR="008E70F6">
              <w:rPr>
                <w:rFonts w:ascii="Garamond" w:hAnsi="Garamond"/>
                <w:sz w:val="20"/>
                <w:szCs w:val="20"/>
              </w:rPr>
              <w:t xml:space="preserve">Enhance project results </w:t>
            </w:r>
            <w:r w:rsidR="008E70F6" w:rsidRPr="008E70F6">
              <w:rPr>
                <w:rFonts w:ascii="Garamond" w:hAnsi="Garamond"/>
                <w:sz w:val="20"/>
                <w:szCs w:val="20"/>
              </w:rPr>
              <w:t>dissemination and public awareness activities throughout the remaining project period</w:t>
            </w:r>
          </w:p>
        </w:tc>
        <w:tc>
          <w:tcPr>
            <w:tcW w:w="1701" w:type="dxa"/>
            <w:tcBorders>
              <w:top w:val="single" w:sz="6" w:space="0" w:color="auto"/>
              <w:left w:val="single" w:sz="6" w:space="0" w:color="auto"/>
              <w:bottom w:val="single" w:sz="6" w:space="0" w:color="auto"/>
              <w:right w:val="single" w:sz="6" w:space="0" w:color="auto"/>
            </w:tcBorders>
          </w:tcPr>
          <w:p w14:paraId="6E6F4E0B" w14:textId="577ACB3B" w:rsidR="00D66F55" w:rsidRPr="00F02A8A" w:rsidRDefault="00AF13F6" w:rsidP="00307816">
            <w:pPr>
              <w:tabs>
                <w:tab w:val="left" w:pos="1080"/>
              </w:tabs>
              <w:spacing w:after="0" w:line="240" w:lineRule="auto"/>
              <w:rPr>
                <w:rFonts w:ascii="Garamond" w:hAnsi="Garamond"/>
                <w:sz w:val="20"/>
                <w:szCs w:val="20"/>
              </w:rPr>
            </w:pPr>
            <w:r>
              <w:rPr>
                <w:rFonts w:ascii="Garamond" w:hAnsi="Garamond"/>
                <w:sz w:val="20"/>
                <w:szCs w:val="20"/>
              </w:rPr>
              <w:t>Continuous</w:t>
            </w:r>
          </w:p>
        </w:tc>
        <w:tc>
          <w:tcPr>
            <w:tcW w:w="1807" w:type="dxa"/>
            <w:tcBorders>
              <w:top w:val="single" w:sz="6" w:space="0" w:color="auto"/>
              <w:left w:val="single" w:sz="6" w:space="0" w:color="auto"/>
              <w:bottom w:val="single" w:sz="6" w:space="0" w:color="auto"/>
              <w:right w:val="single" w:sz="6" w:space="0" w:color="auto"/>
            </w:tcBorders>
          </w:tcPr>
          <w:p w14:paraId="31434D7A" w14:textId="6369D939" w:rsidR="00666DF7" w:rsidRDefault="00666DF7" w:rsidP="00307816">
            <w:pPr>
              <w:tabs>
                <w:tab w:val="left" w:pos="1080"/>
              </w:tabs>
              <w:spacing w:after="0" w:line="240" w:lineRule="auto"/>
              <w:rPr>
                <w:rFonts w:ascii="Garamond" w:hAnsi="Garamond"/>
                <w:sz w:val="20"/>
                <w:szCs w:val="20"/>
              </w:rPr>
            </w:pPr>
            <w:r>
              <w:rPr>
                <w:rFonts w:ascii="Garamond" w:hAnsi="Garamond"/>
                <w:sz w:val="20"/>
                <w:szCs w:val="20"/>
              </w:rPr>
              <w:t>UNDP  CO</w:t>
            </w:r>
          </w:p>
          <w:p w14:paraId="080BF247" w14:textId="77777777" w:rsidR="00666DF7" w:rsidRDefault="00666DF7" w:rsidP="00307816">
            <w:pPr>
              <w:tabs>
                <w:tab w:val="left" w:pos="1080"/>
              </w:tabs>
              <w:spacing w:after="0" w:line="240" w:lineRule="auto"/>
              <w:rPr>
                <w:rFonts w:ascii="Garamond" w:hAnsi="Garamond"/>
                <w:sz w:val="20"/>
                <w:szCs w:val="20"/>
              </w:rPr>
            </w:pPr>
            <w:r>
              <w:rPr>
                <w:rFonts w:ascii="Garamond" w:hAnsi="Garamond"/>
                <w:sz w:val="20"/>
                <w:szCs w:val="20"/>
              </w:rPr>
              <w:t>UNDP Project Team</w:t>
            </w:r>
          </w:p>
          <w:p w14:paraId="3F12014B" w14:textId="4D5A4CCF" w:rsidR="00D66F55" w:rsidRPr="00F02A8A" w:rsidRDefault="00666DF7" w:rsidP="00307816">
            <w:pPr>
              <w:tabs>
                <w:tab w:val="left" w:pos="1080"/>
              </w:tabs>
              <w:spacing w:after="0" w:line="240" w:lineRule="auto"/>
              <w:rPr>
                <w:rFonts w:ascii="Garamond" w:hAnsi="Garamond"/>
                <w:sz w:val="20"/>
                <w:szCs w:val="20"/>
              </w:rPr>
            </w:pPr>
            <w:r>
              <w:rPr>
                <w:rFonts w:ascii="Garamond" w:hAnsi="Garamond"/>
                <w:sz w:val="20"/>
                <w:szCs w:val="20"/>
              </w:rPr>
              <w:t>Project Board</w:t>
            </w:r>
          </w:p>
        </w:tc>
        <w:tc>
          <w:tcPr>
            <w:tcW w:w="1203" w:type="dxa"/>
            <w:tcBorders>
              <w:top w:val="single" w:sz="6" w:space="0" w:color="auto"/>
              <w:left w:val="single" w:sz="6" w:space="0" w:color="auto"/>
              <w:bottom w:val="single" w:sz="6" w:space="0" w:color="auto"/>
              <w:right w:val="single" w:sz="6" w:space="0" w:color="auto"/>
            </w:tcBorders>
          </w:tcPr>
          <w:p w14:paraId="30C8797B" w14:textId="77777777" w:rsidR="00D66F55" w:rsidRPr="00F02A8A" w:rsidRDefault="00D66F55" w:rsidP="00307816">
            <w:pPr>
              <w:tabs>
                <w:tab w:val="left" w:pos="1080"/>
              </w:tabs>
              <w:spacing w:after="0" w:line="240" w:lineRule="auto"/>
              <w:rPr>
                <w:rFonts w:ascii="Garamond" w:hAnsi="Garamond"/>
                <w:sz w:val="20"/>
                <w:szCs w:val="20"/>
              </w:rPr>
            </w:pPr>
          </w:p>
        </w:tc>
        <w:tc>
          <w:tcPr>
            <w:tcW w:w="1526" w:type="dxa"/>
            <w:tcBorders>
              <w:top w:val="single" w:sz="6" w:space="0" w:color="auto"/>
              <w:left w:val="single" w:sz="6" w:space="0" w:color="auto"/>
              <w:bottom w:val="single" w:sz="6" w:space="0" w:color="auto"/>
            </w:tcBorders>
          </w:tcPr>
          <w:p w14:paraId="15E9385B" w14:textId="4804EE04" w:rsidR="00D66F55" w:rsidRPr="00F02A8A" w:rsidRDefault="00666DF7" w:rsidP="00307816">
            <w:pPr>
              <w:tabs>
                <w:tab w:val="left" w:pos="1080"/>
              </w:tabs>
              <w:spacing w:after="0" w:line="240" w:lineRule="auto"/>
              <w:rPr>
                <w:rFonts w:ascii="Garamond" w:hAnsi="Garamond"/>
                <w:sz w:val="20"/>
                <w:szCs w:val="20"/>
              </w:rPr>
            </w:pPr>
            <w:r w:rsidRPr="007B53A3">
              <w:rPr>
                <w:rFonts w:ascii="Garamond" w:hAnsi="Garamond"/>
                <w:sz w:val="20"/>
                <w:szCs w:val="20"/>
              </w:rPr>
              <w:t>Work in progress</w:t>
            </w:r>
          </w:p>
        </w:tc>
      </w:tr>
      <w:tr w:rsidR="00D66F55" w:rsidRPr="00F02A8A" w14:paraId="1DD4F7B5" w14:textId="77777777" w:rsidTr="00E364DC">
        <w:tc>
          <w:tcPr>
            <w:tcW w:w="3544" w:type="dxa"/>
            <w:tcBorders>
              <w:top w:val="single" w:sz="6" w:space="0" w:color="auto"/>
              <w:bottom w:val="single" w:sz="6" w:space="0" w:color="auto"/>
              <w:right w:val="single" w:sz="6" w:space="0" w:color="auto"/>
            </w:tcBorders>
          </w:tcPr>
          <w:p w14:paraId="08613EA2" w14:textId="5D53D982" w:rsidR="00D66F55" w:rsidRPr="00F02A8A" w:rsidRDefault="00D66F55" w:rsidP="00307816">
            <w:pPr>
              <w:tabs>
                <w:tab w:val="left" w:pos="1080"/>
              </w:tabs>
              <w:spacing w:after="0" w:line="240" w:lineRule="auto"/>
              <w:rPr>
                <w:rFonts w:ascii="Garamond" w:hAnsi="Garamond"/>
                <w:sz w:val="20"/>
                <w:szCs w:val="20"/>
              </w:rPr>
            </w:pPr>
            <w:r w:rsidRPr="00F02A8A">
              <w:rPr>
                <w:rFonts w:ascii="Garamond" w:hAnsi="Garamond"/>
                <w:sz w:val="20"/>
                <w:szCs w:val="20"/>
              </w:rPr>
              <w:t xml:space="preserve">3.2 </w:t>
            </w:r>
            <w:r w:rsidR="008E70F6">
              <w:rPr>
                <w:rFonts w:ascii="Garamond" w:hAnsi="Garamond"/>
                <w:sz w:val="20"/>
                <w:szCs w:val="20"/>
              </w:rPr>
              <w:t xml:space="preserve"> Assist in </w:t>
            </w:r>
            <w:r w:rsidR="008E70F6" w:rsidRPr="008E70F6">
              <w:rPr>
                <w:rFonts w:ascii="Garamond" w:hAnsi="Garamond"/>
                <w:sz w:val="20"/>
                <w:szCs w:val="20"/>
              </w:rPr>
              <w:t xml:space="preserve"> effective use of the </w:t>
            </w:r>
            <w:r w:rsidR="008E70F6">
              <w:rPr>
                <w:rFonts w:ascii="Garamond" w:hAnsi="Garamond"/>
                <w:sz w:val="20"/>
                <w:szCs w:val="20"/>
              </w:rPr>
              <w:t xml:space="preserve">lighting testing laboratory </w:t>
            </w:r>
            <w:r w:rsidR="008E70F6" w:rsidRPr="008E70F6">
              <w:rPr>
                <w:rFonts w:ascii="Garamond" w:hAnsi="Garamond"/>
                <w:sz w:val="20"/>
                <w:szCs w:val="20"/>
              </w:rPr>
              <w:t>for research and educational purposes by a variety of stakeholders</w:t>
            </w:r>
          </w:p>
        </w:tc>
        <w:tc>
          <w:tcPr>
            <w:tcW w:w="1701" w:type="dxa"/>
            <w:tcBorders>
              <w:top w:val="single" w:sz="6" w:space="0" w:color="auto"/>
              <w:left w:val="single" w:sz="6" w:space="0" w:color="auto"/>
              <w:bottom w:val="single" w:sz="6" w:space="0" w:color="auto"/>
              <w:right w:val="single" w:sz="6" w:space="0" w:color="auto"/>
            </w:tcBorders>
          </w:tcPr>
          <w:p w14:paraId="15AC813B" w14:textId="1CD36EDA" w:rsidR="00D66F55" w:rsidRPr="00F02A8A" w:rsidRDefault="00AF13F6" w:rsidP="00307816">
            <w:pPr>
              <w:tabs>
                <w:tab w:val="left" w:pos="1080"/>
              </w:tabs>
              <w:spacing w:after="0" w:line="240" w:lineRule="auto"/>
              <w:rPr>
                <w:rFonts w:ascii="Garamond" w:hAnsi="Garamond"/>
                <w:sz w:val="20"/>
                <w:szCs w:val="20"/>
              </w:rPr>
            </w:pPr>
            <w:r>
              <w:rPr>
                <w:rFonts w:ascii="Garamond" w:hAnsi="Garamond"/>
                <w:sz w:val="20"/>
                <w:szCs w:val="20"/>
              </w:rPr>
              <w:t>2016-2017</w:t>
            </w:r>
          </w:p>
        </w:tc>
        <w:tc>
          <w:tcPr>
            <w:tcW w:w="1807" w:type="dxa"/>
            <w:tcBorders>
              <w:top w:val="single" w:sz="6" w:space="0" w:color="auto"/>
              <w:left w:val="single" w:sz="6" w:space="0" w:color="auto"/>
              <w:bottom w:val="single" w:sz="6" w:space="0" w:color="auto"/>
              <w:right w:val="single" w:sz="6" w:space="0" w:color="auto"/>
            </w:tcBorders>
          </w:tcPr>
          <w:p w14:paraId="5727E9DB" w14:textId="77777777" w:rsidR="00D66F55" w:rsidRDefault="00666DF7" w:rsidP="00307816">
            <w:pPr>
              <w:tabs>
                <w:tab w:val="left" w:pos="1080"/>
              </w:tabs>
              <w:spacing w:after="0" w:line="240" w:lineRule="auto"/>
              <w:rPr>
                <w:rFonts w:ascii="Garamond" w:hAnsi="Garamond"/>
                <w:sz w:val="20"/>
                <w:szCs w:val="20"/>
              </w:rPr>
            </w:pPr>
            <w:r>
              <w:rPr>
                <w:rFonts w:ascii="Garamond" w:hAnsi="Garamond"/>
                <w:sz w:val="20"/>
                <w:szCs w:val="20"/>
              </w:rPr>
              <w:t>Project Board</w:t>
            </w:r>
          </w:p>
          <w:p w14:paraId="15E666A3" w14:textId="002BDC55" w:rsidR="00666DF7" w:rsidRPr="00F02A8A" w:rsidRDefault="00666DF7" w:rsidP="00307816">
            <w:pPr>
              <w:tabs>
                <w:tab w:val="left" w:pos="1080"/>
              </w:tabs>
              <w:spacing w:after="0" w:line="240" w:lineRule="auto"/>
              <w:rPr>
                <w:rFonts w:ascii="Garamond" w:hAnsi="Garamond"/>
                <w:sz w:val="20"/>
                <w:szCs w:val="20"/>
              </w:rPr>
            </w:pPr>
            <w:r>
              <w:rPr>
                <w:rFonts w:ascii="Garamond" w:hAnsi="Garamond"/>
                <w:sz w:val="20"/>
                <w:szCs w:val="20"/>
              </w:rPr>
              <w:t>Yerevan Municipality</w:t>
            </w:r>
          </w:p>
        </w:tc>
        <w:tc>
          <w:tcPr>
            <w:tcW w:w="1203" w:type="dxa"/>
            <w:tcBorders>
              <w:top w:val="single" w:sz="6" w:space="0" w:color="auto"/>
              <w:left w:val="single" w:sz="6" w:space="0" w:color="auto"/>
              <w:bottom w:val="single" w:sz="6" w:space="0" w:color="auto"/>
              <w:right w:val="single" w:sz="6" w:space="0" w:color="auto"/>
            </w:tcBorders>
          </w:tcPr>
          <w:p w14:paraId="42FC4984" w14:textId="77777777" w:rsidR="00D66F55" w:rsidRPr="00F02A8A" w:rsidRDefault="00D66F55" w:rsidP="00307816">
            <w:pPr>
              <w:tabs>
                <w:tab w:val="left" w:pos="1080"/>
              </w:tabs>
              <w:spacing w:after="0" w:line="240" w:lineRule="auto"/>
              <w:rPr>
                <w:rFonts w:ascii="Garamond" w:hAnsi="Garamond"/>
                <w:sz w:val="20"/>
                <w:szCs w:val="20"/>
              </w:rPr>
            </w:pPr>
          </w:p>
        </w:tc>
        <w:tc>
          <w:tcPr>
            <w:tcW w:w="1526" w:type="dxa"/>
            <w:tcBorders>
              <w:top w:val="single" w:sz="6" w:space="0" w:color="auto"/>
              <w:left w:val="single" w:sz="6" w:space="0" w:color="auto"/>
              <w:bottom w:val="single" w:sz="6" w:space="0" w:color="auto"/>
            </w:tcBorders>
          </w:tcPr>
          <w:p w14:paraId="639D1FAC" w14:textId="02282DCC" w:rsidR="00D66F55" w:rsidRPr="00F02A8A" w:rsidRDefault="00666DF7" w:rsidP="00307816">
            <w:pPr>
              <w:tabs>
                <w:tab w:val="left" w:pos="1080"/>
              </w:tabs>
              <w:spacing w:after="0" w:line="240" w:lineRule="auto"/>
              <w:rPr>
                <w:rFonts w:ascii="Garamond" w:hAnsi="Garamond"/>
                <w:sz w:val="20"/>
                <w:szCs w:val="20"/>
              </w:rPr>
            </w:pPr>
            <w:r w:rsidRPr="007B53A3">
              <w:rPr>
                <w:rFonts w:ascii="Garamond" w:hAnsi="Garamond"/>
                <w:sz w:val="20"/>
                <w:szCs w:val="20"/>
              </w:rPr>
              <w:t>Work in progress</w:t>
            </w:r>
          </w:p>
        </w:tc>
      </w:tr>
      <w:tr w:rsidR="00D66F55" w:rsidRPr="00F02A8A" w14:paraId="127EB53D" w14:textId="77777777" w:rsidTr="00A757A7">
        <w:trPr>
          <w:trHeight w:val="621"/>
        </w:trPr>
        <w:tc>
          <w:tcPr>
            <w:tcW w:w="3544" w:type="dxa"/>
            <w:tcBorders>
              <w:top w:val="single" w:sz="6" w:space="0" w:color="auto"/>
              <w:bottom w:val="single" w:sz="6" w:space="0" w:color="auto"/>
              <w:right w:val="single" w:sz="6" w:space="0" w:color="auto"/>
            </w:tcBorders>
          </w:tcPr>
          <w:p w14:paraId="0E2F95A7" w14:textId="14C20F04" w:rsidR="00D66F55" w:rsidRPr="008E70F6" w:rsidRDefault="00D66F55" w:rsidP="00307816">
            <w:pPr>
              <w:spacing w:after="0" w:line="240" w:lineRule="auto"/>
            </w:pPr>
            <w:r w:rsidRPr="008E70F6">
              <w:rPr>
                <w:rFonts w:ascii="Garamond" w:hAnsi="Garamond"/>
                <w:sz w:val="20"/>
                <w:szCs w:val="20"/>
              </w:rPr>
              <w:lastRenderedPageBreak/>
              <w:t>3.3</w:t>
            </w:r>
            <w:r w:rsidR="008E70F6">
              <w:rPr>
                <w:rFonts w:ascii="Garamond" w:hAnsi="Garamond"/>
                <w:sz w:val="20"/>
                <w:szCs w:val="20"/>
              </w:rPr>
              <w:t xml:space="preserve"> Work-out approaches for measuring awareness </w:t>
            </w:r>
            <w:r w:rsidR="00AF13F6">
              <w:rPr>
                <w:rFonts w:ascii="Garamond" w:hAnsi="Garamond"/>
                <w:sz w:val="20"/>
                <w:szCs w:val="20"/>
              </w:rPr>
              <w:t>campaigns</w:t>
            </w:r>
            <w:r w:rsidR="008E70F6">
              <w:rPr>
                <w:rFonts w:ascii="Garamond" w:hAnsi="Garamond"/>
                <w:sz w:val="20"/>
                <w:szCs w:val="20"/>
              </w:rPr>
              <w:t xml:space="preserve"> impact assessment.</w:t>
            </w:r>
          </w:p>
        </w:tc>
        <w:tc>
          <w:tcPr>
            <w:tcW w:w="1701" w:type="dxa"/>
            <w:tcBorders>
              <w:top w:val="single" w:sz="6" w:space="0" w:color="auto"/>
              <w:left w:val="single" w:sz="6" w:space="0" w:color="auto"/>
              <w:bottom w:val="single" w:sz="6" w:space="0" w:color="auto"/>
              <w:right w:val="single" w:sz="6" w:space="0" w:color="auto"/>
            </w:tcBorders>
          </w:tcPr>
          <w:p w14:paraId="528CD24D" w14:textId="7650618E" w:rsidR="00D66F55" w:rsidRPr="00F02A8A" w:rsidDel="0081599E" w:rsidRDefault="00AF13F6" w:rsidP="00307816">
            <w:pPr>
              <w:tabs>
                <w:tab w:val="left" w:pos="1080"/>
              </w:tabs>
              <w:spacing w:after="0" w:line="240" w:lineRule="auto"/>
              <w:rPr>
                <w:rFonts w:ascii="Garamond" w:hAnsi="Garamond"/>
                <w:sz w:val="20"/>
                <w:szCs w:val="20"/>
              </w:rPr>
            </w:pPr>
            <w:r>
              <w:rPr>
                <w:rFonts w:ascii="Garamond" w:hAnsi="Garamond"/>
                <w:sz w:val="20"/>
                <w:szCs w:val="20"/>
              </w:rPr>
              <w:t>December 2016</w:t>
            </w:r>
          </w:p>
        </w:tc>
        <w:tc>
          <w:tcPr>
            <w:tcW w:w="1807" w:type="dxa"/>
            <w:tcBorders>
              <w:top w:val="single" w:sz="6" w:space="0" w:color="auto"/>
              <w:left w:val="single" w:sz="6" w:space="0" w:color="auto"/>
              <w:bottom w:val="single" w:sz="6" w:space="0" w:color="auto"/>
              <w:right w:val="single" w:sz="6" w:space="0" w:color="auto"/>
            </w:tcBorders>
          </w:tcPr>
          <w:p w14:paraId="4D614E43" w14:textId="290437A2" w:rsidR="00666DF7" w:rsidRDefault="00666DF7" w:rsidP="00307816">
            <w:pPr>
              <w:tabs>
                <w:tab w:val="left" w:pos="1080"/>
              </w:tabs>
              <w:spacing w:after="0" w:line="240" w:lineRule="auto"/>
              <w:rPr>
                <w:rFonts w:ascii="Garamond" w:hAnsi="Garamond"/>
                <w:sz w:val="20"/>
                <w:szCs w:val="20"/>
              </w:rPr>
            </w:pPr>
            <w:r>
              <w:rPr>
                <w:rFonts w:ascii="Garamond" w:hAnsi="Garamond"/>
                <w:sz w:val="20"/>
                <w:szCs w:val="20"/>
              </w:rPr>
              <w:t>UNDP-GEF RTA</w:t>
            </w:r>
          </w:p>
          <w:p w14:paraId="7F6CBB5F" w14:textId="27971029" w:rsidR="00D66F55" w:rsidRPr="00F02A8A" w:rsidDel="0081599E" w:rsidRDefault="00666DF7" w:rsidP="00307816">
            <w:pPr>
              <w:tabs>
                <w:tab w:val="left" w:pos="1080"/>
              </w:tabs>
              <w:spacing w:after="0" w:line="240" w:lineRule="auto"/>
              <w:rPr>
                <w:rFonts w:ascii="Garamond" w:hAnsi="Garamond"/>
                <w:sz w:val="20"/>
                <w:szCs w:val="20"/>
              </w:rPr>
            </w:pPr>
            <w:r>
              <w:rPr>
                <w:rFonts w:ascii="Garamond" w:hAnsi="Garamond"/>
                <w:sz w:val="20"/>
                <w:szCs w:val="20"/>
              </w:rPr>
              <w:t>UNDP Project Team</w:t>
            </w:r>
          </w:p>
        </w:tc>
        <w:tc>
          <w:tcPr>
            <w:tcW w:w="1203" w:type="dxa"/>
            <w:tcBorders>
              <w:top w:val="single" w:sz="6" w:space="0" w:color="auto"/>
              <w:left w:val="single" w:sz="6" w:space="0" w:color="auto"/>
              <w:bottom w:val="single" w:sz="6" w:space="0" w:color="auto"/>
              <w:right w:val="single" w:sz="6" w:space="0" w:color="auto"/>
            </w:tcBorders>
          </w:tcPr>
          <w:p w14:paraId="095D1ED4" w14:textId="77777777" w:rsidR="00D66F55" w:rsidRPr="00F02A8A" w:rsidRDefault="00D66F55" w:rsidP="00307816">
            <w:pPr>
              <w:tabs>
                <w:tab w:val="left" w:pos="1080"/>
              </w:tabs>
              <w:spacing w:after="0" w:line="240" w:lineRule="auto"/>
              <w:rPr>
                <w:rFonts w:ascii="Garamond" w:hAnsi="Garamond"/>
                <w:sz w:val="20"/>
                <w:szCs w:val="20"/>
              </w:rPr>
            </w:pPr>
          </w:p>
        </w:tc>
        <w:tc>
          <w:tcPr>
            <w:tcW w:w="1526" w:type="dxa"/>
            <w:tcBorders>
              <w:top w:val="single" w:sz="6" w:space="0" w:color="auto"/>
              <w:left w:val="single" w:sz="6" w:space="0" w:color="auto"/>
              <w:bottom w:val="single" w:sz="6" w:space="0" w:color="auto"/>
            </w:tcBorders>
          </w:tcPr>
          <w:p w14:paraId="54747378" w14:textId="292384B1" w:rsidR="00D66F55" w:rsidRPr="00F02A8A" w:rsidRDefault="00666DF7" w:rsidP="00307816">
            <w:pPr>
              <w:tabs>
                <w:tab w:val="left" w:pos="1080"/>
              </w:tabs>
              <w:spacing w:after="0" w:line="240" w:lineRule="auto"/>
              <w:rPr>
                <w:rFonts w:ascii="Garamond" w:hAnsi="Garamond"/>
                <w:sz w:val="20"/>
                <w:szCs w:val="20"/>
              </w:rPr>
            </w:pPr>
            <w:r>
              <w:rPr>
                <w:rFonts w:ascii="Garamond" w:hAnsi="Garamond"/>
                <w:sz w:val="20"/>
                <w:szCs w:val="20"/>
              </w:rPr>
              <w:t>Continuous</w:t>
            </w:r>
          </w:p>
        </w:tc>
      </w:tr>
      <w:tr w:rsidR="008E70F6" w:rsidRPr="00F02A8A" w14:paraId="4A94EB90" w14:textId="77777777" w:rsidTr="00E364DC">
        <w:tc>
          <w:tcPr>
            <w:tcW w:w="3544" w:type="dxa"/>
            <w:tcBorders>
              <w:top w:val="single" w:sz="6" w:space="0" w:color="auto"/>
              <w:bottom w:val="single" w:sz="6" w:space="0" w:color="auto"/>
              <w:right w:val="single" w:sz="6" w:space="0" w:color="auto"/>
            </w:tcBorders>
          </w:tcPr>
          <w:p w14:paraId="5478E91E" w14:textId="2DA93D82" w:rsidR="008E70F6" w:rsidRPr="008E70F6" w:rsidRDefault="008E70F6" w:rsidP="00307816">
            <w:pPr>
              <w:spacing w:after="0" w:line="240" w:lineRule="auto"/>
              <w:rPr>
                <w:rFonts w:ascii="Garamond" w:hAnsi="Garamond"/>
                <w:sz w:val="20"/>
                <w:szCs w:val="20"/>
              </w:rPr>
            </w:pPr>
            <w:r>
              <w:rPr>
                <w:rFonts w:ascii="Garamond" w:hAnsi="Garamond"/>
                <w:sz w:val="20"/>
                <w:szCs w:val="20"/>
              </w:rPr>
              <w:t xml:space="preserve">3.4 Create the dedicated web-page for sharing the lighting energy efficiency information and establish the link with </w:t>
            </w:r>
            <w:r w:rsidRPr="008E70F6">
              <w:rPr>
                <w:rFonts w:ascii="Garamond" w:hAnsi="Garamond"/>
                <w:sz w:val="20"/>
                <w:szCs w:val="20"/>
              </w:rPr>
              <w:t xml:space="preserve">UNEP’s </w:t>
            </w:r>
            <w:proofErr w:type="spellStart"/>
            <w:r w:rsidRPr="008E70F6">
              <w:rPr>
                <w:rFonts w:ascii="Garamond" w:hAnsi="Garamond"/>
                <w:sz w:val="20"/>
                <w:szCs w:val="20"/>
              </w:rPr>
              <w:t>en.light</w:t>
            </w:r>
            <w:proofErr w:type="spellEnd"/>
            <w:r w:rsidRPr="008E70F6">
              <w:rPr>
                <w:rFonts w:ascii="Garamond" w:hAnsi="Garamond"/>
                <w:sz w:val="20"/>
                <w:szCs w:val="20"/>
              </w:rPr>
              <w:t xml:space="preserve"> </w:t>
            </w:r>
            <w:r w:rsidR="00AF13F6">
              <w:rPr>
                <w:rFonts w:ascii="Garamond" w:hAnsi="Garamond"/>
                <w:sz w:val="20"/>
                <w:szCs w:val="20"/>
              </w:rPr>
              <w:t xml:space="preserve"> </w:t>
            </w:r>
            <w:proofErr w:type="spellStart"/>
            <w:r w:rsidRPr="008E70F6">
              <w:rPr>
                <w:rFonts w:ascii="Garamond" w:hAnsi="Garamond"/>
                <w:sz w:val="20"/>
                <w:szCs w:val="20"/>
              </w:rPr>
              <w:t>programme</w:t>
            </w:r>
            <w:proofErr w:type="spellEnd"/>
            <w:r w:rsidR="00AF13F6">
              <w:rPr>
                <w:rFonts w:ascii="Garamond" w:hAnsi="Garamond"/>
                <w:sz w:val="20"/>
                <w:szCs w:val="20"/>
              </w:rPr>
              <w:t xml:space="preserve"> web-site</w:t>
            </w:r>
          </w:p>
        </w:tc>
        <w:tc>
          <w:tcPr>
            <w:tcW w:w="1701" w:type="dxa"/>
            <w:tcBorders>
              <w:top w:val="single" w:sz="6" w:space="0" w:color="auto"/>
              <w:left w:val="single" w:sz="6" w:space="0" w:color="auto"/>
              <w:bottom w:val="single" w:sz="6" w:space="0" w:color="auto"/>
              <w:right w:val="single" w:sz="6" w:space="0" w:color="auto"/>
            </w:tcBorders>
          </w:tcPr>
          <w:p w14:paraId="3D93FF50" w14:textId="78F4E593" w:rsidR="008E70F6" w:rsidRPr="00F02A8A" w:rsidDel="0081599E" w:rsidRDefault="00AF13F6" w:rsidP="00307816">
            <w:pPr>
              <w:tabs>
                <w:tab w:val="left" w:pos="1080"/>
              </w:tabs>
              <w:spacing w:after="0" w:line="240" w:lineRule="auto"/>
              <w:rPr>
                <w:rFonts w:ascii="Garamond" w:hAnsi="Garamond"/>
                <w:sz w:val="20"/>
                <w:szCs w:val="20"/>
              </w:rPr>
            </w:pPr>
            <w:r>
              <w:rPr>
                <w:rFonts w:ascii="Garamond" w:hAnsi="Garamond"/>
                <w:sz w:val="20"/>
                <w:szCs w:val="20"/>
              </w:rPr>
              <w:t>December 2016</w:t>
            </w:r>
          </w:p>
        </w:tc>
        <w:tc>
          <w:tcPr>
            <w:tcW w:w="1807" w:type="dxa"/>
            <w:tcBorders>
              <w:top w:val="single" w:sz="6" w:space="0" w:color="auto"/>
              <w:left w:val="single" w:sz="6" w:space="0" w:color="auto"/>
              <w:bottom w:val="single" w:sz="6" w:space="0" w:color="auto"/>
              <w:right w:val="single" w:sz="6" w:space="0" w:color="auto"/>
            </w:tcBorders>
          </w:tcPr>
          <w:p w14:paraId="0CAEB6C6" w14:textId="77777777" w:rsidR="00666DF7" w:rsidRDefault="00666DF7" w:rsidP="00307816">
            <w:pPr>
              <w:tabs>
                <w:tab w:val="left" w:pos="1080"/>
              </w:tabs>
              <w:spacing w:after="0" w:line="240" w:lineRule="auto"/>
              <w:rPr>
                <w:rFonts w:ascii="Garamond" w:hAnsi="Garamond"/>
                <w:sz w:val="20"/>
                <w:szCs w:val="20"/>
              </w:rPr>
            </w:pPr>
            <w:r>
              <w:rPr>
                <w:rFonts w:ascii="Garamond" w:hAnsi="Garamond"/>
                <w:sz w:val="20"/>
                <w:szCs w:val="20"/>
              </w:rPr>
              <w:t>UNDP-GEF RTA</w:t>
            </w:r>
          </w:p>
          <w:p w14:paraId="521220B5" w14:textId="77777777" w:rsidR="00666DF7" w:rsidRDefault="00666DF7" w:rsidP="00307816">
            <w:pPr>
              <w:tabs>
                <w:tab w:val="left" w:pos="1080"/>
              </w:tabs>
              <w:spacing w:after="0" w:line="240" w:lineRule="auto"/>
              <w:rPr>
                <w:rFonts w:ascii="Garamond" w:hAnsi="Garamond"/>
                <w:sz w:val="20"/>
                <w:szCs w:val="20"/>
              </w:rPr>
            </w:pPr>
            <w:r>
              <w:rPr>
                <w:rFonts w:ascii="Garamond" w:hAnsi="Garamond"/>
                <w:sz w:val="20"/>
                <w:szCs w:val="20"/>
              </w:rPr>
              <w:t>UNDP Project Team</w:t>
            </w:r>
          </w:p>
          <w:p w14:paraId="71B66A9D" w14:textId="77777777" w:rsidR="008E70F6" w:rsidRPr="00F02A8A" w:rsidDel="0081599E" w:rsidRDefault="008E70F6" w:rsidP="00307816">
            <w:pPr>
              <w:tabs>
                <w:tab w:val="left" w:pos="1080"/>
              </w:tabs>
              <w:spacing w:after="0" w:line="240" w:lineRule="auto"/>
              <w:rPr>
                <w:rFonts w:ascii="Garamond" w:hAnsi="Garamond"/>
                <w:sz w:val="20"/>
                <w:szCs w:val="20"/>
              </w:rPr>
            </w:pPr>
          </w:p>
        </w:tc>
        <w:tc>
          <w:tcPr>
            <w:tcW w:w="1203" w:type="dxa"/>
            <w:tcBorders>
              <w:top w:val="single" w:sz="6" w:space="0" w:color="auto"/>
              <w:left w:val="single" w:sz="6" w:space="0" w:color="auto"/>
              <w:bottom w:val="single" w:sz="6" w:space="0" w:color="auto"/>
              <w:right w:val="single" w:sz="6" w:space="0" w:color="auto"/>
            </w:tcBorders>
          </w:tcPr>
          <w:p w14:paraId="7E24FEF8" w14:textId="77777777" w:rsidR="008E70F6" w:rsidRPr="00F02A8A" w:rsidRDefault="008E70F6" w:rsidP="00307816">
            <w:pPr>
              <w:tabs>
                <w:tab w:val="left" w:pos="1080"/>
              </w:tabs>
              <w:spacing w:after="0" w:line="240" w:lineRule="auto"/>
              <w:rPr>
                <w:rFonts w:ascii="Garamond" w:hAnsi="Garamond"/>
                <w:sz w:val="20"/>
                <w:szCs w:val="20"/>
              </w:rPr>
            </w:pPr>
          </w:p>
        </w:tc>
        <w:tc>
          <w:tcPr>
            <w:tcW w:w="1526" w:type="dxa"/>
            <w:tcBorders>
              <w:top w:val="single" w:sz="6" w:space="0" w:color="auto"/>
              <w:left w:val="single" w:sz="6" w:space="0" w:color="auto"/>
              <w:bottom w:val="single" w:sz="6" w:space="0" w:color="auto"/>
            </w:tcBorders>
          </w:tcPr>
          <w:p w14:paraId="6C566CB2" w14:textId="111AC615" w:rsidR="008E70F6" w:rsidRPr="00F02A8A" w:rsidRDefault="00666DF7" w:rsidP="00307816">
            <w:pPr>
              <w:tabs>
                <w:tab w:val="left" w:pos="1080"/>
              </w:tabs>
              <w:spacing w:after="0" w:line="240" w:lineRule="auto"/>
              <w:rPr>
                <w:rFonts w:ascii="Garamond" w:hAnsi="Garamond"/>
                <w:sz w:val="20"/>
                <w:szCs w:val="20"/>
              </w:rPr>
            </w:pPr>
            <w:r>
              <w:rPr>
                <w:rFonts w:ascii="Garamond" w:hAnsi="Garamond"/>
                <w:sz w:val="20"/>
                <w:szCs w:val="20"/>
              </w:rPr>
              <w:t>Continuous</w:t>
            </w:r>
          </w:p>
        </w:tc>
      </w:tr>
    </w:tbl>
    <w:p w14:paraId="21FB9531" w14:textId="77777777" w:rsidR="00D66F55" w:rsidRPr="00F02A8A" w:rsidRDefault="00D66F55" w:rsidP="00307816">
      <w:pPr>
        <w:tabs>
          <w:tab w:val="left" w:pos="1080"/>
        </w:tabs>
        <w:spacing w:after="0" w:line="240" w:lineRule="auto"/>
        <w:rPr>
          <w:rFonts w:ascii="Garamond" w:hAnsi="Garamond"/>
          <w:sz w:val="20"/>
          <w:szCs w:val="20"/>
        </w:rPr>
      </w:pPr>
    </w:p>
    <w:p w14:paraId="4B973CD6" w14:textId="77777777" w:rsidR="00D66F55" w:rsidRDefault="00D66F55" w:rsidP="00307816">
      <w:pPr>
        <w:spacing w:after="0" w:line="240" w:lineRule="auto"/>
      </w:pPr>
    </w:p>
    <w:tbl>
      <w:tblPr>
        <w:tblW w:w="9923" w:type="dxa"/>
        <w:tblInd w:w="-1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44"/>
        <w:gridCol w:w="1600"/>
        <w:gridCol w:w="2023"/>
        <w:gridCol w:w="1205"/>
        <w:gridCol w:w="1551"/>
      </w:tblGrid>
      <w:tr w:rsidR="00FC14D3" w:rsidRPr="00F02A8A" w14:paraId="5F430E08" w14:textId="77777777" w:rsidTr="00E364DC">
        <w:tc>
          <w:tcPr>
            <w:tcW w:w="9923" w:type="dxa"/>
            <w:gridSpan w:val="5"/>
            <w:shd w:val="clear" w:color="auto" w:fill="F3F3F3"/>
          </w:tcPr>
          <w:p w14:paraId="143F48B4" w14:textId="77777777" w:rsidR="00307816" w:rsidRPr="00E364DC" w:rsidRDefault="00FC14D3" w:rsidP="00307816">
            <w:pPr>
              <w:spacing w:after="0" w:line="240" w:lineRule="auto"/>
              <w:rPr>
                <w:rFonts w:asciiTheme="majorHAnsi" w:hAnsiTheme="majorHAnsi"/>
                <w:b/>
                <w:i/>
                <w:u w:val="single"/>
              </w:rPr>
            </w:pPr>
            <w:r w:rsidRPr="009937BB">
              <w:rPr>
                <w:rFonts w:ascii="Garamond" w:hAnsi="Garamond"/>
                <w:sz w:val="20"/>
                <w:szCs w:val="20"/>
              </w:rPr>
              <w:br w:type="page"/>
            </w:r>
            <w:r w:rsidRPr="00E364DC">
              <w:rPr>
                <w:rFonts w:asciiTheme="majorHAnsi" w:hAnsiTheme="majorHAnsi"/>
                <w:b/>
                <w:i/>
                <w:u w:val="single"/>
              </w:rPr>
              <w:t xml:space="preserve">Midterm Review recommendation 4. </w:t>
            </w:r>
          </w:p>
          <w:p w14:paraId="7BBC3FC6" w14:textId="5AD4E07B" w:rsidR="009937BB" w:rsidRPr="00307816" w:rsidRDefault="009937BB" w:rsidP="00307816">
            <w:pPr>
              <w:spacing w:after="0" w:line="240" w:lineRule="auto"/>
              <w:rPr>
                <w:rFonts w:asciiTheme="majorHAnsi" w:hAnsiTheme="majorHAnsi"/>
                <w:b/>
              </w:rPr>
            </w:pPr>
            <w:r w:rsidRPr="00307816">
              <w:rPr>
                <w:rFonts w:asciiTheme="majorHAnsi" w:hAnsiTheme="majorHAnsi"/>
                <w:b/>
              </w:rPr>
              <w:t>Monitoring &amp; evaluation of GHG mitigation levels and project impacts to be reviewed</w:t>
            </w:r>
          </w:p>
          <w:p w14:paraId="44BE9B4F" w14:textId="77777777" w:rsidR="00E364DC" w:rsidRDefault="00E364DC" w:rsidP="00E364DC">
            <w:pPr>
              <w:spacing w:after="0"/>
            </w:pPr>
          </w:p>
          <w:p w14:paraId="7FE77820" w14:textId="77777777" w:rsidR="009937BB" w:rsidRPr="007E0664" w:rsidRDefault="009937BB" w:rsidP="00E364DC">
            <w:pPr>
              <w:pStyle w:val="ListParagraph"/>
              <w:numPr>
                <w:ilvl w:val="0"/>
                <w:numId w:val="7"/>
              </w:numPr>
              <w:spacing w:after="0"/>
            </w:pPr>
            <w:r>
              <w:t xml:space="preserve">Monitoring of </w:t>
            </w:r>
            <w:r w:rsidRPr="007E0664">
              <w:t xml:space="preserve">GHG emission </w:t>
            </w:r>
            <w:r>
              <w:t>reductions</w:t>
            </w:r>
            <w:r w:rsidRPr="007E0664">
              <w:t xml:space="preserve"> </w:t>
            </w:r>
            <w:r>
              <w:t xml:space="preserve">and correlating energy savings </w:t>
            </w:r>
            <w:r w:rsidRPr="007E0664">
              <w:t xml:space="preserve">is to be </w:t>
            </w:r>
            <w:r>
              <w:t>refined</w:t>
            </w:r>
            <w:r w:rsidRPr="007E0664">
              <w:t xml:space="preserve"> </w:t>
            </w:r>
            <w:r>
              <w:t>and beneficiaries supported in building own M&amp;E capacities.</w:t>
            </w:r>
          </w:p>
          <w:p w14:paraId="6DF864B9" w14:textId="77777777" w:rsidR="009937BB" w:rsidRPr="00EB6F76" w:rsidRDefault="009937BB" w:rsidP="00E364DC">
            <w:pPr>
              <w:pStyle w:val="ListParagraph"/>
              <w:numPr>
                <w:ilvl w:val="2"/>
                <w:numId w:val="1"/>
              </w:numPr>
              <w:spacing w:after="0"/>
              <w:ind w:left="772" w:hanging="284"/>
            </w:pPr>
            <w:r w:rsidRPr="00EB6F76">
              <w:rPr>
                <w:lang w:val="en-US"/>
              </w:rPr>
              <w:t>While direct emission reductions are likely to be achieved, indirect targets require additional action for their achievement</w:t>
            </w:r>
            <w:r>
              <w:rPr>
                <w:lang w:val="en-US"/>
              </w:rPr>
              <w:t xml:space="preserve">; </w:t>
            </w:r>
            <w:r w:rsidRPr="00EB6F76">
              <w:rPr>
                <w:lang w:val="en-US"/>
              </w:rPr>
              <w:t>complementary efforts to be made during the second half of the project to address areas w</w:t>
            </w:r>
            <w:r>
              <w:rPr>
                <w:lang w:val="en-US"/>
              </w:rPr>
              <w:t>ith large replication potential are</w:t>
            </w:r>
            <w:r w:rsidRPr="00EB6F76">
              <w:rPr>
                <w:lang w:val="en-US"/>
              </w:rPr>
              <w:t xml:space="preserve"> indoor lighting in public and private residential buildings</w:t>
            </w:r>
            <w:r>
              <w:rPr>
                <w:lang w:val="en-US"/>
              </w:rPr>
              <w:t>.</w:t>
            </w:r>
          </w:p>
          <w:p w14:paraId="55E57840" w14:textId="36C51D9B" w:rsidR="00FC14D3" w:rsidRPr="00AF13F6" w:rsidRDefault="009937BB" w:rsidP="00E364DC">
            <w:pPr>
              <w:pStyle w:val="ListParagraph"/>
              <w:numPr>
                <w:ilvl w:val="2"/>
                <w:numId w:val="1"/>
              </w:numPr>
              <w:spacing w:after="0"/>
              <w:ind w:left="772" w:hanging="284"/>
            </w:pPr>
            <w:r>
              <w:t xml:space="preserve">The </w:t>
            </w:r>
            <w:r w:rsidRPr="00EB6F76">
              <w:rPr>
                <w:lang w:val="en-US"/>
              </w:rPr>
              <w:t>targeted GHG reduction impact of the project was reassessed and slightly amended at the project inception phase, but neither the project document nor the inception report was calculating the direct project impact over the entire lifetime of the investment, which would make the assessment consistent with the recommended GEF methodology and other GEF funded cli</w:t>
            </w:r>
            <w:r>
              <w:rPr>
                <w:lang w:val="en-US"/>
              </w:rPr>
              <w:t xml:space="preserve">mate change mitigation projects. Calculation methodology shall be thus reviewed and updated within the MTR and changes adopted within the </w:t>
            </w:r>
            <w:r w:rsidRPr="00C41F0F">
              <w:rPr>
                <w:i/>
                <w:lang w:val="en-US"/>
              </w:rPr>
              <w:t>GEF CC Mitigation Tracking Tool</w:t>
            </w:r>
            <w:r>
              <w:rPr>
                <w:lang w:val="en-US"/>
              </w:rPr>
              <w:t>.</w:t>
            </w:r>
          </w:p>
        </w:tc>
      </w:tr>
      <w:tr w:rsidR="00FC14D3" w:rsidRPr="00F02A8A" w14:paraId="487CF7B7" w14:textId="77777777" w:rsidTr="00E364DC">
        <w:tc>
          <w:tcPr>
            <w:tcW w:w="9923" w:type="dxa"/>
            <w:gridSpan w:val="5"/>
            <w:tcBorders>
              <w:top w:val="single" w:sz="4" w:space="0" w:color="auto"/>
              <w:bottom w:val="single" w:sz="6" w:space="0" w:color="auto"/>
            </w:tcBorders>
            <w:shd w:val="clear" w:color="auto" w:fill="F3F3F3"/>
          </w:tcPr>
          <w:p w14:paraId="2A7E407E" w14:textId="45B90A9E" w:rsidR="00FC14D3" w:rsidRPr="00F02A8A" w:rsidRDefault="00FC14D3" w:rsidP="00307816">
            <w:pPr>
              <w:tabs>
                <w:tab w:val="left" w:pos="1080"/>
              </w:tabs>
              <w:spacing w:after="0" w:line="240" w:lineRule="auto"/>
              <w:rPr>
                <w:rFonts w:ascii="Garamond" w:hAnsi="Garamond"/>
                <w:sz w:val="20"/>
                <w:szCs w:val="20"/>
              </w:rPr>
            </w:pPr>
            <w:r w:rsidRPr="00F02A8A">
              <w:rPr>
                <w:rFonts w:ascii="Garamond" w:hAnsi="Garamond"/>
                <w:b/>
                <w:sz w:val="20"/>
                <w:szCs w:val="20"/>
              </w:rPr>
              <w:t>Management response</w:t>
            </w:r>
            <w:r w:rsidRPr="00F02A8A">
              <w:rPr>
                <w:rFonts w:ascii="Garamond" w:hAnsi="Garamond"/>
                <w:sz w:val="20"/>
                <w:szCs w:val="20"/>
              </w:rPr>
              <w:t xml:space="preserve">: </w:t>
            </w:r>
            <w:r w:rsidR="000721B7" w:rsidRPr="007E4893">
              <w:rPr>
                <w:bCs/>
                <w:sz w:val="20"/>
                <w:szCs w:val="20"/>
              </w:rPr>
              <w:t>The</w:t>
            </w:r>
            <w:r w:rsidR="000721B7">
              <w:rPr>
                <w:bCs/>
                <w:sz w:val="20"/>
                <w:szCs w:val="20"/>
              </w:rPr>
              <w:t xml:space="preserve"> </w:t>
            </w:r>
            <w:r w:rsidR="000721B7" w:rsidRPr="007E4893">
              <w:rPr>
                <w:bCs/>
                <w:sz w:val="20"/>
                <w:szCs w:val="20"/>
              </w:rPr>
              <w:t xml:space="preserve">monitoring </w:t>
            </w:r>
            <w:r w:rsidR="000721B7">
              <w:rPr>
                <w:bCs/>
                <w:sz w:val="20"/>
                <w:szCs w:val="20"/>
              </w:rPr>
              <w:t xml:space="preserve">and evaluation of the project impact on GHG mitigation will </w:t>
            </w:r>
            <w:r w:rsidR="000721B7" w:rsidRPr="007E4893">
              <w:rPr>
                <w:bCs/>
                <w:sz w:val="20"/>
                <w:szCs w:val="20"/>
              </w:rPr>
              <w:t>be</w:t>
            </w:r>
            <w:r w:rsidR="00A01CA5">
              <w:rPr>
                <w:bCs/>
                <w:sz w:val="20"/>
                <w:szCs w:val="20"/>
              </w:rPr>
              <w:t xml:space="preserve"> </w:t>
            </w:r>
            <w:r w:rsidR="000721B7">
              <w:rPr>
                <w:bCs/>
                <w:sz w:val="20"/>
                <w:szCs w:val="20"/>
              </w:rPr>
              <w:t xml:space="preserve">reviewed to make it consistent </w:t>
            </w:r>
            <w:r w:rsidR="000721B7" w:rsidRPr="00EB6F76">
              <w:t>with the recommended GEF methodology</w:t>
            </w:r>
            <w:r w:rsidR="000721B7">
              <w:t xml:space="preserve">. </w:t>
            </w:r>
          </w:p>
        </w:tc>
      </w:tr>
      <w:tr w:rsidR="00FC14D3" w:rsidRPr="00F02A8A" w14:paraId="5D0F041B" w14:textId="77777777" w:rsidTr="00E364DC">
        <w:trPr>
          <w:trHeight w:val="135"/>
        </w:trPr>
        <w:tc>
          <w:tcPr>
            <w:tcW w:w="3544" w:type="dxa"/>
            <w:vMerge w:val="restart"/>
            <w:tcBorders>
              <w:top w:val="single" w:sz="6" w:space="0" w:color="auto"/>
              <w:bottom w:val="single" w:sz="6" w:space="0" w:color="auto"/>
              <w:right w:val="single" w:sz="6" w:space="0" w:color="auto"/>
            </w:tcBorders>
            <w:shd w:val="clear" w:color="auto" w:fill="F3F3F3"/>
          </w:tcPr>
          <w:p w14:paraId="7D380E6E" w14:textId="77777777" w:rsidR="00FC14D3" w:rsidRPr="00F02A8A" w:rsidRDefault="00FC14D3" w:rsidP="00307816">
            <w:pPr>
              <w:tabs>
                <w:tab w:val="left" w:pos="1080"/>
              </w:tabs>
              <w:spacing w:after="0" w:line="240" w:lineRule="auto"/>
              <w:jc w:val="center"/>
              <w:rPr>
                <w:rFonts w:ascii="Garamond" w:hAnsi="Garamond"/>
                <w:b/>
                <w:sz w:val="20"/>
                <w:szCs w:val="20"/>
              </w:rPr>
            </w:pPr>
            <w:r w:rsidRPr="00F02A8A">
              <w:rPr>
                <w:rFonts w:ascii="Garamond" w:hAnsi="Garamond"/>
                <w:b/>
                <w:sz w:val="20"/>
                <w:szCs w:val="20"/>
              </w:rPr>
              <w:t>Key action(s)</w:t>
            </w:r>
          </w:p>
        </w:tc>
        <w:tc>
          <w:tcPr>
            <w:tcW w:w="1600" w:type="dxa"/>
            <w:vMerge w:val="restart"/>
            <w:tcBorders>
              <w:top w:val="single" w:sz="6" w:space="0" w:color="auto"/>
              <w:left w:val="single" w:sz="6" w:space="0" w:color="auto"/>
              <w:bottom w:val="single" w:sz="6" w:space="0" w:color="auto"/>
              <w:right w:val="single" w:sz="6" w:space="0" w:color="auto"/>
            </w:tcBorders>
            <w:shd w:val="clear" w:color="auto" w:fill="F3F3F3"/>
          </w:tcPr>
          <w:p w14:paraId="6A8E81D4" w14:textId="77777777" w:rsidR="00FC14D3" w:rsidRPr="00F02A8A" w:rsidRDefault="00FC14D3" w:rsidP="00307816">
            <w:pPr>
              <w:tabs>
                <w:tab w:val="left" w:pos="1080"/>
              </w:tabs>
              <w:spacing w:after="0" w:line="240" w:lineRule="auto"/>
              <w:jc w:val="center"/>
              <w:rPr>
                <w:rFonts w:ascii="Garamond" w:hAnsi="Garamond"/>
                <w:b/>
                <w:sz w:val="20"/>
                <w:szCs w:val="20"/>
              </w:rPr>
            </w:pPr>
            <w:r w:rsidRPr="00F02A8A">
              <w:rPr>
                <w:rFonts w:ascii="Garamond" w:hAnsi="Garamond"/>
                <w:b/>
                <w:sz w:val="20"/>
                <w:szCs w:val="20"/>
              </w:rPr>
              <w:t>Time frame</w:t>
            </w:r>
            <w:r>
              <w:rPr>
                <w:rFonts w:ascii="Garamond" w:hAnsi="Garamond"/>
                <w:b/>
                <w:sz w:val="20"/>
                <w:szCs w:val="20"/>
              </w:rPr>
              <w:t xml:space="preserve"> </w:t>
            </w:r>
            <w:r w:rsidRPr="00A33498">
              <w:rPr>
                <w:rFonts w:ascii="Garamond" w:hAnsi="Garamond"/>
                <w:b/>
                <w:sz w:val="20"/>
                <w:szCs w:val="20"/>
              </w:rPr>
              <w:t>[month, year to month, year]</w:t>
            </w:r>
          </w:p>
        </w:tc>
        <w:tc>
          <w:tcPr>
            <w:tcW w:w="2023" w:type="dxa"/>
            <w:vMerge w:val="restart"/>
            <w:tcBorders>
              <w:top w:val="single" w:sz="6" w:space="0" w:color="auto"/>
              <w:left w:val="single" w:sz="6" w:space="0" w:color="auto"/>
              <w:bottom w:val="single" w:sz="6" w:space="0" w:color="auto"/>
              <w:right w:val="single" w:sz="6" w:space="0" w:color="auto"/>
            </w:tcBorders>
            <w:shd w:val="clear" w:color="auto" w:fill="F3F3F3"/>
          </w:tcPr>
          <w:p w14:paraId="78178332" w14:textId="77777777" w:rsidR="00FC14D3" w:rsidRPr="00F02A8A" w:rsidRDefault="00FC14D3" w:rsidP="00307816">
            <w:pPr>
              <w:tabs>
                <w:tab w:val="left" w:pos="1080"/>
              </w:tabs>
              <w:spacing w:after="0" w:line="240" w:lineRule="auto"/>
              <w:jc w:val="center"/>
              <w:rPr>
                <w:rFonts w:ascii="Garamond" w:hAnsi="Garamond"/>
                <w:b/>
                <w:sz w:val="20"/>
                <w:szCs w:val="20"/>
              </w:rPr>
            </w:pPr>
            <w:r w:rsidRPr="00F02A8A">
              <w:rPr>
                <w:rFonts w:ascii="Garamond" w:hAnsi="Garamond"/>
                <w:b/>
                <w:sz w:val="20"/>
                <w:szCs w:val="20"/>
              </w:rPr>
              <w:t>Responsible unit(s)</w:t>
            </w:r>
          </w:p>
        </w:tc>
        <w:tc>
          <w:tcPr>
            <w:tcW w:w="2756" w:type="dxa"/>
            <w:gridSpan w:val="2"/>
            <w:tcBorders>
              <w:top w:val="single" w:sz="6" w:space="0" w:color="auto"/>
              <w:left w:val="single" w:sz="6" w:space="0" w:color="auto"/>
              <w:bottom w:val="single" w:sz="6" w:space="0" w:color="auto"/>
            </w:tcBorders>
            <w:shd w:val="clear" w:color="auto" w:fill="F3F3F3"/>
          </w:tcPr>
          <w:p w14:paraId="3911058F" w14:textId="77777777" w:rsidR="00FC14D3" w:rsidRPr="00F02A8A" w:rsidRDefault="00FC14D3" w:rsidP="00307816">
            <w:pPr>
              <w:tabs>
                <w:tab w:val="left" w:pos="1080"/>
              </w:tabs>
              <w:spacing w:after="0" w:line="240" w:lineRule="auto"/>
              <w:jc w:val="center"/>
              <w:rPr>
                <w:rFonts w:ascii="Garamond" w:hAnsi="Garamond"/>
                <w:b/>
                <w:sz w:val="20"/>
                <w:szCs w:val="20"/>
              </w:rPr>
            </w:pPr>
            <w:r w:rsidRPr="00F02A8A">
              <w:rPr>
                <w:rFonts w:ascii="Garamond" w:hAnsi="Garamond"/>
                <w:b/>
                <w:sz w:val="20"/>
                <w:szCs w:val="20"/>
              </w:rPr>
              <w:t>Tracking</w:t>
            </w:r>
          </w:p>
        </w:tc>
      </w:tr>
      <w:tr w:rsidR="00FC14D3" w:rsidRPr="00F02A8A" w14:paraId="2D03697E" w14:textId="77777777" w:rsidTr="00E364DC">
        <w:trPr>
          <w:trHeight w:val="135"/>
        </w:trPr>
        <w:tc>
          <w:tcPr>
            <w:tcW w:w="3544" w:type="dxa"/>
            <w:vMerge/>
            <w:tcBorders>
              <w:top w:val="single" w:sz="6" w:space="0" w:color="auto"/>
              <w:bottom w:val="single" w:sz="6" w:space="0" w:color="auto"/>
              <w:right w:val="single" w:sz="6" w:space="0" w:color="auto"/>
            </w:tcBorders>
            <w:shd w:val="clear" w:color="auto" w:fill="F3F3F3"/>
          </w:tcPr>
          <w:p w14:paraId="241D72C0" w14:textId="77777777" w:rsidR="00FC14D3" w:rsidRPr="00F02A8A" w:rsidRDefault="00FC14D3" w:rsidP="00307816">
            <w:pPr>
              <w:tabs>
                <w:tab w:val="left" w:pos="1080"/>
              </w:tabs>
              <w:spacing w:after="0" w:line="240" w:lineRule="auto"/>
              <w:rPr>
                <w:rFonts w:ascii="Garamond" w:hAnsi="Garamond"/>
                <w:sz w:val="20"/>
                <w:szCs w:val="20"/>
              </w:rPr>
            </w:pPr>
          </w:p>
        </w:tc>
        <w:tc>
          <w:tcPr>
            <w:tcW w:w="1600" w:type="dxa"/>
            <w:vMerge/>
            <w:tcBorders>
              <w:top w:val="single" w:sz="6" w:space="0" w:color="auto"/>
              <w:left w:val="single" w:sz="6" w:space="0" w:color="auto"/>
              <w:bottom w:val="single" w:sz="6" w:space="0" w:color="auto"/>
              <w:right w:val="single" w:sz="6" w:space="0" w:color="auto"/>
            </w:tcBorders>
            <w:shd w:val="clear" w:color="auto" w:fill="F3F3F3"/>
          </w:tcPr>
          <w:p w14:paraId="18C7FBA8" w14:textId="77777777" w:rsidR="00FC14D3" w:rsidRPr="00F02A8A" w:rsidRDefault="00FC14D3" w:rsidP="00307816">
            <w:pPr>
              <w:tabs>
                <w:tab w:val="left" w:pos="1080"/>
              </w:tabs>
              <w:spacing w:after="0" w:line="240" w:lineRule="auto"/>
              <w:rPr>
                <w:rFonts w:ascii="Garamond" w:hAnsi="Garamond"/>
                <w:b/>
                <w:sz w:val="20"/>
                <w:szCs w:val="20"/>
              </w:rPr>
            </w:pPr>
          </w:p>
        </w:tc>
        <w:tc>
          <w:tcPr>
            <w:tcW w:w="2023" w:type="dxa"/>
            <w:vMerge/>
            <w:tcBorders>
              <w:top w:val="single" w:sz="6" w:space="0" w:color="auto"/>
              <w:left w:val="single" w:sz="6" w:space="0" w:color="auto"/>
              <w:bottom w:val="single" w:sz="6" w:space="0" w:color="auto"/>
              <w:right w:val="single" w:sz="6" w:space="0" w:color="auto"/>
            </w:tcBorders>
            <w:shd w:val="clear" w:color="auto" w:fill="F3F3F3"/>
          </w:tcPr>
          <w:p w14:paraId="4B0E0F95" w14:textId="77777777" w:rsidR="00FC14D3" w:rsidRPr="00F02A8A" w:rsidRDefault="00FC14D3" w:rsidP="00307816">
            <w:pPr>
              <w:tabs>
                <w:tab w:val="left" w:pos="1080"/>
              </w:tabs>
              <w:spacing w:after="0" w:line="240" w:lineRule="auto"/>
              <w:rPr>
                <w:rFonts w:ascii="Garamond" w:hAnsi="Garamond"/>
                <w:b/>
                <w:sz w:val="20"/>
                <w:szCs w:val="20"/>
              </w:rPr>
            </w:pPr>
          </w:p>
        </w:tc>
        <w:tc>
          <w:tcPr>
            <w:tcW w:w="1205" w:type="dxa"/>
            <w:tcBorders>
              <w:top w:val="single" w:sz="6" w:space="0" w:color="auto"/>
              <w:left w:val="single" w:sz="6" w:space="0" w:color="auto"/>
              <w:bottom w:val="single" w:sz="6" w:space="0" w:color="auto"/>
              <w:right w:val="single" w:sz="6" w:space="0" w:color="auto"/>
            </w:tcBorders>
          </w:tcPr>
          <w:p w14:paraId="75789FC4" w14:textId="77777777" w:rsidR="00FC14D3" w:rsidRPr="00F02A8A" w:rsidRDefault="00FC14D3" w:rsidP="00307816">
            <w:pPr>
              <w:tabs>
                <w:tab w:val="left" w:pos="1080"/>
              </w:tabs>
              <w:spacing w:after="0" w:line="240" w:lineRule="auto"/>
              <w:jc w:val="center"/>
              <w:rPr>
                <w:rFonts w:ascii="Garamond" w:hAnsi="Garamond"/>
                <w:b/>
                <w:sz w:val="20"/>
                <w:szCs w:val="20"/>
              </w:rPr>
            </w:pPr>
            <w:r w:rsidRPr="00F02A8A">
              <w:rPr>
                <w:rFonts w:ascii="Garamond" w:hAnsi="Garamond"/>
                <w:b/>
                <w:sz w:val="20"/>
                <w:szCs w:val="20"/>
              </w:rPr>
              <w:t>Comments</w:t>
            </w:r>
          </w:p>
        </w:tc>
        <w:tc>
          <w:tcPr>
            <w:tcW w:w="1551" w:type="dxa"/>
            <w:tcBorders>
              <w:top w:val="single" w:sz="6" w:space="0" w:color="auto"/>
              <w:left w:val="single" w:sz="6" w:space="0" w:color="auto"/>
              <w:bottom w:val="single" w:sz="6" w:space="0" w:color="auto"/>
            </w:tcBorders>
          </w:tcPr>
          <w:p w14:paraId="2F961DD6" w14:textId="77777777" w:rsidR="00FC14D3" w:rsidRPr="00F02A8A" w:rsidRDefault="00FC14D3" w:rsidP="00307816">
            <w:pPr>
              <w:tabs>
                <w:tab w:val="left" w:pos="1080"/>
              </w:tabs>
              <w:spacing w:after="0" w:line="240" w:lineRule="auto"/>
              <w:jc w:val="center"/>
              <w:rPr>
                <w:rFonts w:ascii="Garamond" w:hAnsi="Garamond"/>
                <w:b/>
                <w:sz w:val="20"/>
                <w:szCs w:val="20"/>
              </w:rPr>
            </w:pPr>
            <w:r w:rsidRPr="00F02A8A">
              <w:rPr>
                <w:rFonts w:ascii="Garamond" w:hAnsi="Garamond"/>
                <w:b/>
                <w:sz w:val="20"/>
                <w:szCs w:val="20"/>
              </w:rPr>
              <w:t>Status</w:t>
            </w:r>
          </w:p>
        </w:tc>
      </w:tr>
      <w:tr w:rsidR="00A01CA5" w:rsidRPr="00F02A8A" w14:paraId="0898B425" w14:textId="77777777" w:rsidTr="00E364DC">
        <w:tc>
          <w:tcPr>
            <w:tcW w:w="3544" w:type="dxa"/>
            <w:tcBorders>
              <w:top w:val="single" w:sz="6" w:space="0" w:color="auto"/>
              <w:bottom w:val="single" w:sz="6" w:space="0" w:color="auto"/>
              <w:right w:val="single" w:sz="6" w:space="0" w:color="auto"/>
            </w:tcBorders>
          </w:tcPr>
          <w:p w14:paraId="76F2DCF0" w14:textId="66D926C3" w:rsidR="00A01CA5" w:rsidRPr="00F02A8A" w:rsidRDefault="00A01CA5" w:rsidP="00307816">
            <w:pPr>
              <w:tabs>
                <w:tab w:val="left" w:pos="1080"/>
              </w:tabs>
              <w:spacing w:after="0" w:line="240" w:lineRule="auto"/>
              <w:rPr>
                <w:rFonts w:ascii="Garamond" w:hAnsi="Garamond"/>
                <w:sz w:val="20"/>
                <w:szCs w:val="20"/>
              </w:rPr>
            </w:pPr>
            <w:r w:rsidRPr="00F02A8A">
              <w:rPr>
                <w:rFonts w:ascii="Garamond" w:hAnsi="Garamond"/>
                <w:sz w:val="20"/>
                <w:szCs w:val="20"/>
              </w:rPr>
              <w:t xml:space="preserve">3.1 </w:t>
            </w:r>
            <w:r>
              <w:rPr>
                <w:rFonts w:ascii="Garamond" w:hAnsi="Garamond"/>
                <w:sz w:val="20"/>
                <w:szCs w:val="20"/>
              </w:rPr>
              <w:t>The indoor lighting energy efficiency retrofit projects results evaluated, as well as their replication potential assessed</w:t>
            </w:r>
          </w:p>
        </w:tc>
        <w:tc>
          <w:tcPr>
            <w:tcW w:w="1600" w:type="dxa"/>
            <w:tcBorders>
              <w:top w:val="single" w:sz="6" w:space="0" w:color="auto"/>
              <w:left w:val="single" w:sz="6" w:space="0" w:color="auto"/>
              <w:bottom w:val="single" w:sz="6" w:space="0" w:color="auto"/>
              <w:right w:val="single" w:sz="6" w:space="0" w:color="auto"/>
            </w:tcBorders>
          </w:tcPr>
          <w:p w14:paraId="5E12DF0B" w14:textId="55FC1972" w:rsidR="00A01CA5" w:rsidRPr="00F02A8A" w:rsidRDefault="00A01CA5" w:rsidP="00307816">
            <w:pPr>
              <w:tabs>
                <w:tab w:val="left" w:pos="1080"/>
              </w:tabs>
              <w:spacing w:after="0" w:line="240" w:lineRule="auto"/>
              <w:rPr>
                <w:rFonts w:ascii="Garamond" w:hAnsi="Garamond"/>
                <w:sz w:val="20"/>
                <w:szCs w:val="20"/>
              </w:rPr>
            </w:pPr>
            <w:r>
              <w:rPr>
                <w:rFonts w:ascii="Garamond" w:hAnsi="Garamond"/>
                <w:sz w:val="20"/>
                <w:szCs w:val="20"/>
              </w:rPr>
              <w:t>2017</w:t>
            </w:r>
          </w:p>
        </w:tc>
        <w:tc>
          <w:tcPr>
            <w:tcW w:w="2023" w:type="dxa"/>
            <w:tcBorders>
              <w:top w:val="single" w:sz="6" w:space="0" w:color="auto"/>
              <w:left w:val="single" w:sz="6" w:space="0" w:color="auto"/>
              <w:bottom w:val="single" w:sz="6" w:space="0" w:color="auto"/>
              <w:right w:val="single" w:sz="6" w:space="0" w:color="auto"/>
            </w:tcBorders>
          </w:tcPr>
          <w:p w14:paraId="15038C94" w14:textId="4158A150" w:rsidR="00A01CA5" w:rsidRPr="00F02A8A" w:rsidRDefault="00A01CA5" w:rsidP="00307816">
            <w:pPr>
              <w:tabs>
                <w:tab w:val="left" w:pos="1080"/>
              </w:tabs>
              <w:spacing w:after="0" w:line="240" w:lineRule="auto"/>
              <w:rPr>
                <w:rFonts w:ascii="Garamond" w:hAnsi="Garamond"/>
                <w:sz w:val="20"/>
                <w:szCs w:val="20"/>
              </w:rPr>
            </w:pPr>
            <w:r>
              <w:rPr>
                <w:rFonts w:ascii="Garamond" w:hAnsi="Garamond"/>
                <w:sz w:val="20"/>
                <w:szCs w:val="20"/>
              </w:rPr>
              <w:t>UNDP Project team</w:t>
            </w:r>
          </w:p>
        </w:tc>
        <w:tc>
          <w:tcPr>
            <w:tcW w:w="1205" w:type="dxa"/>
            <w:tcBorders>
              <w:top w:val="single" w:sz="6" w:space="0" w:color="auto"/>
              <w:left w:val="single" w:sz="6" w:space="0" w:color="auto"/>
              <w:bottom w:val="single" w:sz="6" w:space="0" w:color="auto"/>
              <w:right w:val="single" w:sz="6" w:space="0" w:color="auto"/>
            </w:tcBorders>
          </w:tcPr>
          <w:p w14:paraId="4434CC9A" w14:textId="6081EBBA" w:rsidR="00A01CA5" w:rsidRPr="00F02A8A" w:rsidRDefault="00A01CA5" w:rsidP="00307816">
            <w:pPr>
              <w:tabs>
                <w:tab w:val="left" w:pos="1080"/>
              </w:tabs>
              <w:spacing w:after="0" w:line="240" w:lineRule="auto"/>
              <w:rPr>
                <w:rFonts w:ascii="Garamond" w:hAnsi="Garamond"/>
                <w:sz w:val="20"/>
                <w:szCs w:val="20"/>
              </w:rPr>
            </w:pPr>
          </w:p>
        </w:tc>
        <w:tc>
          <w:tcPr>
            <w:tcW w:w="1551" w:type="dxa"/>
            <w:tcBorders>
              <w:top w:val="single" w:sz="6" w:space="0" w:color="auto"/>
              <w:left w:val="single" w:sz="6" w:space="0" w:color="auto"/>
              <w:bottom w:val="single" w:sz="6" w:space="0" w:color="auto"/>
            </w:tcBorders>
          </w:tcPr>
          <w:p w14:paraId="389A0AAF" w14:textId="639053DF" w:rsidR="00A01CA5" w:rsidRPr="00F02A8A" w:rsidRDefault="00A01CA5" w:rsidP="00307816">
            <w:pPr>
              <w:tabs>
                <w:tab w:val="left" w:pos="1080"/>
              </w:tabs>
              <w:spacing w:after="0" w:line="240" w:lineRule="auto"/>
              <w:rPr>
                <w:rFonts w:ascii="Garamond" w:hAnsi="Garamond"/>
                <w:sz w:val="20"/>
                <w:szCs w:val="20"/>
              </w:rPr>
            </w:pPr>
            <w:r>
              <w:rPr>
                <w:rFonts w:ascii="Garamond" w:hAnsi="Garamond"/>
                <w:sz w:val="20"/>
                <w:szCs w:val="20"/>
              </w:rPr>
              <w:t>Continuous</w:t>
            </w:r>
          </w:p>
        </w:tc>
      </w:tr>
      <w:tr w:rsidR="00A01CA5" w:rsidRPr="00F02A8A" w14:paraId="101A8704" w14:textId="77777777" w:rsidTr="00E364DC">
        <w:tc>
          <w:tcPr>
            <w:tcW w:w="3544" w:type="dxa"/>
            <w:tcBorders>
              <w:top w:val="single" w:sz="6" w:space="0" w:color="auto"/>
              <w:bottom w:val="single" w:sz="6" w:space="0" w:color="auto"/>
              <w:right w:val="single" w:sz="6" w:space="0" w:color="auto"/>
            </w:tcBorders>
          </w:tcPr>
          <w:p w14:paraId="65439760" w14:textId="75345797" w:rsidR="00A01CA5" w:rsidRPr="00F02A8A" w:rsidRDefault="00A01CA5" w:rsidP="00307816">
            <w:pPr>
              <w:tabs>
                <w:tab w:val="left" w:pos="1080"/>
              </w:tabs>
              <w:spacing w:after="0" w:line="240" w:lineRule="auto"/>
              <w:rPr>
                <w:rFonts w:ascii="Garamond" w:hAnsi="Garamond"/>
                <w:sz w:val="20"/>
                <w:szCs w:val="20"/>
              </w:rPr>
            </w:pPr>
            <w:r w:rsidRPr="00F02A8A">
              <w:rPr>
                <w:rFonts w:ascii="Garamond" w:hAnsi="Garamond"/>
                <w:sz w:val="20"/>
                <w:szCs w:val="20"/>
              </w:rPr>
              <w:t xml:space="preserve">3.2 </w:t>
            </w:r>
            <w:r>
              <w:rPr>
                <w:rFonts w:ascii="Garamond" w:hAnsi="Garamond"/>
                <w:sz w:val="20"/>
                <w:szCs w:val="20"/>
              </w:rPr>
              <w:t xml:space="preserve"> The project </w:t>
            </w:r>
            <w:r w:rsidRPr="00C947AE">
              <w:rPr>
                <w:rFonts w:ascii="Garamond" w:hAnsi="Garamond"/>
                <w:sz w:val="20"/>
                <w:szCs w:val="20"/>
              </w:rPr>
              <w:t>GEF CC Mitigation Tracking Tool</w:t>
            </w:r>
            <w:r>
              <w:rPr>
                <w:rFonts w:ascii="Garamond" w:hAnsi="Garamond"/>
                <w:sz w:val="20"/>
                <w:szCs w:val="20"/>
              </w:rPr>
              <w:t xml:space="preserve"> revised</w:t>
            </w:r>
          </w:p>
        </w:tc>
        <w:tc>
          <w:tcPr>
            <w:tcW w:w="1600" w:type="dxa"/>
            <w:tcBorders>
              <w:top w:val="single" w:sz="6" w:space="0" w:color="auto"/>
              <w:left w:val="single" w:sz="6" w:space="0" w:color="auto"/>
              <w:bottom w:val="single" w:sz="6" w:space="0" w:color="auto"/>
              <w:right w:val="single" w:sz="6" w:space="0" w:color="auto"/>
            </w:tcBorders>
          </w:tcPr>
          <w:p w14:paraId="6D1336F5" w14:textId="741123B4" w:rsidR="00A01CA5" w:rsidRPr="00F02A8A" w:rsidRDefault="00A01CA5" w:rsidP="00307816">
            <w:pPr>
              <w:tabs>
                <w:tab w:val="left" w:pos="1080"/>
              </w:tabs>
              <w:spacing w:after="0" w:line="240" w:lineRule="auto"/>
              <w:rPr>
                <w:rFonts w:ascii="Garamond" w:hAnsi="Garamond"/>
                <w:sz w:val="20"/>
                <w:szCs w:val="20"/>
              </w:rPr>
            </w:pPr>
            <w:r>
              <w:rPr>
                <w:rFonts w:ascii="Garamond" w:hAnsi="Garamond"/>
                <w:sz w:val="20"/>
                <w:szCs w:val="20"/>
              </w:rPr>
              <w:t>2016 August</w:t>
            </w:r>
          </w:p>
        </w:tc>
        <w:tc>
          <w:tcPr>
            <w:tcW w:w="2023" w:type="dxa"/>
            <w:tcBorders>
              <w:top w:val="single" w:sz="6" w:space="0" w:color="auto"/>
              <w:left w:val="single" w:sz="6" w:space="0" w:color="auto"/>
              <w:bottom w:val="single" w:sz="6" w:space="0" w:color="auto"/>
              <w:right w:val="single" w:sz="6" w:space="0" w:color="auto"/>
            </w:tcBorders>
          </w:tcPr>
          <w:p w14:paraId="1530433A" w14:textId="41F6F576" w:rsidR="00A01CA5" w:rsidRPr="00F02A8A" w:rsidRDefault="00A01CA5" w:rsidP="00307816">
            <w:pPr>
              <w:tabs>
                <w:tab w:val="left" w:pos="1080"/>
              </w:tabs>
              <w:spacing w:after="0" w:line="240" w:lineRule="auto"/>
              <w:rPr>
                <w:rFonts w:ascii="Garamond" w:hAnsi="Garamond"/>
                <w:sz w:val="20"/>
                <w:szCs w:val="20"/>
              </w:rPr>
            </w:pPr>
            <w:r>
              <w:rPr>
                <w:rFonts w:ascii="Garamond" w:hAnsi="Garamond"/>
                <w:sz w:val="20"/>
                <w:szCs w:val="20"/>
              </w:rPr>
              <w:t>UNDP Project team</w:t>
            </w:r>
          </w:p>
        </w:tc>
        <w:tc>
          <w:tcPr>
            <w:tcW w:w="1205" w:type="dxa"/>
            <w:tcBorders>
              <w:top w:val="single" w:sz="6" w:space="0" w:color="auto"/>
              <w:left w:val="single" w:sz="6" w:space="0" w:color="auto"/>
              <w:bottom w:val="single" w:sz="6" w:space="0" w:color="auto"/>
              <w:right w:val="single" w:sz="6" w:space="0" w:color="auto"/>
            </w:tcBorders>
          </w:tcPr>
          <w:p w14:paraId="778FC309" w14:textId="77777777" w:rsidR="00A01CA5" w:rsidRPr="00F02A8A" w:rsidRDefault="00A01CA5" w:rsidP="00307816">
            <w:pPr>
              <w:tabs>
                <w:tab w:val="left" w:pos="1080"/>
              </w:tabs>
              <w:spacing w:after="0" w:line="240" w:lineRule="auto"/>
              <w:rPr>
                <w:rFonts w:ascii="Garamond" w:hAnsi="Garamond"/>
                <w:sz w:val="20"/>
                <w:szCs w:val="20"/>
              </w:rPr>
            </w:pPr>
          </w:p>
        </w:tc>
        <w:tc>
          <w:tcPr>
            <w:tcW w:w="1551" w:type="dxa"/>
            <w:tcBorders>
              <w:top w:val="single" w:sz="6" w:space="0" w:color="auto"/>
              <w:left w:val="single" w:sz="6" w:space="0" w:color="auto"/>
              <w:bottom w:val="single" w:sz="6" w:space="0" w:color="auto"/>
            </w:tcBorders>
          </w:tcPr>
          <w:p w14:paraId="613A2E99" w14:textId="02193FF0" w:rsidR="00A01CA5" w:rsidRPr="00F02A8A" w:rsidRDefault="00A01CA5" w:rsidP="00307816">
            <w:pPr>
              <w:tabs>
                <w:tab w:val="left" w:pos="1080"/>
              </w:tabs>
              <w:spacing w:after="0" w:line="240" w:lineRule="auto"/>
              <w:rPr>
                <w:rFonts w:ascii="Garamond" w:hAnsi="Garamond"/>
                <w:sz w:val="20"/>
                <w:szCs w:val="20"/>
              </w:rPr>
            </w:pPr>
            <w:r>
              <w:rPr>
                <w:rFonts w:ascii="Garamond" w:hAnsi="Garamond"/>
                <w:sz w:val="20"/>
                <w:szCs w:val="20"/>
              </w:rPr>
              <w:t>Work in process.</w:t>
            </w:r>
          </w:p>
        </w:tc>
      </w:tr>
    </w:tbl>
    <w:p w14:paraId="0405B4E3" w14:textId="77777777" w:rsidR="00D66F55" w:rsidRDefault="00D66F55" w:rsidP="00E364DC">
      <w:pPr>
        <w:spacing w:after="0" w:line="240" w:lineRule="auto"/>
      </w:pPr>
    </w:p>
    <w:sectPr w:rsidR="00D66F55" w:rsidSect="00E364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8F210" w14:textId="77777777" w:rsidR="00B27F36" w:rsidRDefault="00B27F36" w:rsidP="00D66F55">
      <w:pPr>
        <w:spacing w:after="0" w:line="240" w:lineRule="auto"/>
      </w:pPr>
      <w:r>
        <w:separator/>
      </w:r>
    </w:p>
  </w:endnote>
  <w:endnote w:type="continuationSeparator" w:id="0">
    <w:p w14:paraId="6034A13C" w14:textId="77777777" w:rsidR="00B27F36" w:rsidRDefault="00B27F36" w:rsidP="00D66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1971C" w14:textId="77777777" w:rsidR="00B27F36" w:rsidRDefault="00B27F36" w:rsidP="00D66F55">
      <w:pPr>
        <w:spacing w:after="0" w:line="240" w:lineRule="auto"/>
      </w:pPr>
      <w:r>
        <w:separator/>
      </w:r>
    </w:p>
  </w:footnote>
  <w:footnote w:type="continuationSeparator" w:id="0">
    <w:p w14:paraId="49995926" w14:textId="77777777" w:rsidR="00B27F36" w:rsidRDefault="00B27F36" w:rsidP="00D66F55">
      <w:pPr>
        <w:spacing w:after="0" w:line="240" w:lineRule="auto"/>
      </w:pPr>
      <w:r>
        <w:continuationSeparator/>
      </w:r>
    </w:p>
  </w:footnote>
  <w:footnote w:id="1">
    <w:p w14:paraId="695B292E" w14:textId="77777777" w:rsidR="00D66F55" w:rsidRPr="00060E35" w:rsidRDefault="00D66F55" w:rsidP="00D66F55">
      <w:pPr>
        <w:spacing w:after="0" w:line="240" w:lineRule="auto"/>
        <w:rPr>
          <w:rFonts w:ascii="Garamond" w:hAnsi="Garamond"/>
          <w:sz w:val="18"/>
          <w:szCs w:val="18"/>
        </w:rPr>
      </w:pPr>
      <w:r w:rsidRPr="00060E35">
        <w:rPr>
          <w:rStyle w:val="FootnoteReference"/>
          <w:rFonts w:ascii="Garamond" w:hAnsi="Garamond"/>
          <w:sz w:val="18"/>
          <w:szCs w:val="18"/>
        </w:rPr>
        <w:footnoteRef/>
      </w:r>
      <w:r w:rsidRPr="00060E35">
        <w:rPr>
          <w:rFonts w:ascii="Garamond" w:hAnsi="Garamond"/>
          <w:sz w:val="18"/>
          <w:szCs w:val="18"/>
        </w:rPr>
        <w:t xml:space="preserve"> This template is in alignment with the </w:t>
      </w:r>
      <w:hyperlink r:id="rId1" w:history="1">
        <w:r w:rsidRPr="00060E35">
          <w:rPr>
            <w:rStyle w:val="Hyperlink"/>
            <w:rFonts w:ascii="Garamond" w:hAnsi="Garamond"/>
            <w:sz w:val="18"/>
            <w:szCs w:val="18"/>
          </w:rPr>
          <w:t>Management Response Template</w:t>
        </w:r>
      </w:hyperlink>
      <w:r w:rsidRPr="00060E35">
        <w:rPr>
          <w:rFonts w:ascii="Garamond" w:hAnsi="Garamond"/>
          <w:sz w:val="18"/>
          <w:szCs w:val="18"/>
        </w:rPr>
        <w:t xml:space="preserve"> for UNDP project-level evaluations in the Evaluation Resource Centre. </w:t>
      </w:r>
    </w:p>
  </w:footnote>
  <w:footnote w:id="2">
    <w:p w14:paraId="6947B53B" w14:textId="77777777" w:rsidR="00D66F55" w:rsidRPr="00060E35" w:rsidRDefault="00D66F55" w:rsidP="00D66F55">
      <w:pPr>
        <w:pStyle w:val="FootnoteText"/>
        <w:spacing w:before="0"/>
        <w:rPr>
          <w:rFonts w:ascii="Garamond" w:hAnsi="Garamond"/>
          <w:sz w:val="18"/>
          <w:szCs w:val="18"/>
        </w:rPr>
      </w:pPr>
      <w:r w:rsidRPr="00060E35">
        <w:rPr>
          <w:rStyle w:val="FootnoteReference"/>
          <w:rFonts w:ascii="Garamond" w:eastAsiaTheme="majorEastAsia" w:hAnsi="Garamond"/>
          <w:sz w:val="18"/>
          <w:szCs w:val="18"/>
        </w:rPr>
        <w:footnoteRef/>
      </w:r>
      <w:r w:rsidRPr="00060E35">
        <w:rPr>
          <w:rFonts w:ascii="Garamond" w:hAnsi="Garamond"/>
          <w:sz w:val="18"/>
          <w:szCs w:val="18"/>
        </w:rPr>
        <w:t xml:space="preserve"> If the MTR is uploaded to the ERC, the status of implementation is tracked electronically in the Evaluation Resource Centre database (ERC).</w:t>
      </w:r>
    </w:p>
  </w:footnote>
  <w:footnote w:id="3">
    <w:p w14:paraId="7F008B5F" w14:textId="77777777" w:rsidR="00D66F55" w:rsidRPr="00060E35" w:rsidRDefault="00D66F55" w:rsidP="00D66F55">
      <w:pPr>
        <w:widowControl w:val="0"/>
        <w:overflowPunct w:val="0"/>
        <w:autoSpaceDE w:val="0"/>
        <w:autoSpaceDN w:val="0"/>
        <w:adjustRightInd w:val="0"/>
        <w:spacing w:after="0" w:line="240" w:lineRule="auto"/>
        <w:jc w:val="both"/>
        <w:rPr>
          <w:rFonts w:ascii="Garamond" w:hAnsi="Garamond"/>
          <w:sz w:val="18"/>
          <w:szCs w:val="18"/>
          <w:vertAlign w:val="superscript"/>
        </w:rPr>
      </w:pPr>
      <w:r w:rsidRPr="00060E35">
        <w:rPr>
          <w:rStyle w:val="FootnoteReference"/>
          <w:rFonts w:ascii="Garamond" w:hAnsi="Garamond"/>
          <w:sz w:val="18"/>
          <w:szCs w:val="18"/>
        </w:rPr>
        <w:footnoteRef/>
      </w:r>
      <w:r w:rsidRPr="00060E35">
        <w:rPr>
          <w:rFonts w:ascii="Garamond" w:hAnsi="Garamond"/>
          <w:sz w:val="18"/>
          <w:szCs w:val="18"/>
        </w:rPr>
        <w:t xml:space="preserve"> Status of Implementation: Completed, Partially Completed, Pending.</w:t>
      </w:r>
    </w:p>
  </w:footnote>
  <w:footnote w:id="4">
    <w:p w14:paraId="28841550" w14:textId="77777777" w:rsidR="009937BB" w:rsidRPr="00C41F0F" w:rsidRDefault="009937BB" w:rsidP="009937BB">
      <w:pPr>
        <w:pStyle w:val="FootnoteText"/>
        <w:jc w:val="left"/>
        <w:rPr>
          <w:sz w:val="16"/>
        </w:rPr>
      </w:pPr>
      <w:r w:rsidRPr="00C41F0F">
        <w:rPr>
          <w:rStyle w:val="FootnoteReference"/>
          <w:sz w:val="16"/>
        </w:rPr>
        <w:footnoteRef/>
      </w:r>
      <w:r w:rsidRPr="00C41F0F">
        <w:rPr>
          <w:sz w:val="16"/>
        </w:rPr>
        <w:t xml:space="preserve"> Just to mention a few initiatives: the European Green Light Programme (</w:t>
      </w:r>
      <w:hyperlink r:id="rId2" w:history="1">
        <w:r w:rsidRPr="00C41F0F">
          <w:rPr>
            <w:rStyle w:val="Hyperlink"/>
            <w:sz w:val="16"/>
          </w:rPr>
          <w:t>http://iet.jrc.ec.europa.eu/energyefficiency/sites/energyefficiency/files/greenlightfolder_final_2013.pdf</w:t>
        </w:r>
      </w:hyperlink>
      <w:r w:rsidRPr="00C41F0F">
        <w:rPr>
          <w:sz w:val="16"/>
        </w:rPr>
        <w:t>), European LED Quality Charter (</w:t>
      </w:r>
      <w:hyperlink r:id="rId3" w:history="1">
        <w:r w:rsidRPr="00C41F0F">
          <w:rPr>
            <w:rStyle w:val="Hyperlink"/>
            <w:sz w:val="16"/>
          </w:rPr>
          <w:t>http://iet.jrc.ec.europa.eu/energyefficiency/sites/energyefficiency/files/files/documents/eu_led_quality_charter.pdf</w:t>
        </w:r>
      </w:hyperlink>
      <w:r w:rsidRPr="00C41F0F">
        <w:rPr>
          <w:sz w:val="16"/>
        </w:rPr>
        <w:t xml:space="preserve">) </w:t>
      </w:r>
      <w:r>
        <w:rPr>
          <w:sz w:val="16"/>
        </w:rPr>
        <w:t>or Australian Energy Efficiency Lighting Program (</w:t>
      </w:r>
      <w:hyperlink r:id="rId4" w:history="1">
        <w:r w:rsidRPr="008B03C2">
          <w:rPr>
            <w:rStyle w:val="Hyperlink"/>
            <w:sz w:val="16"/>
          </w:rPr>
          <w:t>http://www.energyrating.gov.au/products/lighting</w:t>
        </w:r>
      </w:hyperlink>
      <w:r>
        <w:rPr>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EE9"/>
    <w:multiLevelType w:val="hybridMultilevel"/>
    <w:tmpl w:val="B2169D5E"/>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0F474F5C"/>
    <w:multiLevelType w:val="hybridMultilevel"/>
    <w:tmpl w:val="A5568378"/>
    <w:lvl w:ilvl="0" w:tplc="04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14BA4BD7"/>
    <w:multiLevelType w:val="hybridMultilevel"/>
    <w:tmpl w:val="5F862EA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554321"/>
    <w:multiLevelType w:val="hybridMultilevel"/>
    <w:tmpl w:val="351863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B333B"/>
    <w:multiLevelType w:val="hybridMultilevel"/>
    <w:tmpl w:val="493CDE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D73168"/>
    <w:multiLevelType w:val="hybridMultilevel"/>
    <w:tmpl w:val="20E8E3B0"/>
    <w:lvl w:ilvl="0" w:tplc="0C07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75C26F96"/>
    <w:multiLevelType w:val="hybridMultilevel"/>
    <w:tmpl w:val="E6DE5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7C7C6C"/>
    <w:multiLevelType w:val="hybridMultilevel"/>
    <w:tmpl w:val="1D5CCA92"/>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5"/>
  </w:num>
  <w:num w:numId="4">
    <w:abstractNumId w:val="3"/>
  </w:num>
  <w:num w:numId="5">
    <w:abstractNumId w:val="2"/>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F55"/>
    <w:rsid w:val="00015FDF"/>
    <w:rsid w:val="000721B7"/>
    <w:rsid w:val="0010687A"/>
    <w:rsid w:val="00270198"/>
    <w:rsid w:val="002A681B"/>
    <w:rsid w:val="00307816"/>
    <w:rsid w:val="00491A1A"/>
    <w:rsid w:val="004C3FB2"/>
    <w:rsid w:val="00505B94"/>
    <w:rsid w:val="005710B4"/>
    <w:rsid w:val="00572AE2"/>
    <w:rsid w:val="005D6CFB"/>
    <w:rsid w:val="00666DF7"/>
    <w:rsid w:val="00670143"/>
    <w:rsid w:val="00763582"/>
    <w:rsid w:val="007823F1"/>
    <w:rsid w:val="007B0E68"/>
    <w:rsid w:val="007B53A3"/>
    <w:rsid w:val="00872761"/>
    <w:rsid w:val="008D7DA4"/>
    <w:rsid w:val="008E26CC"/>
    <w:rsid w:val="008E70F6"/>
    <w:rsid w:val="009937BB"/>
    <w:rsid w:val="009A58D3"/>
    <w:rsid w:val="00A01CA5"/>
    <w:rsid w:val="00A33498"/>
    <w:rsid w:val="00A757A7"/>
    <w:rsid w:val="00AF13F6"/>
    <w:rsid w:val="00B27F36"/>
    <w:rsid w:val="00C9296D"/>
    <w:rsid w:val="00C947AE"/>
    <w:rsid w:val="00D66F55"/>
    <w:rsid w:val="00E364DC"/>
    <w:rsid w:val="00F8121E"/>
    <w:rsid w:val="00FC14D3"/>
    <w:rsid w:val="00FC2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07FAC3"/>
  <w14:defaultImageDpi w14:val="300"/>
  <w15:docId w15:val="{7D23ECED-3F4B-48EC-AC4D-B53467F0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6F55"/>
    <w:pPr>
      <w:spacing w:after="200" w:line="276" w:lineRule="auto"/>
    </w:pPr>
    <w:rPr>
      <w:rFonts w:eastAsiaTheme="minorHAnsi"/>
      <w:sz w:val="22"/>
      <w:szCs w:val="22"/>
    </w:rPr>
  </w:style>
  <w:style w:type="paragraph" w:styleId="Heading2">
    <w:name w:val="heading 2"/>
    <w:basedOn w:val="Normal"/>
    <w:next w:val="Normal"/>
    <w:link w:val="Heading2Char"/>
    <w:rsid w:val="00D66F55"/>
    <w:pPr>
      <w:keepNext/>
      <w:keepLines/>
      <w:spacing w:after="0" w:line="240" w:lineRule="auto"/>
      <w:outlineLvl w:val="1"/>
    </w:pPr>
    <w:rPr>
      <w:rFonts w:ascii="Garamond" w:eastAsiaTheme="majorEastAsia" w:hAnsi="Garamond"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6F55"/>
    <w:rPr>
      <w:rFonts w:ascii="Garamond" w:eastAsiaTheme="majorEastAsia" w:hAnsi="Garamond" w:cstheme="majorBidi"/>
      <w:b/>
      <w:bCs/>
      <w:sz w:val="26"/>
      <w:szCs w:val="26"/>
    </w:rPr>
  </w:style>
  <w:style w:type="character" w:styleId="FootnoteReference">
    <w:name w:val="footnote reference"/>
    <w:aliases w:val="16 Point,Superscript 6 Point,Superscript 6 Point + 11 pt,ftref,fr,Footnote Ref in FtNote,Style 24,o,SUPERS"/>
    <w:uiPriority w:val="99"/>
    <w:rsid w:val="00D66F55"/>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D66F55"/>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D66F55"/>
    <w:rPr>
      <w:rFonts w:ascii="Times New Roman" w:eastAsia="Times New Roman" w:hAnsi="Times New Roman" w:cs="Times New Roman"/>
      <w:sz w:val="20"/>
      <w:szCs w:val="20"/>
    </w:rPr>
  </w:style>
  <w:style w:type="character" w:styleId="Hyperlink">
    <w:name w:val="Hyperlink"/>
    <w:uiPriority w:val="99"/>
    <w:rsid w:val="00D66F55"/>
    <w:rPr>
      <w:color w:val="0000FF"/>
      <w:u w:val="single"/>
    </w:rPr>
  </w:style>
  <w:style w:type="paragraph" w:customStyle="1" w:styleId="HCh">
    <w:name w:val="_ H _Ch"/>
    <w:basedOn w:val="Normal"/>
    <w:next w:val="Normal"/>
    <w:rsid w:val="00D66F55"/>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D66F5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styleId="CommentText">
    <w:name w:val="annotation text"/>
    <w:basedOn w:val="Normal"/>
    <w:link w:val="CommentTextChar"/>
    <w:rsid w:val="009937BB"/>
    <w:pPr>
      <w:spacing w:after="120" w:line="240" w:lineRule="auto"/>
    </w:pPr>
    <w:rPr>
      <w:rFonts w:ascii="Times New Roman" w:eastAsia="MS Mincho" w:hAnsi="Times New Roman" w:cs="Arial"/>
      <w:sz w:val="20"/>
      <w:szCs w:val="20"/>
      <w:lang w:val="en-GB" w:eastAsia="x-none"/>
    </w:rPr>
  </w:style>
  <w:style w:type="character" w:customStyle="1" w:styleId="CommentTextChar">
    <w:name w:val="Comment Text Char"/>
    <w:basedOn w:val="DefaultParagraphFont"/>
    <w:link w:val="CommentText"/>
    <w:rsid w:val="009937BB"/>
    <w:rPr>
      <w:rFonts w:ascii="Times New Roman" w:eastAsia="MS Mincho" w:hAnsi="Times New Roman" w:cs="Arial"/>
      <w:sz w:val="20"/>
      <w:szCs w:val="20"/>
      <w:lang w:val="en-GB" w:eastAsia="x-none"/>
    </w:rPr>
  </w:style>
  <w:style w:type="character" w:styleId="CommentReference">
    <w:name w:val="annotation reference"/>
    <w:basedOn w:val="DefaultParagraphFont"/>
    <w:uiPriority w:val="99"/>
    <w:semiHidden/>
    <w:unhideWhenUsed/>
    <w:rsid w:val="009937BB"/>
    <w:rPr>
      <w:sz w:val="16"/>
      <w:szCs w:val="16"/>
    </w:rPr>
  </w:style>
  <w:style w:type="table" w:customStyle="1" w:styleId="GridTable5Dark-Accent61">
    <w:name w:val="Grid Table 5 Dark - Accent 61"/>
    <w:basedOn w:val="TableNormal"/>
    <w:uiPriority w:val="50"/>
    <w:rsid w:val="009937BB"/>
    <w:rPr>
      <w:rFonts w:ascii="Cambria" w:eastAsia="MS Mincho" w:hAnsi="Cambria" w:cs="Times New Roman"/>
      <w:sz w:val="20"/>
      <w:szCs w:val="20"/>
      <w:lang w:val="de-AT" w:eastAsia="de-A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BalloonText">
    <w:name w:val="Balloon Text"/>
    <w:basedOn w:val="Normal"/>
    <w:link w:val="BalloonTextChar"/>
    <w:uiPriority w:val="99"/>
    <w:semiHidden/>
    <w:unhideWhenUsed/>
    <w:rsid w:val="009937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7BB"/>
    <w:rPr>
      <w:rFonts w:ascii="Segoe UI" w:eastAsiaTheme="minorHAnsi" w:hAnsi="Segoe UI" w:cs="Segoe UI"/>
      <w:sz w:val="18"/>
      <w:szCs w:val="18"/>
    </w:rPr>
  </w:style>
  <w:style w:type="paragraph" w:styleId="ListParagraph">
    <w:name w:val="List Paragraph"/>
    <w:aliases w:val="Bullets,List Paragraph1"/>
    <w:basedOn w:val="Normal"/>
    <w:link w:val="ListParagraphChar"/>
    <w:uiPriority w:val="34"/>
    <w:qFormat/>
    <w:rsid w:val="009937BB"/>
    <w:pPr>
      <w:spacing w:after="120" w:line="240" w:lineRule="auto"/>
      <w:ind w:left="720"/>
      <w:contextualSpacing/>
      <w:jc w:val="both"/>
    </w:pPr>
    <w:rPr>
      <w:rFonts w:ascii="Calibri" w:eastAsia="MS Mincho" w:hAnsi="Calibri" w:cs="Arial"/>
      <w:sz w:val="20"/>
      <w:szCs w:val="24"/>
      <w:lang w:val="en-GB"/>
    </w:rPr>
  </w:style>
  <w:style w:type="character" w:customStyle="1" w:styleId="ListParagraphChar">
    <w:name w:val="List Paragraph Char"/>
    <w:aliases w:val="Bullets Char,List Paragraph1 Char"/>
    <w:link w:val="ListParagraph"/>
    <w:uiPriority w:val="34"/>
    <w:rsid w:val="009937BB"/>
    <w:rPr>
      <w:rFonts w:ascii="Calibri" w:eastAsia="MS Mincho" w:hAnsi="Calibri" w:cs="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lighten-initiativ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iet.jrc.ec.europa.eu/energyefficiency/sites/energyefficiency/files/files/documents/eu_led_quality_charter.pdf" TargetMode="External"/><Relationship Id="rId2" Type="http://schemas.openxmlformats.org/officeDocument/2006/relationships/hyperlink" Target="http://iet.jrc.ec.europa.eu/energyefficiency/sites/energyefficiency/files/greenlightfolder_final_2013.pdf" TargetMode="External"/><Relationship Id="rId1" Type="http://schemas.openxmlformats.org/officeDocument/2006/relationships/hyperlink" Target="http://web.undp.org/evaluation/handbook/documents/templates/Independent-Evaluation-Management-response.doc" TargetMode="External"/><Relationship Id="rId4" Type="http://schemas.openxmlformats.org/officeDocument/2006/relationships/hyperlink" Target="http://www.energyrating.gov.au/products/ligh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UNDP-GEF</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Ullrich</dc:creator>
  <cp:lastModifiedBy>Armine Hovhannisyan</cp:lastModifiedBy>
  <cp:revision>2</cp:revision>
  <dcterms:created xsi:type="dcterms:W3CDTF">2018-04-04T14:42:00Z</dcterms:created>
  <dcterms:modified xsi:type="dcterms:W3CDTF">2018-04-04T14:42:00Z</dcterms:modified>
</cp:coreProperties>
</file>