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34C47" w14:textId="20AD650D" w:rsidR="00291938" w:rsidRPr="00842AD9" w:rsidRDefault="00291938" w:rsidP="00842AD9">
      <w:pPr>
        <w:pStyle w:val="Title"/>
        <w:rPr>
          <w:rStyle w:val="SubtleEmphasis"/>
          <w:i w:val="0"/>
          <w:iCs w:val="0"/>
          <w:color w:val="auto"/>
        </w:rPr>
      </w:pPr>
      <w:r w:rsidRPr="00842AD9">
        <w:rPr>
          <w:rStyle w:val="SubtleEmphasis"/>
          <w:i w:val="0"/>
          <w:iCs w:val="0"/>
          <w:color w:val="auto"/>
        </w:rPr>
        <w:t>Strengthening BRG Institution Through Office Support and Capacity Building (OSCB) Project</w:t>
      </w:r>
      <w:r w:rsidR="00D05FB3">
        <w:rPr>
          <w:rStyle w:val="SubtleEmphasis"/>
          <w:i w:val="0"/>
          <w:iCs w:val="0"/>
          <w:color w:val="auto"/>
        </w:rPr>
        <w:t xml:space="preserve"> </w:t>
      </w:r>
      <w:r w:rsidRPr="00842AD9">
        <w:rPr>
          <w:rStyle w:val="SubtleEmphasis"/>
          <w:i w:val="0"/>
          <w:iCs w:val="0"/>
          <w:color w:val="auto"/>
        </w:rPr>
        <w:t xml:space="preserve">Evaluation Report </w:t>
      </w:r>
    </w:p>
    <w:p w14:paraId="273201F5" w14:textId="77777777" w:rsidR="00D83CC7" w:rsidRPr="00842AD9" w:rsidRDefault="00D83CC7" w:rsidP="00842AD9">
      <w:pPr>
        <w:pStyle w:val="Title"/>
        <w:rPr>
          <w:rStyle w:val="SubtleEmphasis"/>
          <w:i w:val="0"/>
          <w:iCs w:val="0"/>
          <w:color w:val="auto"/>
        </w:rPr>
      </w:pPr>
    </w:p>
    <w:p w14:paraId="4481D664" w14:textId="77777777" w:rsidR="00D83CC7" w:rsidRPr="00842AD9" w:rsidRDefault="00D83CC7" w:rsidP="00842AD9">
      <w:pPr>
        <w:pStyle w:val="Title"/>
        <w:rPr>
          <w:rStyle w:val="SubtleEmphasis"/>
          <w:i w:val="0"/>
          <w:iCs w:val="0"/>
          <w:color w:val="auto"/>
        </w:rPr>
      </w:pPr>
      <w:r w:rsidRPr="00842AD9">
        <w:rPr>
          <w:rStyle w:val="SubtleEmphasis"/>
          <w:i w:val="0"/>
          <w:iCs w:val="0"/>
          <w:color w:val="auto"/>
        </w:rPr>
        <w:t>October 2018</w:t>
      </w:r>
    </w:p>
    <w:p w14:paraId="440A919F" w14:textId="77777777" w:rsidR="00291938" w:rsidRDefault="00291938" w:rsidP="00291938">
      <w:pPr>
        <w:spacing w:after="160" w:line="259" w:lineRule="auto"/>
        <w:rPr>
          <w:rStyle w:val="SubtleEmphasis"/>
          <w:b/>
          <w:i w:val="0"/>
          <w:color w:val="000000" w:themeColor="text1"/>
          <w:lang w:val="en-GB" w:eastAsia="en-GB"/>
        </w:rPr>
      </w:pPr>
      <w:r w:rsidRPr="00291938">
        <w:rPr>
          <w:rStyle w:val="SubtleEmphasis"/>
          <w:b/>
          <w:i w:val="0"/>
          <w:color w:val="000000" w:themeColor="text1"/>
        </w:rPr>
        <w:t xml:space="preserve"> </w:t>
      </w:r>
      <w:r>
        <w:rPr>
          <w:rStyle w:val="SubtleEmphasis"/>
          <w:b/>
          <w:i w:val="0"/>
          <w:color w:val="000000" w:themeColor="text1"/>
        </w:rPr>
        <w:br w:type="page"/>
      </w:r>
    </w:p>
    <w:p w14:paraId="64814BB0" w14:textId="77777777" w:rsidR="00291938" w:rsidRPr="0061157C" w:rsidRDefault="00291938" w:rsidP="00197DDF">
      <w:pPr>
        <w:pStyle w:val="MediumGrid21"/>
        <w:spacing w:before="120" w:line="276" w:lineRule="auto"/>
        <w:contextualSpacing/>
        <w:jc w:val="both"/>
        <w:rPr>
          <w:rStyle w:val="SubtleEmphasis"/>
          <w:b/>
          <w:i w:val="0"/>
          <w:color w:val="000000" w:themeColor="text1"/>
        </w:rPr>
      </w:pPr>
      <w:bookmarkStart w:id="0" w:name="_GoBack"/>
      <w:bookmarkEnd w:id="0"/>
    </w:p>
    <w:p w14:paraId="4F41915A" w14:textId="646C9E46" w:rsidR="00197DDF" w:rsidRDefault="00842AD9" w:rsidP="00291938">
      <w:pPr>
        <w:pStyle w:val="Heading2"/>
        <w:rPr>
          <w:lang w:val="en-US"/>
        </w:rPr>
      </w:pPr>
      <w:r>
        <w:rPr>
          <w:lang w:val="en-US"/>
        </w:rPr>
        <w:t xml:space="preserve"> </w:t>
      </w:r>
    </w:p>
    <w:p w14:paraId="2172118C" w14:textId="77777777" w:rsidR="00291938" w:rsidRDefault="00291938" w:rsidP="00197DDF">
      <w:pPr>
        <w:autoSpaceDE w:val="0"/>
        <w:autoSpaceDN w:val="0"/>
        <w:adjustRightInd w:val="0"/>
        <w:spacing w:after="0" w:line="23" w:lineRule="atLeast"/>
        <w:rPr>
          <w:rFonts w:cs="Calibri,Bold"/>
          <w:bCs/>
          <w:color w:val="000000" w:themeColor="text1"/>
          <w:lang w:val="en-US"/>
        </w:rPr>
      </w:pPr>
    </w:p>
    <w:sdt>
      <w:sdtPr>
        <w:rPr>
          <w:rFonts w:ascii="Calibri" w:eastAsia="Calibri" w:hAnsi="Calibri" w:cs="Times New Roman"/>
          <w:color w:val="auto"/>
          <w:sz w:val="22"/>
          <w:szCs w:val="22"/>
          <w:lang w:val="id-ID"/>
        </w:rPr>
        <w:id w:val="-1699078170"/>
        <w:docPartObj>
          <w:docPartGallery w:val="Table of Contents"/>
          <w:docPartUnique/>
        </w:docPartObj>
      </w:sdtPr>
      <w:sdtEndPr>
        <w:rPr>
          <w:b/>
          <w:bCs/>
          <w:noProof/>
        </w:rPr>
      </w:sdtEndPr>
      <w:sdtContent>
        <w:p w14:paraId="648B0281" w14:textId="79CD4950" w:rsidR="00842AD9" w:rsidRDefault="00842AD9">
          <w:pPr>
            <w:pStyle w:val="TOCHeading"/>
          </w:pPr>
          <w:r>
            <w:t>Contents</w:t>
          </w:r>
        </w:p>
        <w:p w14:paraId="4D868E7C" w14:textId="75E2CDC4" w:rsidR="0011568C" w:rsidRDefault="00842AD9">
          <w:pPr>
            <w:pStyle w:val="TOC2"/>
            <w:tabs>
              <w:tab w:val="right" w:leader="dot" w:pos="9016"/>
            </w:tabs>
            <w:rPr>
              <w:rFonts w:asciiTheme="minorHAnsi" w:eastAsiaTheme="minorEastAsia" w:hAnsiTheme="minorHAnsi" w:cstheme="minorBidi"/>
              <w:noProof/>
              <w:lang w:val="en-ID" w:eastAsia="en-ID"/>
            </w:rPr>
          </w:pPr>
          <w:r>
            <w:rPr>
              <w:b/>
              <w:bCs/>
              <w:noProof/>
            </w:rPr>
            <w:fldChar w:fldCharType="begin"/>
          </w:r>
          <w:r>
            <w:rPr>
              <w:b/>
              <w:bCs/>
              <w:noProof/>
            </w:rPr>
            <w:instrText xml:space="preserve"> TOC \o "1-3" \h \z \u </w:instrText>
          </w:r>
          <w:r>
            <w:rPr>
              <w:b/>
              <w:bCs/>
              <w:noProof/>
            </w:rPr>
            <w:fldChar w:fldCharType="separate"/>
          </w:r>
          <w:hyperlink w:anchor="_Toc528998422" w:history="1">
            <w:r w:rsidR="0011568C" w:rsidRPr="00AF7CBE">
              <w:rPr>
                <w:rStyle w:val="Hyperlink"/>
                <w:noProof/>
                <w:lang w:val="en-US"/>
              </w:rPr>
              <w:t>List of Acronyms and Abbreviations</w:t>
            </w:r>
            <w:r w:rsidR="0011568C">
              <w:rPr>
                <w:noProof/>
                <w:webHidden/>
              </w:rPr>
              <w:tab/>
            </w:r>
            <w:r w:rsidR="0011568C">
              <w:rPr>
                <w:noProof/>
                <w:webHidden/>
              </w:rPr>
              <w:fldChar w:fldCharType="begin"/>
            </w:r>
            <w:r w:rsidR="0011568C">
              <w:rPr>
                <w:noProof/>
                <w:webHidden/>
              </w:rPr>
              <w:instrText xml:space="preserve"> PAGEREF _Toc528998422 \h </w:instrText>
            </w:r>
            <w:r w:rsidR="0011568C">
              <w:rPr>
                <w:noProof/>
                <w:webHidden/>
              </w:rPr>
            </w:r>
            <w:r w:rsidR="0011568C">
              <w:rPr>
                <w:noProof/>
                <w:webHidden/>
              </w:rPr>
              <w:fldChar w:fldCharType="separate"/>
            </w:r>
            <w:r w:rsidR="0011568C">
              <w:rPr>
                <w:noProof/>
                <w:webHidden/>
              </w:rPr>
              <w:t>3</w:t>
            </w:r>
            <w:r w:rsidR="0011568C">
              <w:rPr>
                <w:noProof/>
                <w:webHidden/>
              </w:rPr>
              <w:fldChar w:fldCharType="end"/>
            </w:r>
          </w:hyperlink>
        </w:p>
        <w:p w14:paraId="3E14F9CC" w14:textId="666FA0E0" w:rsidR="0011568C" w:rsidRDefault="0011568C">
          <w:pPr>
            <w:pStyle w:val="TOC2"/>
            <w:tabs>
              <w:tab w:val="right" w:leader="dot" w:pos="9016"/>
            </w:tabs>
            <w:rPr>
              <w:rFonts w:asciiTheme="minorHAnsi" w:eastAsiaTheme="minorEastAsia" w:hAnsiTheme="minorHAnsi" w:cstheme="minorBidi"/>
              <w:noProof/>
              <w:lang w:val="en-ID" w:eastAsia="en-ID"/>
            </w:rPr>
          </w:pPr>
          <w:hyperlink w:anchor="_Toc528998423" w:history="1">
            <w:r w:rsidRPr="00AF7CBE">
              <w:rPr>
                <w:rStyle w:val="Hyperlink"/>
                <w:noProof/>
                <w:lang w:val="en-US"/>
              </w:rPr>
              <w:t>Executive Summary</w:t>
            </w:r>
            <w:r>
              <w:rPr>
                <w:noProof/>
                <w:webHidden/>
              </w:rPr>
              <w:tab/>
            </w:r>
            <w:r>
              <w:rPr>
                <w:noProof/>
                <w:webHidden/>
              </w:rPr>
              <w:fldChar w:fldCharType="begin"/>
            </w:r>
            <w:r>
              <w:rPr>
                <w:noProof/>
                <w:webHidden/>
              </w:rPr>
              <w:instrText xml:space="preserve"> PAGEREF _Toc528998423 \h </w:instrText>
            </w:r>
            <w:r>
              <w:rPr>
                <w:noProof/>
                <w:webHidden/>
              </w:rPr>
            </w:r>
            <w:r>
              <w:rPr>
                <w:noProof/>
                <w:webHidden/>
              </w:rPr>
              <w:fldChar w:fldCharType="separate"/>
            </w:r>
            <w:r>
              <w:rPr>
                <w:noProof/>
                <w:webHidden/>
              </w:rPr>
              <w:t>5</w:t>
            </w:r>
            <w:r>
              <w:rPr>
                <w:noProof/>
                <w:webHidden/>
              </w:rPr>
              <w:fldChar w:fldCharType="end"/>
            </w:r>
          </w:hyperlink>
        </w:p>
        <w:p w14:paraId="45BFDD47" w14:textId="7B2EE37E" w:rsidR="0011568C" w:rsidRDefault="0011568C">
          <w:pPr>
            <w:pStyle w:val="TOC2"/>
            <w:tabs>
              <w:tab w:val="right" w:leader="dot" w:pos="9016"/>
            </w:tabs>
            <w:rPr>
              <w:rFonts w:asciiTheme="minorHAnsi" w:eastAsiaTheme="minorEastAsia" w:hAnsiTheme="minorHAnsi" w:cstheme="minorBidi"/>
              <w:noProof/>
              <w:lang w:val="en-ID" w:eastAsia="en-ID"/>
            </w:rPr>
          </w:pPr>
          <w:hyperlink w:anchor="_Toc528998424" w:history="1">
            <w:r w:rsidRPr="00AF7CBE">
              <w:rPr>
                <w:rStyle w:val="Hyperlink"/>
                <w:noProof/>
                <w:lang w:val="en-US"/>
              </w:rPr>
              <w:t>Introduction</w:t>
            </w:r>
            <w:r>
              <w:rPr>
                <w:noProof/>
                <w:webHidden/>
              </w:rPr>
              <w:tab/>
            </w:r>
            <w:r>
              <w:rPr>
                <w:noProof/>
                <w:webHidden/>
              </w:rPr>
              <w:fldChar w:fldCharType="begin"/>
            </w:r>
            <w:r>
              <w:rPr>
                <w:noProof/>
                <w:webHidden/>
              </w:rPr>
              <w:instrText xml:space="preserve"> PAGEREF _Toc528998424 \h </w:instrText>
            </w:r>
            <w:r>
              <w:rPr>
                <w:noProof/>
                <w:webHidden/>
              </w:rPr>
            </w:r>
            <w:r>
              <w:rPr>
                <w:noProof/>
                <w:webHidden/>
              </w:rPr>
              <w:fldChar w:fldCharType="separate"/>
            </w:r>
            <w:r>
              <w:rPr>
                <w:noProof/>
                <w:webHidden/>
              </w:rPr>
              <w:t>7</w:t>
            </w:r>
            <w:r>
              <w:rPr>
                <w:noProof/>
                <w:webHidden/>
              </w:rPr>
              <w:fldChar w:fldCharType="end"/>
            </w:r>
          </w:hyperlink>
        </w:p>
        <w:p w14:paraId="6C98C249" w14:textId="0F9F15A8" w:rsidR="0011568C" w:rsidRDefault="0011568C">
          <w:pPr>
            <w:pStyle w:val="TOC2"/>
            <w:tabs>
              <w:tab w:val="right" w:leader="dot" w:pos="9016"/>
            </w:tabs>
            <w:rPr>
              <w:rFonts w:asciiTheme="minorHAnsi" w:eastAsiaTheme="minorEastAsia" w:hAnsiTheme="minorHAnsi" w:cstheme="minorBidi"/>
              <w:noProof/>
              <w:lang w:val="en-ID" w:eastAsia="en-ID"/>
            </w:rPr>
          </w:pPr>
          <w:hyperlink w:anchor="_Toc528998425" w:history="1">
            <w:r w:rsidRPr="00AF7CBE">
              <w:rPr>
                <w:rStyle w:val="Hyperlink"/>
                <w:noProof/>
                <w:lang w:val="en-US"/>
              </w:rPr>
              <w:t>Description of the Intervention</w:t>
            </w:r>
            <w:r>
              <w:rPr>
                <w:noProof/>
                <w:webHidden/>
              </w:rPr>
              <w:tab/>
            </w:r>
            <w:r>
              <w:rPr>
                <w:noProof/>
                <w:webHidden/>
              </w:rPr>
              <w:fldChar w:fldCharType="begin"/>
            </w:r>
            <w:r>
              <w:rPr>
                <w:noProof/>
                <w:webHidden/>
              </w:rPr>
              <w:instrText xml:space="preserve"> PAGEREF _Toc528998425 \h </w:instrText>
            </w:r>
            <w:r>
              <w:rPr>
                <w:noProof/>
                <w:webHidden/>
              </w:rPr>
            </w:r>
            <w:r>
              <w:rPr>
                <w:noProof/>
                <w:webHidden/>
              </w:rPr>
              <w:fldChar w:fldCharType="separate"/>
            </w:r>
            <w:r>
              <w:rPr>
                <w:noProof/>
                <w:webHidden/>
              </w:rPr>
              <w:t>7</w:t>
            </w:r>
            <w:r>
              <w:rPr>
                <w:noProof/>
                <w:webHidden/>
              </w:rPr>
              <w:fldChar w:fldCharType="end"/>
            </w:r>
          </w:hyperlink>
        </w:p>
        <w:p w14:paraId="3B624E06" w14:textId="742A718D" w:rsidR="0011568C" w:rsidRDefault="0011568C">
          <w:pPr>
            <w:pStyle w:val="TOC2"/>
            <w:tabs>
              <w:tab w:val="right" w:leader="dot" w:pos="9016"/>
            </w:tabs>
            <w:rPr>
              <w:rFonts w:asciiTheme="minorHAnsi" w:eastAsiaTheme="minorEastAsia" w:hAnsiTheme="minorHAnsi" w:cstheme="minorBidi"/>
              <w:noProof/>
              <w:lang w:val="en-ID" w:eastAsia="en-ID"/>
            </w:rPr>
          </w:pPr>
          <w:hyperlink w:anchor="_Toc528998426" w:history="1">
            <w:r w:rsidRPr="00AF7CBE">
              <w:rPr>
                <w:rStyle w:val="Hyperlink"/>
                <w:noProof/>
                <w:lang w:val="en-US"/>
              </w:rPr>
              <w:t>Evaluation Scope and Objectives</w:t>
            </w:r>
            <w:r>
              <w:rPr>
                <w:noProof/>
                <w:webHidden/>
              </w:rPr>
              <w:tab/>
            </w:r>
            <w:r>
              <w:rPr>
                <w:noProof/>
                <w:webHidden/>
              </w:rPr>
              <w:fldChar w:fldCharType="begin"/>
            </w:r>
            <w:r>
              <w:rPr>
                <w:noProof/>
                <w:webHidden/>
              </w:rPr>
              <w:instrText xml:space="preserve"> PAGEREF _Toc528998426 \h </w:instrText>
            </w:r>
            <w:r>
              <w:rPr>
                <w:noProof/>
                <w:webHidden/>
              </w:rPr>
            </w:r>
            <w:r>
              <w:rPr>
                <w:noProof/>
                <w:webHidden/>
              </w:rPr>
              <w:fldChar w:fldCharType="separate"/>
            </w:r>
            <w:r>
              <w:rPr>
                <w:noProof/>
                <w:webHidden/>
              </w:rPr>
              <w:t>9</w:t>
            </w:r>
            <w:r>
              <w:rPr>
                <w:noProof/>
                <w:webHidden/>
              </w:rPr>
              <w:fldChar w:fldCharType="end"/>
            </w:r>
          </w:hyperlink>
        </w:p>
        <w:p w14:paraId="45581E69" w14:textId="1F929494" w:rsidR="0011568C" w:rsidRDefault="0011568C">
          <w:pPr>
            <w:pStyle w:val="TOC2"/>
            <w:tabs>
              <w:tab w:val="right" w:leader="dot" w:pos="9016"/>
            </w:tabs>
            <w:rPr>
              <w:rFonts w:asciiTheme="minorHAnsi" w:eastAsiaTheme="minorEastAsia" w:hAnsiTheme="minorHAnsi" w:cstheme="minorBidi"/>
              <w:noProof/>
              <w:lang w:val="en-ID" w:eastAsia="en-ID"/>
            </w:rPr>
          </w:pPr>
          <w:hyperlink w:anchor="_Toc528998427" w:history="1">
            <w:r w:rsidRPr="00AF7CBE">
              <w:rPr>
                <w:rStyle w:val="Hyperlink"/>
                <w:noProof/>
                <w:lang w:val="en-ID"/>
              </w:rPr>
              <w:t>Evaluation Methodology and Approach</w:t>
            </w:r>
            <w:r>
              <w:rPr>
                <w:noProof/>
                <w:webHidden/>
              </w:rPr>
              <w:tab/>
            </w:r>
            <w:r>
              <w:rPr>
                <w:noProof/>
                <w:webHidden/>
              </w:rPr>
              <w:fldChar w:fldCharType="begin"/>
            </w:r>
            <w:r>
              <w:rPr>
                <w:noProof/>
                <w:webHidden/>
              </w:rPr>
              <w:instrText xml:space="preserve"> PAGEREF _Toc528998427 \h </w:instrText>
            </w:r>
            <w:r>
              <w:rPr>
                <w:noProof/>
                <w:webHidden/>
              </w:rPr>
            </w:r>
            <w:r>
              <w:rPr>
                <w:noProof/>
                <w:webHidden/>
              </w:rPr>
              <w:fldChar w:fldCharType="separate"/>
            </w:r>
            <w:r>
              <w:rPr>
                <w:noProof/>
                <w:webHidden/>
              </w:rPr>
              <w:t>10</w:t>
            </w:r>
            <w:r>
              <w:rPr>
                <w:noProof/>
                <w:webHidden/>
              </w:rPr>
              <w:fldChar w:fldCharType="end"/>
            </w:r>
          </w:hyperlink>
        </w:p>
        <w:p w14:paraId="60938101" w14:textId="73554539" w:rsidR="0011568C" w:rsidRDefault="0011568C">
          <w:pPr>
            <w:pStyle w:val="TOC2"/>
            <w:tabs>
              <w:tab w:val="right" w:leader="dot" w:pos="9016"/>
            </w:tabs>
            <w:rPr>
              <w:rFonts w:asciiTheme="minorHAnsi" w:eastAsiaTheme="minorEastAsia" w:hAnsiTheme="minorHAnsi" w:cstheme="minorBidi"/>
              <w:noProof/>
              <w:lang w:val="en-ID" w:eastAsia="en-ID"/>
            </w:rPr>
          </w:pPr>
          <w:hyperlink w:anchor="_Toc528998428" w:history="1">
            <w:r w:rsidRPr="00AF7CBE">
              <w:rPr>
                <w:rStyle w:val="Hyperlink"/>
                <w:noProof/>
                <w:lang w:val="en-US"/>
              </w:rPr>
              <w:t>Achievements</w:t>
            </w:r>
            <w:r>
              <w:rPr>
                <w:noProof/>
                <w:webHidden/>
              </w:rPr>
              <w:tab/>
            </w:r>
            <w:r>
              <w:rPr>
                <w:noProof/>
                <w:webHidden/>
              </w:rPr>
              <w:fldChar w:fldCharType="begin"/>
            </w:r>
            <w:r>
              <w:rPr>
                <w:noProof/>
                <w:webHidden/>
              </w:rPr>
              <w:instrText xml:space="preserve"> PAGEREF _Toc528998428 \h </w:instrText>
            </w:r>
            <w:r>
              <w:rPr>
                <w:noProof/>
                <w:webHidden/>
              </w:rPr>
            </w:r>
            <w:r>
              <w:rPr>
                <w:noProof/>
                <w:webHidden/>
              </w:rPr>
              <w:fldChar w:fldCharType="separate"/>
            </w:r>
            <w:r>
              <w:rPr>
                <w:noProof/>
                <w:webHidden/>
              </w:rPr>
              <w:t>11</w:t>
            </w:r>
            <w:r>
              <w:rPr>
                <w:noProof/>
                <w:webHidden/>
              </w:rPr>
              <w:fldChar w:fldCharType="end"/>
            </w:r>
          </w:hyperlink>
        </w:p>
        <w:p w14:paraId="15C8DB8F" w14:textId="3F61DF77" w:rsidR="0011568C" w:rsidRDefault="0011568C">
          <w:pPr>
            <w:pStyle w:val="TOC3"/>
            <w:tabs>
              <w:tab w:val="right" w:leader="dot" w:pos="9016"/>
            </w:tabs>
            <w:rPr>
              <w:rFonts w:asciiTheme="minorHAnsi" w:eastAsiaTheme="minorEastAsia" w:hAnsiTheme="minorHAnsi" w:cstheme="minorBidi"/>
              <w:noProof/>
              <w:lang w:val="en-ID" w:eastAsia="en-ID"/>
            </w:rPr>
          </w:pPr>
          <w:hyperlink w:anchor="_Toc528998429" w:history="1">
            <w:r w:rsidRPr="00AF7CBE">
              <w:rPr>
                <w:rStyle w:val="Hyperlink"/>
                <w:noProof/>
                <w:lang w:val="en-ID"/>
              </w:rPr>
              <w:t>Outcome</w:t>
            </w:r>
            <w:r>
              <w:rPr>
                <w:noProof/>
                <w:webHidden/>
              </w:rPr>
              <w:tab/>
            </w:r>
            <w:r>
              <w:rPr>
                <w:noProof/>
                <w:webHidden/>
              </w:rPr>
              <w:fldChar w:fldCharType="begin"/>
            </w:r>
            <w:r>
              <w:rPr>
                <w:noProof/>
                <w:webHidden/>
              </w:rPr>
              <w:instrText xml:space="preserve"> PAGEREF _Toc528998429 \h </w:instrText>
            </w:r>
            <w:r>
              <w:rPr>
                <w:noProof/>
                <w:webHidden/>
              </w:rPr>
            </w:r>
            <w:r>
              <w:rPr>
                <w:noProof/>
                <w:webHidden/>
              </w:rPr>
              <w:fldChar w:fldCharType="separate"/>
            </w:r>
            <w:r>
              <w:rPr>
                <w:noProof/>
                <w:webHidden/>
              </w:rPr>
              <w:t>11</w:t>
            </w:r>
            <w:r>
              <w:rPr>
                <w:noProof/>
                <w:webHidden/>
              </w:rPr>
              <w:fldChar w:fldCharType="end"/>
            </w:r>
          </w:hyperlink>
        </w:p>
        <w:p w14:paraId="559BA868" w14:textId="6C81E0AF" w:rsidR="0011568C" w:rsidRDefault="0011568C">
          <w:pPr>
            <w:pStyle w:val="TOC3"/>
            <w:tabs>
              <w:tab w:val="right" w:leader="dot" w:pos="9016"/>
            </w:tabs>
            <w:rPr>
              <w:rFonts w:asciiTheme="minorHAnsi" w:eastAsiaTheme="minorEastAsia" w:hAnsiTheme="minorHAnsi" w:cstheme="minorBidi"/>
              <w:noProof/>
              <w:lang w:val="en-ID" w:eastAsia="en-ID"/>
            </w:rPr>
          </w:pPr>
          <w:hyperlink w:anchor="_Toc528998430" w:history="1">
            <w:r w:rsidRPr="00AF7CBE">
              <w:rPr>
                <w:rStyle w:val="Hyperlink"/>
                <w:noProof/>
                <w:lang w:val="en-US"/>
              </w:rPr>
              <w:t>Phase I (2016 – 2017)</w:t>
            </w:r>
            <w:r>
              <w:rPr>
                <w:noProof/>
                <w:webHidden/>
              </w:rPr>
              <w:tab/>
            </w:r>
            <w:r>
              <w:rPr>
                <w:noProof/>
                <w:webHidden/>
              </w:rPr>
              <w:fldChar w:fldCharType="begin"/>
            </w:r>
            <w:r>
              <w:rPr>
                <w:noProof/>
                <w:webHidden/>
              </w:rPr>
              <w:instrText xml:space="preserve"> PAGEREF _Toc528998430 \h </w:instrText>
            </w:r>
            <w:r>
              <w:rPr>
                <w:noProof/>
                <w:webHidden/>
              </w:rPr>
            </w:r>
            <w:r>
              <w:rPr>
                <w:noProof/>
                <w:webHidden/>
              </w:rPr>
              <w:fldChar w:fldCharType="separate"/>
            </w:r>
            <w:r>
              <w:rPr>
                <w:noProof/>
                <w:webHidden/>
              </w:rPr>
              <w:t>12</w:t>
            </w:r>
            <w:r>
              <w:rPr>
                <w:noProof/>
                <w:webHidden/>
              </w:rPr>
              <w:fldChar w:fldCharType="end"/>
            </w:r>
          </w:hyperlink>
        </w:p>
        <w:p w14:paraId="4F98851B" w14:textId="506CE8DB" w:rsidR="0011568C" w:rsidRDefault="0011568C">
          <w:pPr>
            <w:pStyle w:val="TOC3"/>
            <w:tabs>
              <w:tab w:val="right" w:leader="dot" w:pos="9016"/>
            </w:tabs>
            <w:rPr>
              <w:rFonts w:asciiTheme="minorHAnsi" w:eastAsiaTheme="minorEastAsia" w:hAnsiTheme="minorHAnsi" w:cstheme="minorBidi"/>
              <w:noProof/>
              <w:lang w:val="en-ID" w:eastAsia="en-ID"/>
            </w:rPr>
          </w:pPr>
          <w:hyperlink w:anchor="_Toc528998431" w:history="1">
            <w:r w:rsidRPr="00AF7CBE">
              <w:rPr>
                <w:rStyle w:val="Hyperlink"/>
                <w:noProof/>
                <w:lang w:val="en-US"/>
              </w:rPr>
              <w:t>Phase II (2017 – 2018)</w:t>
            </w:r>
            <w:r>
              <w:rPr>
                <w:noProof/>
                <w:webHidden/>
              </w:rPr>
              <w:tab/>
            </w:r>
            <w:r>
              <w:rPr>
                <w:noProof/>
                <w:webHidden/>
              </w:rPr>
              <w:fldChar w:fldCharType="begin"/>
            </w:r>
            <w:r>
              <w:rPr>
                <w:noProof/>
                <w:webHidden/>
              </w:rPr>
              <w:instrText xml:space="preserve"> PAGEREF _Toc528998431 \h </w:instrText>
            </w:r>
            <w:r>
              <w:rPr>
                <w:noProof/>
                <w:webHidden/>
              </w:rPr>
            </w:r>
            <w:r>
              <w:rPr>
                <w:noProof/>
                <w:webHidden/>
              </w:rPr>
              <w:fldChar w:fldCharType="separate"/>
            </w:r>
            <w:r>
              <w:rPr>
                <w:noProof/>
                <w:webHidden/>
              </w:rPr>
              <w:t>13</w:t>
            </w:r>
            <w:r>
              <w:rPr>
                <w:noProof/>
                <w:webHidden/>
              </w:rPr>
              <w:fldChar w:fldCharType="end"/>
            </w:r>
          </w:hyperlink>
        </w:p>
        <w:p w14:paraId="29374928" w14:textId="17AC9214" w:rsidR="0011568C" w:rsidRDefault="0011568C">
          <w:pPr>
            <w:pStyle w:val="TOC3"/>
            <w:tabs>
              <w:tab w:val="right" w:leader="dot" w:pos="9016"/>
            </w:tabs>
            <w:rPr>
              <w:rFonts w:asciiTheme="minorHAnsi" w:eastAsiaTheme="minorEastAsia" w:hAnsiTheme="minorHAnsi" w:cstheme="minorBidi"/>
              <w:noProof/>
              <w:lang w:val="en-ID" w:eastAsia="en-ID"/>
            </w:rPr>
          </w:pPr>
          <w:hyperlink w:anchor="_Toc528998432" w:history="1">
            <w:r w:rsidRPr="00AF7CBE">
              <w:rPr>
                <w:rStyle w:val="Hyperlink"/>
                <w:noProof/>
                <w:lang w:val="en-ID"/>
              </w:rPr>
              <w:t>Contracts</w:t>
            </w:r>
            <w:r>
              <w:rPr>
                <w:noProof/>
                <w:webHidden/>
              </w:rPr>
              <w:tab/>
            </w:r>
            <w:r>
              <w:rPr>
                <w:noProof/>
                <w:webHidden/>
              </w:rPr>
              <w:fldChar w:fldCharType="begin"/>
            </w:r>
            <w:r>
              <w:rPr>
                <w:noProof/>
                <w:webHidden/>
              </w:rPr>
              <w:instrText xml:space="preserve"> PAGEREF _Toc528998432 \h </w:instrText>
            </w:r>
            <w:r>
              <w:rPr>
                <w:noProof/>
                <w:webHidden/>
              </w:rPr>
            </w:r>
            <w:r>
              <w:rPr>
                <w:noProof/>
                <w:webHidden/>
              </w:rPr>
              <w:fldChar w:fldCharType="separate"/>
            </w:r>
            <w:r>
              <w:rPr>
                <w:noProof/>
                <w:webHidden/>
              </w:rPr>
              <w:t>14</w:t>
            </w:r>
            <w:r>
              <w:rPr>
                <w:noProof/>
                <w:webHidden/>
              </w:rPr>
              <w:fldChar w:fldCharType="end"/>
            </w:r>
          </w:hyperlink>
        </w:p>
        <w:p w14:paraId="48FE5008" w14:textId="2F3597BF" w:rsidR="0011568C" w:rsidRDefault="0011568C">
          <w:pPr>
            <w:pStyle w:val="TOC3"/>
            <w:tabs>
              <w:tab w:val="right" w:leader="dot" w:pos="9016"/>
            </w:tabs>
            <w:rPr>
              <w:rFonts w:asciiTheme="minorHAnsi" w:eastAsiaTheme="minorEastAsia" w:hAnsiTheme="minorHAnsi" w:cstheme="minorBidi"/>
              <w:noProof/>
              <w:lang w:val="en-ID" w:eastAsia="en-ID"/>
            </w:rPr>
          </w:pPr>
          <w:hyperlink w:anchor="_Toc528998433" w:history="1">
            <w:r w:rsidRPr="00AF7CBE">
              <w:rPr>
                <w:rStyle w:val="Hyperlink"/>
                <w:noProof/>
                <w:lang w:val="en-US"/>
              </w:rPr>
              <w:t>Recruitment</w:t>
            </w:r>
            <w:r>
              <w:rPr>
                <w:noProof/>
                <w:webHidden/>
              </w:rPr>
              <w:tab/>
            </w:r>
            <w:r>
              <w:rPr>
                <w:noProof/>
                <w:webHidden/>
              </w:rPr>
              <w:fldChar w:fldCharType="begin"/>
            </w:r>
            <w:r>
              <w:rPr>
                <w:noProof/>
                <w:webHidden/>
              </w:rPr>
              <w:instrText xml:space="preserve"> PAGEREF _Toc528998433 \h </w:instrText>
            </w:r>
            <w:r>
              <w:rPr>
                <w:noProof/>
                <w:webHidden/>
              </w:rPr>
            </w:r>
            <w:r>
              <w:rPr>
                <w:noProof/>
                <w:webHidden/>
              </w:rPr>
              <w:fldChar w:fldCharType="separate"/>
            </w:r>
            <w:r>
              <w:rPr>
                <w:noProof/>
                <w:webHidden/>
              </w:rPr>
              <w:t>15</w:t>
            </w:r>
            <w:r>
              <w:rPr>
                <w:noProof/>
                <w:webHidden/>
              </w:rPr>
              <w:fldChar w:fldCharType="end"/>
            </w:r>
          </w:hyperlink>
        </w:p>
        <w:p w14:paraId="5F512E34" w14:textId="37DCCC06" w:rsidR="0011568C" w:rsidRDefault="0011568C">
          <w:pPr>
            <w:pStyle w:val="TOC2"/>
            <w:tabs>
              <w:tab w:val="right" w:leader="dot" w:pos="9016"/>
            </w:tabs>
            <w:rPr>
              <w:rFonts w:asciiTheme="minorHAnsi" w:eastAsiaTheme="minorEastAsia" w:hAnsiTheme="minorHAnsi" w:cstheme="minorBidi"/>
              <w:noProof/>
              <w:lang w:val="en-ID" w:eastAsia="en-ID"/>
            </w:rPr>
          </w:pPr>
          <w:hyperlink w:anchor="_Toc528998434" w:history="1">
            <w:r w:rsidRPr="00AF7CBE">
              <w:rPr>
                <w:rStyle w:val="Hyperlink"/>
                <w:noProof/>
                <w:lang w:val="en-US"/>
              </w:rPr>
              <w:t>Findings and Conclusions</w:t>
            </w:r>
            <w:r>
              <w:rPr>
                <w:noProof/>
                <w:webHidden/>
              </w:rPr>
              <w:tab/>
            </w:r>
            <w:r>
              <w:rPr>
                <w:noProof/>
                <w:webHidden/>
              </w:rPr>
              <w:fldChar w:fldCharType="begin"/>
            </w:r>
            <w:r>
              <w:rPr>
                <w:noProof/>
                <w:webHidden/>
              </w:rPr>
              <w:instrText xml:space="preserve"> PAGEREF _Toc528998434 \h </w:instrText>
            </w:r>
            <w:r>
              <w:rPr>
                <w:noProof/>
                <w:webHidden/>
              </w:rPr>
            </w:r>
            <w:r>
              <w:rPr>
                <w:noProof/>
                <w:webHidden/>
              </w:rPr>
              <w:fldChar w:fldCharType="separate"/>
            </w:r>
            <w:r>
              <w:rPr>
                <w:noProof/>
                <w:webHidden/>
              </w:rPr>
              <w:t>15</w:t>
            </w:r>
            <w:r>
              <w:rPr>
                <w:noProof/>
                <w:webHidden/>
              </w:rPr>
              <w:fldChar w:fldCharType="end"/>
            </w:r>
          </w:hyperlink>
        </w:p>
        <w:p w14:paraId="48665EED" w14:textId="49E9D120" w:rsidR="0011568C" w:rsidRDefault="0011568C">
          <w:pPr>
            <w:pStyle w:val="TOC3"/>
            <w:tabs>
              <w:tab w:val="right" w:leader="dot" w:pos="9016"/>
            </w:tabs>
            <w:rPr>
              <w:rFonts w:asciiTheme="minorHAnsi" w:eastAsiaTheme="minorEastAsia" w:hAnsiTheme="minorHAnsi" w:cstheme="minorBidi"/>
              <w:noProof/>
              <w:lang w:val="en-ID" w:eastAsia="en-ID"/>
            </w:rPr>
          </w:pPr>
          <w:hyperlink w:anchor="_Toc528998435" w:history="1">
            <w:r w:rsidRPr="00AF7CBE">
              <w:rPr>
                <w:rStyle w:val="Hyperlink"/>
                <w:noProof/>
                <w:lang w:val="en-US"/>
              </w:rPr>
              <w:t>Relevance</w:t>
            </w:r>
            <w:r>
              <w:rPr>
                <w:noProof/>
                <w:webHidden/>
              </w:rPr>
              <w:tab/>
            </w:r>
            <w:r>
              <w:rPr>
                <w:noProof/>
                <w:webHidden/>
              </w:rPr>
              <w:fldChar w:fldCharType="begin"/>
            </w:r>
            <w:r>
              <w:rPr>
                <w:noProof/>
                <w:webHidden/>
              </w:rPr>
              <w:instrText xml:space="preserve"> PAGEREF _Toc528998435 \h </w:instrText>
            </w:r>
            <w:r>
              <w:rPr>
                <w:noProof/>
                <w:webHidden/>
              </w:rPr>
            </w:r>
            <w:r>
              <w:rPr>
                <w:noProof/>
                <w:webHidden/>
              </w:rPr>
              <w:fldChar w:fldCharType="separate"/>
            </w:r>
            <w:r>
              <w:rPr>
                <w:noProof/>
                <w:webHidden/>
              </w:rPr>
              <w:t>15</w:t>
            </w:r>
            <w:r>
              <w:rPr>
                <w:noProof/>
                <w:webHidden/>
              </w:rPr>
              <w:fldChar w:fldCharType="end"/>
            </w:r>
          </w:hyperlink>
        </w:p>
        <w:p w14:paraId="1A54825E" w14:textId="5F3E2D87" w:rsidR="0011568C" w:rsidRDefault="0011568C">
          <w:pPr>
            <w:pStyle w:val="TOC3"/>
            <w:tabs>
              <w:tab w:val="right" w:leader="dot" w:pos="9016"/>
            </w:tabs>
            <w:rPr>
              <w:rFonts w:asciiTheme="minorHAnsi" w:eastAsiaTheme="minorEastAsia" w:hAnsiTheme="minorHAnsi" w:cstheme="minorBidi"/>
              <w:noProof/>
              <w:lang w:val="en-ID" w:eastAsia="en-ID"/>
            </w:rPr>
          </w:pPr>
          <w:hyperlink w:anchor="_Toc528998436" w:history="1">
            <w:r w:rsidRPr="00AF7CBE">
              <w:rPr>
                <w:rStyle w:val="Hyperlink"/>
                <w:noProof/>
              </w:rPr>
              <w:t>Validity and logic of the theory of change</w:t>
            </w:r>
            <w:r>
              <w:rPr>
                <w:noProof/>
                <w:webHidden/>
              </w:rPr>
              <w:tab/>
            </w:r>
            <w:r>
              <w:rPr>
                <w:noProof/>
                <w:webHidden/>
              </w:rPr>
              <w:fldChar w:fldCharType="begin"/>
            </w:r>
            <w:r>
              <w:rPr>
                <w:noProof/>
                <w:webHidden/>
              </w:rPr>
              <w:instrText xml:space="preserve"> PAGEREF _Toc528998436 \h </w:instrText>
            </w:r>
            <w:r>
              <w:rPr>
                <w:noProof/>
                <w:webHidden/>
              </w:rPr>
            </w:r>
            <w:r>
              <w:rPr>
                <w:noProof/>
                <w:webHidden/>
              </w:rPr>
              <w:fldChar w:fldCharType="separate"/>
            </w:r>
            <w:r>
              <w:rPr>
                <w:noProof/>
                <w:webHidden/>
              </w:rPr>
              <w:t>15</w:t>
            </w:r>
            <w:r>
              <w:rPr>
                <w:noProof/>
                <w:webHidden/>
              </w:rPr>
              <w:fldChar w:fldCharType="end"/>
            </w:r>
          </w:hyperlink>
        </w:p>
        <w:p w14:paraId="371A0293" w14:textId="0FDB2F3C" w:rsidR="0011568C" w:rsidRDefault="0011568C">
          <w:pPr>
            <w:pStyle w:val="TOC3"/>
            <w:tabs>
              <w:tab w:val="right" w:leader="dot" w:pos="9016"/>
            </w:tabs>
            <w:rPr>
              <w:rFonts w:asciiTheme="minorHAnsi" w:eastAsiaTheme="minorEastAsia" w:hAnsiTheme="minorHAnsi" w:cstheme="minorBidi"/>
              <w:noProof/>
              <w:lang w:val="en-ID" w:eastAsia="en-ID"/>
            </w:rPr>
          </w:pPr>
          <w:hyperlink w:anchor="_Toc528998437" w:history="1">
            <w:r w:rsidRPr="00AF7CBE">
              <w:rPr>
                <w:rStyle w:val="Hyperlink"/>
                <w:noProof/>
              </w:rPr>
              <w:t>Effectiveness of implementation</w:t>
            </w:r>
            <w:r>
              <w:rPr>
                <w:noProof/>
                <w:webHidden/>
              </w:rPr>
              <w:tab/>
            </w:r>
            <w:r>
              <w:rPr>
                <w:noProof/>
                <w:webHidden/>
              </w:rPr>
              <w:fldChar w:fldCharType="begin"/>
            </w:r>
            <w:r>
              <w:rPr>
                <w:noProof/>
                <w:webHidden/>
              </w:rPr>
              <w:instrText xml:space="preserve"> PAGEREF _Toc528998437 \h </w:instrText>
            </w:r>
            <w:r>
              <w:rPr>
                <w:noProof/>
                <w:webHidden/>
              </w:rPr>
            </w:r>
            <w:r>
              <w:rPr>
                <w:noProof/>
                <w:webHidden/>
              </w:rPr>
              <w:fldChar w:fldCharType="separate"/>
            </w:r>
            <w:r>
              <w:rPr>
                <w:noProof/>
                <w:webHidden/>
              </w:rPr>
              <w:t>16</w:t>
            </w:r>
            <w:r>
              <w:rPr>
                <w:noProof/>
                <w:webHidden/>
              </w:rPr>
              <w:fldChar w:fldCharType="end"/>
            </w:r>
          </w:hyperlink>
        </w:p>
        <w:p w14:paraId="7BE1A49B" w14:textId="05434041" w:rsidR="0011568C" w:rsidRDefault="0011568C">
          <w:pPr>
            <w:pStyle w:val="TOC3"/>
            <w:tabs>
              <w:tab w:val="right" w:leader="dot" w:pos="9016"/>
            </w:tabs>
            <w:rPr>
              <w:rFonts w:asciiTheme="minorHAnsi" w:eastAsiaTheme="minorEastAsia" w:hAnsiTheme="minorHAnsi" w:cstheme="minorBidi"/>
              <w:noProof/>
              <w:lang w:val="en-ID" w:eastAsia="en-ID"/>
            </w:rPr>
          </w:pPr>
          <w:hyperlink w:anchor="_Toc528998438" w:history="1">
            <w:r w:rsidRPr="00AF7CBE">
              <w:rPr>
                <w:rStyle w:val="Hyperlink"/>
                <w:noProof/>
              </w:rPr>
              <w:t>Effectiveness of management arrangements</w:t>
            </w:r>
            <w:r>
              <w:rPr>
                <w:noProof/>
                <w:webHidden/>
              </w:rPr>
              <w:tab/>
            </w:r>
            <w:r>
              <w:rPr>
                <w:noProof/>
                <w:webHidden/>
              </w:rPr>
              <w:fldChar w:fldCharType="begin"/>
            </w:r>
            <w:r>
              <w:rPr>
                <w:noProof/>
                <w:webHidden/>
              </w:rPr>
              <w:instrText xml:space="preserve"> PAGEREF _Toc528998438 \h </w:instrText>
            </w:r>
            <w:r>
              <w:rPr>
                <w:noProof/>
                <w:webHidden/>
              </w:rPr>
            </w:r>
            <w:r>
              <w:rPr>
                <w:noProof/>
                <w:webHidden/>
              </w:rPr>
              <w:fldChar w:fldCharType="separate"/>
            </w:r>
            <w:r>
              <w:rPr>
                <w:noProof/>
                <w:webHidden/>
              </w:rPr>
              <w:t>17</w:t>
            </w:r>
            <w:r>
              <w:rPr>
                <w:noProof/>
                <w:webHidden/>
              </w:rPr>
              <w:fldChar w:fldCharType="end"/>
            </w:r>
          </w:hyperlink>
        </w:p>
        <w:p w14:paraId="1A74BB08" w14:textId="06C060F7" w:rsidR="0011568C" w:rsidRDefault="0011568C">
          <w:pPr>
            <w:pStyle w:val="TOC3"/>
            <w:tabs>
              <w:tab w:val="right" w:leader="dot" w:pos="9016"/>
            </w:tabs>
            <w:rPr>
              <w:rFonts w:asciiTheme="minorHAnsi" w:eastAsiaTheme="minorEastAsia" w:hAnsiTheme="minorHAnsi" w:cstheme="minorBidi"/>
              <w:noProof/>
              <w:lang w:val="en-ID" w:eastAsia="en-ID"/>
            </w:rPr>
          </w:pPr>
          <w:hyperlink w:anchor="_Toc528998439" w:history="1">
            <w:r w:rsidRPr="00AF7CBE">
              <w:rPr>
                <w:rStyle w:val="Hyperlink"/>
                <w:noProof/>
              </w:rPr>
              <w:t>Efficiency of resource use</w:t>
            </w:r>
            <w:r>
              <w:rPr>
                <w:noProof/>
                <w:webHidden/>
              </w:rPr>
              <w:tab/>
            </w:r>
            <w:r>
              <w:rPr>
                <w:noProof/>
                <w:webHidden/>
              </w:rPr>
              <w:fldChar w:fldCharType="begin"/>
            </w:r>
            <w:r>
              <w:rPr>
                <w:noProof/>
                <w:webHidden/>
              </w:rPr>
              <w:instrText xml:space="preserve"> PAGEREF _Toc528998439 \h </w:instrText>
            </w:r>
            <w:r>
              <w:rPr>
                <w:noProof/>
                <w:webHidden/>
              </w:rPr>
            </w:r>
            <w:r>
              <w:rPr>
                <w:noProof/>
                <w:webHidden/>
              </w:rPr>
              <w:fldChar w:fldCharType="separate"/>
            </w:r>
            <w:r>
              <w:rPr>
                <w:noProof/>
                <w:webHidden/>
              </w:rPr>
              <w:t>17</w:t>
            </w:r>
            <w:r>
              <w:rPr>
                <w:noProof/>
                <w:webHidden/>
              </w:rPr>
              <w:fldChar w:fldCharType="end"/>
            </w:r>
          </w:hyperlink>
        </w:p>
        <w:p w14:paraId="0B37EAF7" w14:textId="08CB0844" w:rsidR="0011568C" w:rsidRDefault="0011568C">
          <w:pPr>
            <w:pStyle w:val="TOC3"/>
            <w:tabs>
              <w:tab w:val="right" w:leader="dot" w:pos="9016"/>
            </w:tabs>
            <w:rPr>
              <w:rFonts w:asciiTheme="minorHAnsi" w:eastAsiaTheme="minorEastAsia" w:hAnsiTheme="minorHAnsi" w:cstheme="minorBidi"/>
              <w:noProof/>
              <w:lang w:val="en-ID" w:eastAsia="en-ID"/>
            </w:rPr>
          </w:pPr>
          <w:hyperlink w:anchor="_Toc528998440" w:history="1">
            <w:r w:rsidRPr="00AF7CBE">
              <w:rPr>
                <w:rStyle w:val="Hyperlink"/>
                <w:noProof/>
              </w:rPr>
              <w:t>Sustainability</w:t>
            </w:r>
            <w:r>
              <w:rPr>
                <w:noProof/>
                <w:webHidden/>
              </w:rPr>
              <w:tab/>
            </w:r>
            <w:r>
              <w:rPr>
                <w:noProof/>
                <w:webHidden/>
              </w:rPr>
              <w:fldChar w:fldCharType="begin"/>
            </w:r>
            <w:r>
              <w:rPr>
                <w:noProof/>
                <w:webHidden/>
              </w:rPr>
              <w:instrText xml:space="preserve"> PAGEREF _Toc528998440 \h </w:instrText>
            </w:r>
            <w:r>
              <w:rPr>
                <w:noProof/>
                <w:webHidden/>
              </w:rPr>
            </w:r>
            <w:r>
              <w:rPr>
                <w:noProof/>
                <w:webHidden/>
              </w:rPr>
              <w:fldChar w:fldCharType="separate"/>
            </w:r>
            <w:r>
              <w:rPr>
                <w:noProof/>
                <w:webHidden/>
              </w:rPr>
              <w:t>18</w:t>
            </w:r>
            <w:r>
              <w:rPr>
                <w:noProof/>
                <w:webHidden/>
              </w:rPr>
              <w:fldChar w:fldCharType="end"/>
            </w:r>
          </w:hyperlink>
        </w:p>
        <w:p w14:paraId="7B3DBD06" w14:textId="6D5E396A" w:rsidR="0011568C" w:rsidRDefault="0011568C">
          <w:pPr>
            <w:pStyle w:val="TOC2"/>
            <w:tabs>
              <w:tab w:val="right" w:leader="dot" w:pos="9016"/>
            </w:tabs>
            <w:rPr>
              <w:rFonts w:asciiTheme="minorHAnsi" w:eastAsiaTheme="minorEastAsia" w:hAnsiTheme="minorHAnsi" w:cstheme="minorBidi"/>
              <w:noProof/>
              <w:lang w:val="en-ID" w:eastAsia="en-ID"/>
            </w:rPr>
          </w:pPr>
          <w:hyperlink w:anchor="_Toc528998441" w:history="1">
            <w:r w:rsidRPr="00AF7CBE">
              <w:rPr>
                <w:rStyle w:val="Hyperlink"/>
                <w:noProof/>
                <w:lang w:val="en-US"/>
              </w:rPr>
              <w:t>General Recommendations</w:t>
            </w:r>
            <w:r>
              <w:rPr>
                <w:noProof/>
                <w:webHidden/>
              </w:rPr>
              <w:tab/>
            </w:r>
            <w:r>
              <w:rPr>
                <w:noProof/>
                <w:webHidden/>
              </w:rPr>
              <w:fldChar w:fldCharType="begin"/>
            </w:r>
            <w:r>
              <w:rPr>
                <w:noProof/>
                <w:webHidden/>
              </w:rPr>
              <w:instrText xml:space="preserve"> PAGEREF _Toc528998441 \h </w:instrText>
            </w:r>
            <w:r>
              <w:rPr>
                <w:noProof/>
                <w:webHidden/>
              </w:rPr>
            </w:r>
            <w:r>
              <w:rPr>
                <w:noProof/>
                <w:webHidden/>
              </w:rPr>
              <w:fldChar w:fldCharType="separate"/>
            </w:r>
            <w:r>
              <w:rPr>
                <w:noProof/>
                <w:webHidden/>
              </w:rPr>
              <w:t>18</w:t>
            </w:r>
            <w:r>
              <w:rPr>
                <w:noProof/>
                <w:webHidden/>
              </w:rPr>
              <w:fldChar w:fldCharType="end"/>
            </w:r>
          </w:hyperlink>
        </w:p>
        <w:p w14:paraId="0A899155" w14:textId="6EC79837" w:rsidR="0011568C" w:rsidRDefault="0011568C">
          <w:pPr>
            <w:pStyle w:val="TOC2"/>
            <w:tabs>
              <w:tab w:val="right" w:leader="dot" w:pos="9016"/>
            </w:tabs>
            <w:rPr>
              <w:rFonts w:asciiTheme="minorHAnsi" w:eastAsiaTheme="minorEastAsia" w:hAnsiTheme="minorHAnsi" w:cstheme="minorBidi"/>
              <w:noProof/>
              <w:lang w:val="en-ID" w:eastAsia="en-ID"/>
            </w:rPr>
          </w:pPr>
          <w:hyperlink w:anchor="_Toc528998442" w:history="1">
            <w:r w:rsidRPr="00AF7CBE">
              <w:rPr>
                <w:rStyle w:val="Hyperlink"/>
                <w:noProof/>
                <w:lang w:val="en-US"/>
              </w:rPr>
              <w:t>Specific Recommendations for Replication within Existing Government Institutions and Programmes</w:t>
            </w:r>
            <w:r>
              <w:rPr>
                <w:noProof/>
                <w:webHidden/>
              </w:rPr>
              <w:tab/>
            </w:r>
            <w:r>
              <w:rPr>
                <w:noProof/>
                <w:webHidden/>
              </w:rPr>
              <w:fldChar w:fldCharType="begin"/>
            </w:r>
            <w:r>
              <w:rPr>
                <w:noProof/>
                <w:webHidden/>
              </w:rPr>
              <w:instrText xml:space="preserve"> PAGEREF _Toc528998442 \h </w:instrText>
            </w:r>
            <w:r>
              <w:rPr>
                <w:noProof/>
                <w:webHidden/>
              </w:rPr>
            </w:r>
            <w:r>
              <w:rPr>
                <w:noProof/>
                <w:webHidden/>
              </w:rPr>
              <w:fldChar w:fldCharType="separate"/>
            </w:r>
            <w:r>
              <w:rPr>
                <w:noProof/>
                <w:webHidden/>
              </w:rPr>
              <w:t>19</w:t>
            </w:r>
            <w:r>
              <w:rPr>
                <w:noProof/>
                <w:webHidden/>
              </w:rPr>
              <w:fldChar w:fldCharType="end"/>
            </w:r>
          </w:hyperlink>
        </w:p>
        <w:p w14:paraId="5A9930FC" w14:textId="296F037D" w:rsidR="0011568C" w:rsidRDefault="0011568C">
          <w:pPr>
            <w:pStyle w:val="TOC2"/>
            <w:tabs>
              <w:tab w:val="right" w:leader="dot" w:pos="9016"/>
            </w:tabs>
            <w:rPr>
              <w:rFonts w:asciiTheme="minorHAnsi" w:eastAsiaTheme="minorEastAsia" w:hAnsiTheme="minorHAnsi" w:cstheme="minorBidi"/>
              <w:noProof/>
              <w:lang w:val="en-ID" w:eastAsia="en-ID"/>
            </w:rPr>
          </w:pPr>
          <w:hyperlink w:anchor="_Toc528998443" w:history="1">
            <w:r w:rsidRPr="00AF7CBE">
              <w:rPr>
                <w:rStyle w:val="Hyperlink"/>
                <w:noProof/>
                <w:lang w:val="en-US"/>
              </w:rPr>
              <w:t>Lessons Learned</w:t>
            </w:r>
            <w:r>
              <w:rPr>
                <w:noProof/>
                <w:webHidden/>
              </w:rPr>
              <w:tab/>
            </w:r>
            <w:r>
              <w:rPr>
                <w:noProof/>
                <w:webHidden/>
              </w:rPr>
              <w:fldChar w:fldCharType="begin"/>
            </w:r>
            <w:r>
              <w:rPr>
                <w:noProof/>
                <w:webHidden/>
              </w:rPr>
              <w:instrText xml:space="preserve"> PAGEREF _Toc528998443 \h </w:instrText>
            </w:r>
            <w:r>
              <w:rPr>
                <w:noProof/>
                <w:webHidden/>
              </w:rPr>
            </w:r>
            <w:r>
              <w:rPr>
                <w:noProof/>
                <w:webHidden/>
              </w:rPr>
              <w:fldChar w:fldCharType="separate"/>
            </w:r>
            <w:r>
              <w:rPr>
                <w:noProof/>
                <w:webHidden/>
              </w:rPr>
              <w:t>19</w:t>
            </w:r>
            <w:r>
              <w:rPr>
                <w:noProof/>
                <w:webHidden/>
              </w:rPr>
              <w:fldChar w:fldCharType="end"/>
            </w:r>
          </w:hyperlink>
        </w:p>
        <w:p w14:paraId="41F91BD9" w14:textId="204D3FCA" w:rsidR="0011568C" w:rsidRDefault="0011568C">
          <w:pPr>
            <w:pStyle w:val="TOC2"/>
            <w:tabs>
              <w:tab w:val="right" w:leader="dot" w:pos="9016"/>
            </w:tabs>
            <w:rPr>
              <w:rFonts w:asciiTheme="minorHAnsi" w:eastAsiaTheme="minorEastAsia" w:hAnsiTheme="minorHAnsi" w:cstheme="minorBidi"/>
              <w:noProof/>
              <w:lang w:val="en-ID" w:eastAsia="en-ID"/>
            </w:rPr>
          </w:pPr>
          <w:hyperlink w:anchor="_Toc528998444" w:history="1">
            <w:r w:rsidRPr="00AF7CBE">
              <w:rPr>
                <w:rStyle w:val="Hyperlink"/>
                <w:noProof/>
                <w:lang w:val="en-US"/>
              </w:rPr>
              <w:t>Annexes</w:t>
            </w:r>
            <w:r>
              <w:rPr>
                <w:noProof/>
                <w:webHidden/>
              </w:rPr>
              <w:tab/>
            </w:r>
            <w:r>
              <w:rPr>
                <w:noProof/>
                <w:webHidden/>
              </w:rPr>
              <w:fldChar w:fldCharType="begin"/>
            </w:r>
            <w:r>
              <w:rPr>
                <w:noProof/>
                <w:webHidden/>
              </w:rPr>
              <w:instrText xml:space="preserve"> PAGEREF _Toc528998444 \h </w:instrText>
            </w:r>
            <w:r>
              <w:rPr>
                <w:noProof/>
                <w:webHidden/>
              </w:rPr>
            </w:r>
            <w:r>
              <w:rPr>
                <w:noProof/>
                <w:webHidden/>
              </w:rPr>
              <w:fldChar w:fldCharType="separate"/>
            </w:r>
            <w:r>
              <w:rPr>
                <w:noProof/>
                <w:webHidden/>
              </w:rPr>
              <w:t>22</w:t>
            </w:r>
            <w:r>
              <w:rPr>
                <w:noProof/>
                <w:webHidden/>
              </w:rPr>
              <w:fldChar w:fldCharType="end"/>
            </w:r>
          </w:hyperlink>
        </w:p>
        <w:p w14:paraId="0CAE27AE" w14:textId="3D77B480" w:rsidR="0011568C" w:rsidRDefault="0011568C">
          <w:pPr>
            <w:pStyle w:val="TOC3"/>
            <w:tabs>
              <w:tab w:val="right" w:leader="dot" w:pos="9016"/>
            </w:tabs>
            <w:rPr>
              <w:rFonts w:asciiTheme="minorHAnsi" w:eastAsiaTheme="minorEastAsia" w:hAnsiTheme="minorHAnsi" w:cstheme="minorBidi"/>
              <w:noProof/>
              <w:lang w:val="en-ID" w:eastAsia="en-ID"/>
            </w:rPr>
          </w:pPr>
          <w:hyperlink w:anchor="_Toc528998445" w:history="1">
            <w:r w:rsidRPr="00AF7CBE">
              <w:rPr>
                <w:rStyle w:val="Hyperlink"/>
                <w:noProof/>
                <w:lang w:val="en-US"/>
              </w:rPr>
              <w:t>Annex 1 Project Results Framework</w:t>
            </w:r>
            <w:r>
              <w:rPr>
                <w:noProof/>
                <w:webHidden/>
              </w:rPr>
              <w:tab/>
            </w:r>
            <w:r>
              <w:rPr>
                <w:noProof/>
                <w:webHidden/>
              </w:rPr>
              <w:fldChar w:fldCharType="begin"/>
            </w:r>
            <w:r>
              <w:rPr>
                <w:noProof/>
                <w:webHidden/>
              </w:rPr>
              <w:instrText xml:space="preserve"> PAGEREF _Toc528998445 \h </w:instrText>
            </w:r>
            <w:r>
              <w:rPr>
                <w:noProof/>
                <w:webHidden/>
              </w:rPr>
            </w:r>
            <w:r>
              <w:rPr>
                <w:noProof/>
                <w:webHidden/>
              </w:rPr>
              <w:fldChar w:fldCharType="separate"/>
            </w:r>
            <w:r>
              <w:rPr>
                <w:noProof/>
                <w:webHidden/>
              </w:rPr>
              <w:t>23</w:t>
            </w:r>
            <w:r>
              <w:rPr>
                <w:noProof/>
                <w:webHidden/>
              </w:rPr>
              <w:fldChar w:fldCharType="end"/>
            </w:r>
          </w:hyperlink>
        </w:p>
        <w:p w14:paraId="1034FB81" w14:textId="6E8E919F" w:rsidR="0011568C" w:rsidRDefault="0011568C">
          <w:pPr>
            <w:pStyle w:val="TOC3"/>
            <w:tabs>
              <w:tab w:val="right" w:leader="dot" w:pos="9016"/>
            </w:tabs>
            <w:rPr>
              <w:rFonts w:asciiTheme="minorHAnsi" w:eastAsiaTheme="minorEastAsia" w:hAnsiTheme="minorHAnsi" w:cstheme="minorBidi"/>
              <w:noProof/>
              <w:lang w:val="en-ID" w:eastAsia="en-ID"/>
            </w:rPr>
          </w:pPr>
          <w:hyperlink w:anchor="_Toc528998446" w:history="1">
            <w:r w:rsidRPr="00AF7CBE">
              <w:rPr>
                <w:rStyle w:val="Hyperlink"/>
                <w:noProof/>
                <w:lang w:val="en-US"/>
              </w:rPr>
              <w:t>Annex II Evaluation Matrix</w:t>
            </w:r>
            <w:r>
              <w:rPr>
                <w:noProof/>
                <w:webHidden/>
              </w:rPr>
              <w:tab/>
            </w:r>
            <w:r>
              <w:rPr>
                <w:noProof/>
                <w:webHidden/>
              </w:rPr>
              <w:fldChar w:fldCharType="begin"/>
            </w:r>
            <w:r>
              <w:rPr>
                <w:noProof/>
                <w:webHidden/>
              </w:rPr>
              <w:instrText xml:space="preserve"> PAGEREF _Toc528998446 \h </w:instrText>
            </w:r>
            <w:r>
              <w:rPr>
                <w:noProof/>
                <w:webHidden/>
              </w:rPr>
            </w:r>
            <w:r>
              <w:rPr>
                <w:noProof/>
                <w:webHidden/>
              </w:rPr>
              <w:fldChar w:fldCharType="separate"/>
            </w:r>
            <w:r>
              <w:rPr>
                <w:noProof/>
                <w:webHidden/>
              </w:rPr>
              <w:t>24</w:t>
            </w:r>
            <w:r>
              <w:rPr>
                <w:noProof/>
                <w:webHidden/>
              </w:rPr>
              <w:fldChar w:fldCharType="end"/>
            </w:r>
          </w:hyperlink>
        </w:p>
        <w:p w14:paraId="5BA14DAB" w14:textId="65881FE3" w:rsidR="0011568C" w:rsidRDefault="0011568C">
          <w:pPr>
            <w:pStyle w:val="TOC3"/>
            <w:tabs>
              <w:tab w:val="right" w:leader="dot" w:pos="9016"/>
            </w:tabs>
            <w:rPr>
              <w:rFonts w:asciiTheme="minorHAnsi" w:eastAsiaTheme="minorEastAsia" w:hAnsiTheme="minorHAnsi" w:cstheme="minorBidi"/>
              <w:noProof/>
              <w:lang w:val="en-ID" w:eastAsia="en-ID"/>
            </w:rPr>
          </w:pPr>
          <w:hyperlink w:anchor="_Toc528998447" w:history="1">
            <w:r w:rsidRPr="00AF7CBE">
              <w:rPr>
                <w:rStyle w:val="Hyperlink"/>
                <w:noProof/>
                <w:lang w:val="en-ID"/>
              </w:rPr>
              <w:t xml:space="preserve">Annex III </w:t>
            </w:r>
            <w:r w:rsidRPr="00AF7CBE">
              <w:rPr>
                <w:rStyle w:val="Hyperlink"/>
                <w:noProof/>
              </w:rPr>
              <w:t>List of Respondents, Contact Details and Topics  Discussed</w:t>
            </w:r>
            <w:r>
              <w:rPr>
                <w:noProof/>
                <w:webHidden/>
              </w:rPr>
              <w:tab/>
            </w:r>
            <w:r>
              <w:rPr>
                <w:noProof/>
                <w:webHidden/>
              </w:rPr>
              <w:fldChar w:fldCharType="begin"/>
            </w:r>
            <w:r>
              <w:rPr>
                <w:noProof/>
                <w:webHidden/>
              </w:rPr>
              <w:instrText xml:space="preserve"> PAGEREF _Toc528998447 \h </w:instrText>
            </w:r>
            <w:r>
              <w:rPr>
                <w:noProof/>
                <w:webHidden/>
              </w:rPr>
            </w:r>
            <w:r>
              <w:rPr>
                <w:noProof/>
                <w:webHidden/>
              </w:rPr>
              <w:fldChar w:fldCharType="separate"/>
            </w:r>
            <w:r>
              <w:rPr>
                <w:noProof/>
                <w:webHidden/>
              </w:rPr>
              <w:t>27</w:t>
            </w:r>
            <w:r>
              <w:rPr>
                <w:noProof/>
                <w:webHidden/>
              </w:rPr>
              <w:fldChar w:fldCharType="end"/>
            </w:r>
          </w:hyperlink>
        </w:p>
        <w:p w14:paraId="562D6FBD" w14:textId="2CCC9557" w:rsidR="0011568C" w:rsidRDefault="0011568C">
          <w:pPr>
            <w:pStyle w:val="TOC3"/>
            <w:tabs>
              <w:tab w:val="right" w:leader="dot" w:pos="9016"/>
            </w:tabs>
            <w:rPr>
              <w:rFonts w:asciiTheme="minorHAnsi" w:eastAsiaTheme="minorEastAsia" w:hAnsiTheme="minorHAnsi" w:cstheme="minorBidi"/>
              <w:noProof/>
              <w:lang w:val="en-ID" w:eastAsia="en-ID"/>
            </w:rPr>
          </w:pPr>
          <w:hyperlink w:anchor="_Toc528998448" w:history="1">
            <w:r w:rsidRPr="00AF7CBE">
              <w:rPr>
                <w:rStyle w:val="Hyperlink"/>
                <w:noProof/>
                <w:lang w:val="en-ID"/>
              </w:rPr>
              <w:t>Annex IV Bibliography</w:t>
            </w:r>
            <w:r>
              <w:rPr>
                <w:noProof/>
                <w:webHidden/>
              </w:rPr>
              <w:tab/>
            </w:r>
            <w:r>
              <w:rPr>
                <w:noProof/>
                <w:webHidden/>
              </w:rPr>
              <w:fldChar w:fldCharType="begin"/>
            </w:r>
            <w:r>
              <w:rPr>
                <w:noProof/>
                <w:webHidden/>
              </w:rPr>
              <w:instrText xml:space="preserve"> PAGEREF _Toc528998448 \h </w:instrText>
            </w:r>
            <w:r>
              <w:rPr>
                <w:noProof/>
                <w:webHidden/>
              </w:rPr>
            </w:r>
            <w:r>
              <w:rPr>
                <w:noProof/>
                <w:webHidden/>
              </w:rPr>
              <w:fldChar w:fldCharType="separate"/>
            </w:r>
            <w:r>
              <w:rPr>
                <w:noProof/>
                <w:webHidden/>
              </w:rPr>
              <w:t>33</w:t>
            </w:r>
            <w:r>
              <w:rPr>
                <w:noProof/>
                <w:webHidden/>
              </w:rPr>
              <w:fldChar w:fldCharType="end"/>
            </w:r>
          </w:hyperlink>
        </w:p>
        <w:p w14:paraId="43EC0194" w14:textId="0091F0BE" w:rsidR="00842AD9" w:rsidRDefault="00842AD9">
          <w:r>
            <w:rPr>
              <w:b/>
              <w:bCs/>
              <w:noProof/>
            </w:rPr>
            <w:fldChar w:fldCharType="end"/>
          </w:r>
        </w:p>
      </w:sdtContent>
    </w:sdt>
    <w:p w14:paraId="3017F842" w14:textId="77777777" w:rsidR="00291938" w:rsidRDefault="00291938">
      <w:pPr>
        <w:spacing w:after="160" w:line="259" w:lineRule="auto"/>
        <w:rPr>
          <w:rFonts w:cs="Calibri,Bold"/>
          <w:bCs/>
          <w:color w:val="000000" w:themeColor="text1"/>
          <w:lang w:val="en-US"/>
        </w:rPr>
      </w:pPr>
      <w:r>
        <w:rPr>
          <w:rFonts w:cs="Calibri,Bold"/>
          <w:bCs/>
          <w:color w:val="000000" w:themeColor="text1"/>
          <w:lang w:val="en-US"/>
        </w:rPr>
        <w:br w:type="page"/>
      </w:r>
    </w:p>
    <w:p w14:paraId="229BD1FF" w14:textId="77777777" w:rsidR="00291938" w:rsidRPr="0061157C" w:rsidRDefault="00291938" w:rsidP="00197DDF">
      <w:pPr>
        <w:autoSpaceDE w:val="0"/>
        <w:autoSpaceDN w:val="0"/>
        <w:adjustRightInd w:val="0"/>
        <w:spacing w:after="0" w:line="23" w:lineRule="atLeast"/>
        <w:rPr>
          <w:rFonts w:cs="Calibri,Bold"/>
          <w:bCs/>
          <w:color w:val="000000" w:themeColor="text1"/>
          <w:lang w:val="en-US"/>
        </w:rPr>
      </w:pPr>
    </w:p>
    <w:p w14:paraId="4ED3EB31" w14:textId="77777777" w:rsidR="00197DDF" w:rsidRDefault="00197DDF" w:rsidP="00291938">
      <w:pPr>
        <w:pStyle w:val="Heading2"/>
        <w:rPr>
          <w:lang w:val="en-US"/>
        </w:rPr>
      </w:pPr>
      <w:bookmarkStart w:id="1" w:name="_Toc528998422"/>
      <w:r w:rsidRPr="0061157C">
        <w:rPr>
          <w:lang w:val="en-US"/>
        </w:rPr>
        <w:t xml:space="preserve">List of </w:t>
      </w:r>
      <w:r w:rsidR="00291938">
        <w:rPr>
          <w:lang w:val="en-US"/>
        </w:rPr>
        <w:t>A</w:t>
      </w:r>
      <w:r w:rsidRPr="0061157C">
        <w:rPr>
          <w:lang w:val="en-US"/>
        </w:rPr>
        <w:t xml:space="preserve">cronyms and </w:t>
      </w:r>
      <w:r w:rsidR="00291938">
        <w:rPr>
          <w:lang w:val="en-US"/>
        </w:rPr>
        <w:t>A</w:t>
      </w:r>
      <w:r w:rsidRPr="0061157C">
        <w:rPr>
          <w:lang w:val="en-US"/>
        </w:rPr>
        <w:t>bbreviations</w:t>
      </w:r>
      <w:bookmarkEnd w:id="1"/>
    </w:p>
    <w:p w14:paraId="32F2A28C" w14:textId="77777777" w:rsidR="00291938" w:rsidRDefault="00291938" w:rsidP="00291938">
      <w:pPr>
        <w:spacing w:after="160" w:line="259" w:lineRule="auto"/>
        <w:rPr>
          <w:rFonts w:cs="Calibri,Bold"/>
          <w:bCs/>
          <w:color w:val="000000" w:themeColor="text1"/>
          <w:lang w:val="en-US"/>
        </w:rPr>
      </w:pPr>
    </w:p>
    <w:tbl>
      <w:tblPr>
        <w:tblStyle w:val="TableGrid"/>
        <w:tblW w:w="0" w:type="auto"/>
        <w:tblLook w:val="04A0" w:firstRow="1" w:lastRow="0" w:firstColumn="1" w:lastColumn="0" w:noHBand="0" w:noVBand="1"/>
      </w:tblPr>
      <w:tblGrid>
        <w:gridCol w:w="2263"/>
        <w:gridCol w:w="6753"/>
      </w:tblGrid>
      <w:tr w:rsidR="00A37936" w14:paraId="51550F44" w14:textId="77777777" w:rsidTr="00291938">
        <w:trPr>
          <w:trHeight w:val="533"/>
        </w:trPr>
        <w:tc>
          <w:tcPr>
            <w:tcW w:w="2263" w:type="dxa"/>
          </w:tcPr>
          <w:p w14:paraId="2152B658" w14:textId="77777777" w:rsidR="00A37936" w:rsidRDefault="00A37936" w:rsidP="00291938">
            <w:pPr>
              <w:spacing w:after="160" w:line="259" w:lineRule="auto"/>
              <w:rPr>
                <w:rFonts w:cs="Calibri,Bold"/>
                <w:bCs/>
                <w:color w:val="000000" w:themeColor="text1"/>
                <w:lang w:val="en-US"/>
              </w:rPr>
            </w:pPr>
            <w:r>
              <w:rPr>
                <w:rFonts w:cs="Calibri,Bold"/>
                <w:bCs/>
                <w:color w:val="000000" w:themeColor="text1"/>
                <w:lang w:val="en-US"/>
              </w:rPr>
              <w:t xml:space="preserve">ATLAS </w:t>
            </w:r>
          </w:p>
        </w:tc>
        <w:tc>
          <w:tcPr>
            <w:tcW w:w="6753" w:type="dxa"/>
          </w:tcPr>
          <w:p w14:paraId="7D2A0D81" w14:textId="77777777" w:rsidR="00A37936" w:rsidRDefault="00A37936" w:rsidP="00291938">
            <w:pPr>
              <w:spacing w:after="160" w:line="259" w:lineRule="auto"/>
              <w:rPr>
                <w:rFonts w:cs="Calibri,Bold"/>
                <w:bCs/>
                <w:color w:val="000000" w:themeColor="text1"/>
                <w:lang w:val="en-US"/>
              </w:rPr>
            </w:pPr>
            <w:r w:rsidRPr="00284D4C">
              <w:rPr>
                <w:rFonts w:cs="Arial"/>
                <w:bCs/>
                <w:lang w:eastAsia="id-ID"/>
              </w:rPr>
              <w:t>UNDP’s Enterprise Resource P</w:t>
            </w:r>
            <w:r w:rsidRPr="006E7DAB">
              <w:rPr>
                <w:rFonts w:cs="Arial"/>
                <w:bCs/>
                <w:lang w:eastAsia="id-ID"/>
              </w:rPr>
              <w:t>lanning System</w:t>
            </w:r>
          </w:p>
        </w:tc>
      </w:tr>
      <w:tr w:rsidR="00135101" w14:paraId="34E0FA31" w14:textId="77777777" w:rsidTr="00291938">
        <w:trPr>
          <w:trHeight w:val="533"/>
        </w:trPr>
        <w:tc>
          <w:tcPr>
            <w:tcW w:w="2263" w:type="dxa"/>
          </w:tcPr>
          <w:p w14:paraId="35A78D95" w14:textId="42BD87AF" w:rsidR="00135101" w:rsidRDefault="00135101" w:rsidP="00291938">
            <w:pPr>
              <w:spacing w:after="160" w:line="259" w:lineRule="auto"/>
              <w:rPr>
                <w:rFonts w:cs="Calibri,Bold"/>
                <w:bCs/>
                <w:color w:val="000000" w:themeColor="text1"/>
                <w:lang w:val="en-US"/>
              </w:rPr>
            </w:pPr>
            <w:r>
              <w:rPr>
                <w:rFonts w:cs="Calibri,Bold"/>
                <w:bCs/>
                <w:color w:val="000000" w:themeColor="text1"/>
                <w:lang w:val="en-US"/>
              </w:rPr>
              <w:t>APBD</w:t>
            </w:r>
          </w:p>
        </w:tc>
        <w:tc>
          <w:tcPr>
            <w:tcW w:w="6753" w:type="dxa"/>
          </w:tcPr>
          <w:p w14:paraId="77EF5D73" w14:textId="0665F0FC" w:rsidR="00135101" w:rsidRDefault="00135101" w:rsidP="00291938">
            <w:pPr>
              <w:spacing w:after="160" w:line="259" w:lineRule="auto"/>
              <w:rPr>
                <w:rFonts w:cs="Calibri,Bold"/>
                <w:bCs/>
                <w:color w:val="000000" w:themeColor="text1"/>
                <w:lang w:val="en-US"/>
              </w:rPr>
            </w:pPr>
            <w:r>
              <w:rPr>
                <w:rFonts w:cs="Calibri,Bold"/>
                <w:bCs/>
                <w:color w:val="000000" w:themeColor="text1"/>
                <w:lang w:val="en-US"/>
              </w:rPr>
              <w:t>GOI Regional Budget</w:t>
            </w:r>
          </w:p>
        </w:tc>
      </w:tr>
      <w:tr w:rsidR="009466C0" w14:paraId="66E23711" w14:textId="77777777" w:rsidTr="00291938">
        <w:trPr>
          <w:trHeight w:val="533"/>
        </w:trPr>
        <w:tc>
          <w:tcPr>
            <w:tcW w:w="2263" w:type="dxa"/>
          </w:tcPr>
          <w:p w14:paraId="473771DA" w14:textId="77777777" w:rsidR="009466C0" w:rsidRPr="00291938" w:rsidRDefault="009466C0" w:rsidP="00291938">
            <w:pPr>
              <w:spacing w:after="160" w:line="259" w:lineRule="auto"/>
              <w:rPr>
                <w:rFonts w:cs="Calibri,Bold"/>
                <w:bCs/>
                <w:color w:val="000000" w:themeColor="text1"/>
                <w:lang w:val="en-US"/>
              </w:rPr>
            </w:pPr>
            <w:r>
              <w:rPr>
                <w:rFonts w:cs="Calibri,Bold"/>
                <w:bCs/>
                <w:color w:val="000000" w:themeColor="text1"/>
                <w:lang w:val="en-US"/>
              </w:rPr>
              <w:t>APBN</w:t>
            </w:r>
          </w:p>
        </w:tc>
        <w:tc>
          <w:tcPr>
            <w:tcW w:w="6753" w:type="dxa"/>
          </w:tcPr>
          <w:p w14:paraId="3517A358" w14:textId="77777777" w:rsidR="009466C0" w:rsidRPr="00291938" w:rsidRDefault="00DA1876" w:rsidP="00291938">
            <w:pPr>
              <w:spacing w:after="160" w:line="259" w:lineRule="auto"/>
              <w:rPr>
                <w:rFonts w:cs="Calibri,Bold"/>
                <w:bCs/>
                <w:color w:val="000000" w:themeColor="text1"/>
                <w:lang w:val="en-US"/>
              </w:rPr>
            </w:pPr>
            <w:r>
              <w:rPr>
                <w:rFonts w:cs="Calibri,Bold"/>
                <w:bCs/>
                <w:color w:val="000000" w:themeColor="text1"/>
                <w:lang w:val="en-US"/>
              </w:rPr>
              <w:t>GOI National Budget</w:t>
            </w:r>
          </w:p>
        </w:tc>
      </w:tr>
      <w:tr w:rsidR="004D1589" w14:paraId="4C81944E" w14:textId="77777777" w:rsidTr="00291938">
        <w:trPr>
          <w:trHeight w:val="533"/>
        </w:trPr>
        <w:tc>
          <w:tcPr>
            <w:tcW w:w="2263" w:type="dxa"/>
          </w:tcPr>
          <w:p w14:paraId="7931995A" w14:textId="6244FD05" w:rsidR="004D1589" w:rsidRPr="00291938" w:rsidRDefault="004D1589" w:rsidP="00291938">
            <w:pPr>
              <w:spacing w:after="160" w:line="259" w:lineRule="auto"/>
              <w:rPr>
                <w:rFonts w:cs="Calibri,Bold"/>
                <w:bCs/>
                <w:color w:val="000000" w:themeColor="text1"/>
                <w:lang w:val="en-US"/>
              </w:rPr>
            </w:pPr>
            <w:r>
              <w:rPr>
                <w:rFonts w:cs="Calibri,Bold"/>
                <w:bCs/>
                <w:color w:val="000000" w:themeColor="text1"/>
                <w:lang w:val="en-US"/>
              </w:rPr>
              <w:t xml:space="preserve">BAST </w:t>
            </w:r>
          </w:p>
        </w:tc>
        <w:tc>
          <w:tcPr>
            <w:tcW w:w="6753" w:type="dxa"/>
          </w:tcPr>
          <w:p w14:paraId="7ED50083" w14:textId="58385656" w:rsidR="004D1589" w:rsidRPr="00291938" w:rsidRDefault="004D1589" w:rsidP="00016206">
            <w:pPr>
              <w:spacing w:after="160" w:line="259" w:lineRule="auto"/>
              <w:rPr>
                <w:rFonts w:cs="Calibri,Bold"/>
                <w:bCs/>
                <w:color w:val="000000" w:themeColor="text1"/>
                <w:lang w:val="en-US"/>
              </w:rPr>
            </w:pPr>
            <w:r>
              <w:rPr>
                <w:rFonts w:cs="Calibri,Bold"/>
                <w:bCs/>
                <w:color w:val="000000" w:themeColor="text1"/>
                <w:lang w:val="en-US"/>
              </w:rPr>
              <w:t xml:space="preserve">Berita Acara Surat Terimah – </w:t>
            </w:r>
            <w:r w:rsidR="00016206">
              <w:rPr>
                <w:rFonts w:cs="Calibri,Bold"/>
                <w:bCs/>
                <w:color w:val="000000" w:themeColor="text1"/>
                <w:lang w:val="en-US"/>
              </w:rPr>
              <w:t xml:space="preserve">Formal </w:t>
            </w:r>
            <w:r>
              <w:rPr>
                <w:rFonts w:cs="Calibri,Bold"/>
                <w:bCs/>
                <w:color w:val="000000" w:themeColor="text1"/>
                <w:lang w:val="en-US"/>
              </w:rPr>
              <w:t xml:space="preserve">hand over of assets to the Government of Indonesia Asset Register to enable ongoing operation and maintenance </w:t>
            </w:r>
            <w:r w:rsidR="0020682E">
              <w:rPr>
                <w:rFonts w:cs="Calibri,Bold"/>
                <w:bCs/>
                <w:color w:val="000000" w:themeColor="text1"/>
                <w:lang w:val="en-US"/>
              </w:rPr>
              <w:t xml:space="preserve">through APBN budget processes. </w:t>
            </w:r>
          </w:p>
        </w:tc>
      </w:tr>
      <w:tr w:rsidR="00291938" w14:paraId="0D167D49" w14:textId="77777777" w:rsidTr="00291938">
        <w:trPr>
          <w:trHeight w:val="533"/>
        </w:trPr>
        <w:tc>
          <w:tcPr>
            <w:tcW w:w="2263" w:type="dxa"/>
          </w:tcPr>
          <w:p w14:paraId="0F6767B0" w14:textId="045502BA"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BRG</w:t>
            </w:r>
            <w:r w:rsidR="00D05FB3">
              <w:rPr>
                <w:rFonts w:cs="Calibri,Bold"/>
                <w:bCs/>
                <w:color w:val="000000" w:themeColor="text1"/>
                <w:lang w:val="en-US"/>
              </w:rPr>
              <w:t xml:space="preserve"> </w:t>
            </w:r>
            <w:r w:rsidRPr="00291938">
              <w:rPr>
                <w:rFonts w:cs="Calibri,Bold"/>
                <w:bCs/>
                <w:color w:val="000000" w:themeColor="text1"/>
                <w:lang w:val="en-US"/>
              </w:rPr>
              <w:t xml:space="preserve"> </w:t>
            </w:r>
          </w:p>
        </w:tc>
        <w:tc>
          <w:tcPr>
            <w:tcW w:w="6753" w:type="dxa"/>
          </w:tcPr>
          <w:p w14:paraId="0D017C9E" w14:textId="77777777"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 xml:space="preserve">Badan Restorasi Gambut (Peat Restoration Agency) </w:t>
            </w:r>
          </w:p>
        </w:tc>
      </w:tr>
      <w:tr w:rsidR="00C1525C" w14:paraId="21BF3ACB" w14:textId="77777777" w:rsidTr="00291938">
        <w:trPr>
          <w:trHeight w:val="533"/>
        </w:trPr>
        <w:tc>
          <w:tcPr>
            <w:tcW w:w="2263" w:type="dxa"/>
          </w:tcPr>
          <w:p w14:paraId="1A91A646" w14:textId="0256D46E" w:rsidR="00C1525C" w:rsidRPr="00291938" w:rsidRDefault="00C1525C" w:rsidP="00291938">
            <w:pPr>
              <w:spacing w:after="160" w:line="259" w:lineRule="auto"/>
              <w:rPr>
                <w:rFonts w:cs="Calibri,Bold"/>
                <w:bCs/>
                <w:color w:val="000000" w:themeColor="text1"/>
                <w:lang w:val="en-US"/>
              </w:rPr>
            </w:pPr>
            <w:r>
              <w:rPr>
                <w:rFonts w:cs="Calibri,Bold"/>
                <w:bCs/>
                <w:color w:val="000000" w:themeColor="text1"/>
                <w:lang w:val="en-US"/>
              </w:rPr>
              <w:t>CSO</w:t>
            </w:r>
          </w:p>
        </w:tc>
        <w:tc>
          <w:tcPr>
            <w:tcW w:w="6753" w:type="dxa"/>
          </w:tcPr>
          <w:p w14:paraId="60A47F94" w14:textId="3619E001" w:rsidR="00C1525C" w:rsidRPr="00291938" w:rsidRDefault="00C1525C" w:rsidP="00291938">
            <w:pPr>
              <w:spacing w:after="160" w:line="259" w:lineRule="auto"/>
              <w:rPr>
                <w:rFonts w:cs="Calibri,Bold"/>
                <w:bCs/>
                <w:color w:val="000000" w:themeColor="text1"/>
                <w:lang w:val="en-US"/>
              </w:rPr>
            </w:pPr>
            <w:r>
              <w:rPr>
                <w:rFonts w:cs="Calibri,Bold"/>
                <w:bCs/>
                <w:color w:val="000000" w:themeColor="text1"/>
                <w:lang w:val="en-US"/>
              </w:rPr>
              <w:t xml:space="preserve">Civil Society Organisation </w:t>
            </w:r>
          </w:p>
        </w:tc>
      </w:tr>
      <w:tr w:rsidR="00291938" w14:paraId="2B94F862" w14:textId="77777777" w:rsidTr="00291938">
        <w:tc>
          <w:tcPr>
            <w:tcW w:w="2263" w:type="dxa"/>
          </w:tcPr>
          <w:p w14:paraId="32D122BA" w14:textId="77777777" w:rsidR="00291938" w:rsidRDefault="00291938" w:rsidP="00291938">
            <w:pPr>
              <w:spacing w:after="160" w:line="259" w:lineRule="auto"/>
              <w:rPr>
                <w:rFonts w:cs="Calibri,Bold"/>
                <w:bCs/>
                <w:color w:val="000000" w:themeColor="text1"/>
                <w:lang w:val="en-US"/>
              </w:rPr>
            </w:pPr>
            <w:r>
              <w:rPr>
                <w:rFonts w:cs="Calibri,Bold"/>
                <w:bCs/>
                <w:color w:val="000000" w:themeColor="text1"/>
                <w:lang w:val="en-US"/>
              </w:rPr>
              <w:t>DED</w:t>
            </w:r>
          </w:p>
        </w:tc>
        <w:tc>
          <w:tcPr>
            <w:tcW w:w="6753" w:type="dxa"/>
          </w:tcPr>
          <w:p w14:paraId="1C2DFECE" w14:textId="77777777" w:rsidR="00291938" w:rsidRP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Detail Engineering Design</w:t>
            </w:r>
          </w:p>
        </w:tc>
      </w:tr>
      <w:tr w:rsidR="00322132" w14:paraId="069A0BF3" w14:textId="77777777" w:rsidTr="00291938">
        <w:tc>
          <w:tcPr>
            <w:tcW w:w="2263" w:type="dxa"/>
          </w:tcPr>
          <w:p w14:paraId="0D098F63" w14:textId="77777777" w:rsidR="00322132" w:rsidRDefault="00322132" w:rsidP="00291938">
            <w:pPr>
              <w:spacing w:after="160" w:line="259" w:lineRule="auto"/>
              <w:rPr>
                <w:rFonts w:cs="Calibri,Bold"/>
                <w:bCs/>
                <w:color w:val="000000" w:themeColor="text1"/>
                <w:lang w:val="en-US"/>
              </w:rPr>
            </w:pPr>
            <w:r>
              <w:rPr>
                <w:rFonts w:cs="Calibri,Bold"/>
                <w:bCs/>
                <w:color w:val="000000" w:themeColor="text1"/>
                <w:lang w:val="en-US"/>
              </w:rPr>
              <w:t>DIM</w:t>
            </w:r>
          </w:p>
        </w:tc>
        <w:tc>
          <w:tcPr>
            <w:tcW w:w="6753" w:type="dxa"/>
          </w:tcPr>
          <w:p w14:paraId="42CE7CE4" w14:textId="77777777" w:rsidR="00322132" w:rsidRDefault="00322132" w:rsidP="00291938">
            <w:pPr>
              <w:spacing w:after="160" w:line="259" w:lineRule="auto"/>
              <w:rPr>
                <w:rFonts w:cs="Calibri,Bold"/>
                <w:bCs/>
                <w:color w:val="000000" w:themeColor="text1"/>
                <w:lang w:val="en-US"/>
              </w:rPr>
            </w:pPr>
            <w:r>
              <w:rPr>
                <w:rFonts w:cs="Calibri,Bold"/>
                <w:bCs/>
                <w:color w:val="000000" w:themeColor="text1"/>
                <w:lang w:val="en-US"/>
              </w:rPr>
              <w:t xml:space="preserve">Direct Implementation Modality </w:t>
            </w:r>
          </w:p>
        </w:tc>
      </w:tr>
      <w:tr w:rsidR="00DA1876" w14:paraId="455E6A2A" w14:textId="77777777" w:rsidTr="00291938">
        <w:tc>
          <w:tcPr>
            <w:tcW w:w="2263" w:type="dxa"/>
          </w:tcPr>
          <w:p w14:paraId="5EC929F0" w14:textId="77777777" w:rsidR="00DA1876" w:rsidRDefault="00DA1876" w:rsidP="00291938">
            <w:pPr>
              <w:spacing w:after="160" w:line="259" w:lineRule="auto"/>
              <w:rPr>
                <w:rFonts w:cs="Calibri,Bold"/>
                <w:bCs/>
                <w:color w:val="000000" w:themeColor="text1"/>
                <w:lang w:val="en-US"/>
              </w:rPr>
            </w:pPr>
            <w:r>
              <w:rPr>
                <w:rFonts w:cs="Calibri,Bold"/>
                <w:bCs/>
                <w:color w:val="000000" w:themeColor="text1"/>
                <w:lang w:val="en-US"/>
              </w:rPr>
              <w:t>FMIS</w:t>
            </w:r>
          </w:p>
        </w:tc>
        <w:tc>
          <w:tcPr>
            <w:tcW w:w="6753" w:type="dxa"/>
          </w:tcPr>
          <w:p w14:paraId="665AD306" w14:textId="77777777" w:rsidR="00DA1876" w:rsidRDefault="00DA1876" w:rsidP="00291938">
            <w:pPr>
              <w:spacing w:after="160" w:line="259" w:lineRule="auto"/>
              <w:rPr>
                <w:rFonts w:cs="Calibri,Bold"/>
                <w:bCs/>
                <w:color w:val="000000" w:themeColor="text1"/>
                <w:lang w:val="en-US"/>
              </w:rPr>
            </w:pPr>
            <w:r>
              <w:rPr>
                <w:rFonts w:cs="Calibri,Bold"/>
                <w:bCs/>
                <w:color w:val="000000" w:themeColor="text1"/>
                <w:lang w:val="en-US"/>
              </w:rPr>
              <w:t>Financial Management Information System</w:t>
            </w:r>
          </w:p>
        </w:tc>
      </w:tr>
      <w:tr w:rsidR="00E33192" w14:paraId="21254F37" w14:textId="77777777" w:rsidTr="00291938">
        <w:tc>
          <w:tcPr>
            <w:tcW w:w="2263" w:type="dxa"/>
          </w:tcPr>
          <w:p w14:paraId="521BB70E" w14:textId="77777777" w:rsidR="00E33192" w:rsidRDefault="00E33192" w:rsidP="00291938">
            <w:pPr>
              <w:spacing w:after="160" w:line="259" w:lineRule="auto"/>
              <w:rPr>
                <w:rFonts w:cs="Calibri,Bold"/>
                <w:bCs/>
                <w:color w:val="000000" w:themeColor="text1"/>
                <w:lang w:val="en-US"/>
              </w:rPr>
            </w:pPr>
            <w:r>
              <w:rPr>
                <w:rFonts w:cs="Calibri,Bold"/>
                <w:bCs/>
                <w:color w:val="000000" w:themeColor="text1"/>
                <w:lang w:val="en-US"/>
              </w:rPr>
              <w:t xml:space="preserve">GOI </w:t>
            </w:r>
          </w:p>
        </w:tc>
        <w:tc>
          <w:tcPr>
            <w:tcW w:w="6753" w:type="dxa"/>
          </w:tcPr>
          <w:p w14:paraId="0C4A8036" w14:textId="77777777" w:rsidR="00E33192" w:rsidRPr="00291938" w:rsidRDefault="00E33192" w:rsidP="00291938">
            <w:pPr>
              <w:spacing w:after="160" w:line="259" w:lineRule="auto"/>
              <w:rPr>
                <w:rFonts w:cs="Calibri,Bold"/>
                <w:bCs/>
                <w:color w:val="000000" w:themeColor="text1"/>
                <w:lang w:val="en-US"/>
              </w:rPr>
            </w:pPr>
            <w:r>
              <w:rPr>
                <w:rFonts w:cs="Calibri,Bold"/>
                <w:bCs/>
                <w:color w:val="000000" w:themeColor="text1"/>
                <w:lang w:val="en-US"/>
              </w:rPr>
              <w:t xml:space="preserve">Government of Indonesia </w:t>
            </w:r>
          </w:p>
        </w:tc>
      </w:tr>
      <w:tr w:rsidR="00291938" w14:paraId="58BFAE38" w14:textId="77777777" w:rsidTr="00291938">
        <w:tc>
          <w:tcPr>
            <w:tcW w:w="2263" w:type="dxa"/>
          </w:tcPr>
          <w:p w14:paraId="2F5CC247" w14:textId="77777777" w:rsidR="00291938" w:rsidRDefault="00291938" w:rsidP="00291938">
            <w:pPr>
              <w:spacing w:after="160" w:line="259" w:lineRule="auto"/>
              <w:rPr>
                <w:rFonts w:cs="Calibri,Bold"/>
                <w:bCs/>
                <w:color w:val="000000" w:themeColor="text1"/>
                <w:lang w:val="en-US"/>
              </w:rPr>
            </w:pPr>
            <w:r>
              <w:rPr>
                <w:rFonts w:cs="Calibri,Bold"/>
                <w:bCs/>
                <w:color w:val="000000" w:themeColor="text1"/>
                <w:lang w:val="en-US"/>
              </w:rPr>
              <w:t>GWL</w:t>
            </w:r>
          </w:p>
        </w:tc>
        <w:tc>
          <w:tcPr>
            <w:tcW w:w="6753" w:type="dxa"/>
          </w:tcPr>
          <w:p w14:paraId="1495FAB5" w14:textId="77777777"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Ground Water Level</w:t>
            </w:r>
          </w:p>
        </w:tc>
      </w:tr>
      <w:tr w:rsidR="00291938" w14:paraId="4A682616" w14:textId="77777777" w:rsidTr="00291938">
        <w:tc>
          <w:tcPr>
            <w:tcW w:w="2263" w:type="dxa"/>
          </w:tcPr>
          <w:p w14:paraId="4C8B8A96" w14:textId="77777777" w:rsidR="00291938" w:rsidRDefault="00291938" w:rsidP="00291938">
            <w:pPr>
              <w:spacing w:after="160" w:line="259" w:lineRule="auto"/>
              <w:rPr>
                <w:rFonts w:cs="Calibri,Bold"/>
                <w:bCs/>
                <w:color w:val="000000" w:themeColor="text1"/>
                <w:lang w:val="en-US"/>
              </w:rPr>
            </w:pPr>
            <w:r>
              <w:rPr>
                <w:rFonts w:cs="Calibri,Bold"/>
                <w:bCs/>
                <w:color w:val="000000" w:themeColor="text1"/>
                <w:lang w:val="en-US"/>
              </w:rPr>
              <w:t>KHG</w:t>
            </w:r>
          </w:p>
        </w:tc>
        <w:tc>
          <w:tcPr>
            <w:tcW w:w="6753" w:type="dxa"/>
          </w:tcPr>
          <w:p w14:paraId="20507A14" w14:textId="27A56236"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Kesatuan Hidrologis Gambut (Peat</w:t>
            </w:r>
            <w:r w:rsidR="004B7DCF">
              <w:rPr>
                <w:rFonts w:cs="Calibri,Bold"/>
                <w:bCs/>
                <w:color w:val="000000" w:themeColor="text1"/>
                <w:lang w:val="en-US"/>
              </w:rPr>
              <w:t>land</w:t>
            </w:r>
            <w:r w:rsidR="00D05FB3">
              <w:rPr>
                <w:rFonts w:cs="Calibri,Bold"/>
                <w:bCs/>
                <w:color w:val="000000" w:themeColor="text1"/>
                <w:lang w:val="en-US"/>
              </w:rPr>
              <w:t xml:space="preserve"> </w:t>
            </w:r>
            <w:r w:rsidR="004B7DCF" w:rsidRPr="00291938">
              <w:rPr>
                <w:rFonts w:cs="Calibri,Bold"/>
                <w:bCs/>
                <w:color w:val="000000" w:themeColor="text1"/>
                <w:lang w:val="en-US"/>
              </w:rPr>
              <w:t>Hydrological</w:t>
            </w:r>
            <w:r w:rsidRPr="00291938">
              <w:rPr>
                <w:rFonts w:cs="Calibri,Bold"/>
                <w:bCs/>
                <w:color w:val="000000" w:themeColor="text1"/>
                <w:lang w:val="en-US"/>
              </w:rPr>
              <w:t xml:space="preserve"> Unit)</w:t>
            </w:r>
          </w:p>
        </w:tc>
      </w:tr>
      <w:tr w:rsidR="00291938" w14:paraId="1A2B2D8B" w14:textId="77777777" w:rsidTr="00291938">
        <w:tc>
          <w:tcPr>
            <w:tcW w:w="2263" w:type="dxa"/>
          </w:tcPr>
          <w:p w14:paraId="1889E526" w14:textId="77777777"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KLHK</w:t>
            </w:r>
          </w:p>
        </w:tc>
        <w:tc>
          <w:tcPr>
            <w:tcW w:w="6753" w:type="dxa"/>
          </w:tcPr>
          <w:p w14:paraId="7D289D65" w14:textId="77777777"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Kementrian Lingkungan Hidup dan Kehutanan (Ministry of Environm</w:t>
            </w:r>
            <w:r>
              <w:rPr>
                <w:rFonts w:cs="Calibri,Bold"/>
                <w:bCs/>
                <w:color w:val="000000" w:themeColor="text1"/>
                <w:lang w:val="en-US"/>
              </w:rPr>
              <w:t>en</w:t>
            </w:r>
            <w:r w:rsidRPr="00291938">
              <w:rPr>
                <w:rFonts w:cs="Calibri,Bold"/>
                <w:bCs/>
                <w:color w:val="000000" w:themeColor="text1"/>
                <w:lang w:val="en-US"/>
              </w:rPr>
              <w:t xml:space="preserve">t and Forestry) </w:t>
            </w:r>
          </w:p>
        </w:tc>
      </w:tr>
      <w:tr w:rsidR="00291938" w14:paraId="33E44D6D" w14:textId="77777777" w:rsidTr="00291938">
        <w:tc>
          <w:tcPr>
            <w:tcW w:w="2263" w:type="dxa"/>
          </w:tcPr>
          <w:p w14:paraId="057EFF19" w14:textId="77777777" w:rsidR="00291938" w:rsidRDefault="00291938" w:rsidP="00291938">
            <w:pPr>
              <w:spacing w:after="160" w:line="259" w:lineRule="auto"/>
              <w:rPr>
                <w:rFonts w:cs="Calibri,Bold"/>
                <w:bCs/>
                <w:color w:val="000000" w:themeColor="text1"/>
                <w:lang w:val="en-US"/>
              </w:rPr>
            </w:pPr>
            <w:r>
              <w:rPr>
                <w:rFonts w:cs="Calibri,Bold"/>
                <w:bCs/>
                <w:color w:val="000000" w:themeColor="text1"/>
                <w:lang w:val="en-US"/>
              </w:rPr>
              <w:t>MCA</w:t>
            </w:r>
          </w:p>
        </w:tc>
        <w:tc>
          <w:tcPr>
            <w:tcW w:w="6753" w:type="dxa"/>
          </w:tcPr>
          <w:p w14:paraId="740D0E23" w14:textId="77777777"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Millennium Challenge Account</w:t>
            </w:r>
          </w:p>
        </w:tc>
      </w:tr>
      <w:tr w:rsidR="00291938" w14:paraId="622291CD" w14:textId="77777777" w:rsidTr="00291938">
        <w:tc>
          <w:tcPr>
            <w:tcW w:w="2263" w:type="dxa"/>
          </w:tcPr>
          <w:p w14:paraId="587B1A0D" w14:textId="77777777" w:rsidR="00291938" w:rsidRDefault="00291938" w:rsidP="00291938">
            <w:pPr>
              <w:spacing w:after="160" w:line="259" w:lineRule="auto"/>
              <w:rPr>
                <w:rFonts w:cs="Calibri,Bold"/>
                <w:bCs/>
                <w:color w:val="000000" w:themeColor="text1"/>
                <w:lang w:val="en-US"/>
              </w:rPr>
            </w:pPr>
            <w:r>
              <w:rPr>
                <w:rFonts w:cs="Calibri,Bold"/>
                <w:bCs/>
                <w:color w:val="000000" w:themeColor="text1"/>
                <w:lang w:val="en-US"/>
              </w:rPr>
              <w:t xml:space="preserve">OSCB </w:t>
            </w:r>
          </w:p>
        </w:tc>
        <w:tc>
          <w:tcPr>
            <w:tcW w:w="6753" w:type="dxa"/>
          </w:tcPr>
          <w:p w14:paraId="05A33B32" w14:textId="77777777"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Office Support and Capacity Building</w:t>
            </w:r>
          </w:p>
        </w:tc>
      </w:tr>
      <w:tr w:rsidR="001F3836" w14:paraId="74FA33F6" w14:textId="77777777" w:rsidTr="00291938">
        <w:tc>
          <w:tcPr>
            <w:tcW w:w="2263" w:type="dxa"/>
          </w:tcPr>
          <w:p w14:paraId="551CACBF" w14:textId="1BBB5BF1" w:rsidR="001F3836" w:rsidRDefault="001F3836" w:rsidP="00291938">
            <w:pPr>
              <w:spacing w:after="160" w:line="259" w:lineRule="auto"/>
              <w:rPr>
                <w:rFonts w:cs="Calibri,Bold"/>
                <w:bCs/>
                <w:color w:val="000000" w:themeColor="text1"/>
                <w:lang w:val="en-US"/>
              </w:rPr>
            </w:pPr>
            <w:r>
              <w:rPr>
                <w:rFonts w:cs="Calibri,Bold"/>
                <w:bCs/>
                <w:color w:val="000000" w:themeColor="text1"/>
                <w:lang w:val="en-US"/>
              </w:rPr>
              <w:t>PMU</w:t>
            </w:r>
          </w:p>
        </w:tc>
        <w:tc>
          <w:tcPr>
            <w:tcW w:w="6753" w:type="dxa"/>
          </w:tcPr>
          <w:p w14:paraId="481BFE5E" w14:textId="5B38D960" w:rsidR="001F3836" w:rsidRDefault="001F3836" w:rsidP="00291938">
            <w:pPr>
              <w:spacing w:after="160" w:line="259" w:lineRule="auto"/>
              <w:rPr>
                <w:rFonts w:cs="Calibri,Bold"/>
                <w:bCs/>
                <w:color w:val="000000" w:themeColor="text1"/>
                <w:lang w:val="en-US"/>
              </w:rPr>
            </w:pPr>
            <w:r>
              <w:rPr>
                <w:rFonts w:cs="Calibri,Bold"/>
                <w:bCs/>
                <w:color w:val="000000" w:themeColor="text1"/>
                <w:lang w:val="en-US"/>
              </w:rPr>
              <w:t>Project Management Plan</w:t>
            </w:r>
          </w:p>
        </w:tc>
      </w:tr>
      <w:tr w:rsidR="0099027A" w14:paraId="17EA6ACC" w14:textId="77777777" w:rsidTr="00291938">
        <w:tc>
          <w:tcPr>
            <w:tcW w:w="2263" w:type="dxa"/>
          </w:tcPr>
          <w:p w14:paraId="10811431" w14:textId="3C375FB7" w:rsidR="0099027A" w:rsidRDefault="0099027A" w:rsidP="00291938">
            <w:pPr>
              <w:spacing w:after="160" w:line="259" w:lineRule="auto"/>
              <w:rPr>
                <w:rFonts w:cs="Calibri,Bold"/>
                <w:bCs/>
                <w:color w:val="000000" w:themeColor="text1"/>
                <w:lang w:val="en-US"/>
              </w:rPr>
            </w:pPr>
            <w:r>
              <w:rPr>
                <w:rFonts w:cs="Calibri,Bold"/>
                <w:bCs/>
                <w:color w:val="000000" w:themeColor="text1"/>
                <w:lang w:val="en-US"/>
              </w:rPr>
              <w:t>Renstra</w:t>
            </w:r>
          </w:p>
        </w:tc>
        <w:tc>
          <w:tcPr>
            <w:tcW w:w="6753" w:type="dxa"/>
          </w:tcPr>
          <w:p w14:paraId="42F04DEE" w14:textId="657F5702" w:rsidR="0099027A" w:rsidRDefault="0099027A" w:rsidP="00291938">
            <w:pPr>
              <w:spacing w:after="160" w:line="259" w:lineRule="auto"/>
              <w:rPr>
                <w:rFonts w:cs="Calibri,Bold"/>
                <w:bCs/>
                <w:color w:val="000000" w:themeColor="text1"/>
                <w:lang w:val="en-US"/>
              </w:rPr>
            </w:pPr>
            <w:r>
              <w:rPr>
                <w:rFonts w:cs="Calibri,Bold"/>
                <w:bCs/>
                <w:color w:val="000000" w:themeColor="text1"/>
                <w:lang w:val="en-US"/>
              </w:rPr>
              <w:t>Action Plan</w:t>
            </w:r>
          </w:p>
        </w:tc>
      </w:tr>
      <w:tr w:rsidR="0099027A" w14:paraId="7E11E45D" w14:textId="77777777" w:rsidTr="00291938">
        <w:tc>
          <w:tcPr>
            <w:tcW w:w="2263" w:type="dxa"/>
          </w:tcPr>
          <w:p w14:paraId="040F4737" w14:textId="39A36BE7" w:rsidR="0099027A" w:rsidRDefault="0099027A" w:rsidP="00291938">
            <w:pPr>
              <w:spacing w:after="160" w:line="259" w:lineRule="auto"/>
              <w:rPr>
                <w:rFonts w:cs="Calibri,Bold"/>
                <w:bCs/>
                <w:color w:val="000000" w:themeColor="text1"/>
                <w:lang w:val="en-US"/>
              </w:rPr>
            </w:pPr>
            <w:r>
              <w:rPr>
                <w:rFonts w:cs="Calibri,Bold"/>
                <w:bCs/>
                <w:color w:val="000000" w:themeColor="text1"/>
                <w:lang w:val="en-US"/>
              </w:rPr>
              <w:t xml:space="preserve">RFP </w:t>
            </w:r>
          </w:p>
        </w:tc>
        <w:tc>
          <w:tcPr>
            <w:tcW w:w="6753" w:type="dxa"/>
          </w:tcPr>
          <w:p w14:paraId="592BBD81" w14:textId="6D2F1E75" w:rsidR="0099027A" w:rsidRPr="00291938" w:rsidRDefault="0099027A" w:rsidP="00291938">
            <w:pPr>
              <w:spacing w:after="160" w:line="259" w:lineRule="auto"/>
              <w:rPr>
                <w:rFonts w:cs="Calibri,Bold"/>
                <w:bCs/>
                <w:color w:val="000000" w:themeColor="text1"/>
                <w:lang w:val="en-US"/>
              </w:rPr>
            </w:pPr>
            <w:r>
              <w:rPr>
                <w:rFonts w:cs="Calibri,Bold"/>
                <w:bCs/>
                <w:color w:val="000000" w:themeColor="text1"/>
                <w:lang w:val="en-US"/>
              </w:rPr>
              <w:t xml:space="preserve">Request for Proposals </w:t>
            </w:r>
          </w:p>
        </w:tc>
      </w:tr>
      <w:tr w:rsidR="00291938" w14:paraId="588076A8" w14:textId="77777777" w:rsidTr="00291938">
        <w:tc>
          <w:tcPr>
            <w:tcW w:w="2263" w:type="dxa"/>
          </w:tcPr>
          <w:p w14:paraId="63405EDB" w14:textId="77777777" w:rsidR="00291938" w:rsidRDefault="00291938" w:rsidP="00291938">
            <w:pPr>
              <w:spacing w:after="160" w:line="259" w:lineRule="auto"/>
              <w:rPr>
                <w:rFonts w:cs="Calibri,Bold"/>
                <w:bCs/>
                <w:color w:val="000000" w:themeColor="text1"/>
                <w:lang w:val="en-US"/>
              </w:rPr>
            </w:pPr>
            <w:r>
              <w:rPr>
                <w:rFonts w:cs="Calibri,Bold"/>
                <w:bCs/>
                <w:color w:val="000000" w:themeColor="text1"/>
                <w:lang w:val="en-US"/>
              </w:rPr>
              <w:t xml:space="preserve">RREG </w:t>
            </w:r>
          </w:p>
        </w:tc>
        <w:tc>
          <w:tcPr>
            <w:tcW w:w="6753" w:type="dxa"/>
          </w:tcPr>
          <w:p w14:paraId="3783DB4A" w14:textId="77777777"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 xml:space="preserve">Rencana Restorasi Ekosistem Gambut (Peat Ecosystem Restoration Plan) </w:t>
            </w:r>
          </w:p>
        </w:tc>
      </w:tr>
      <w:tr w:rsidR="00291938" w14:paraId="56E159AD" w14:textId="77777777" w:rsidTr="00291938">
        <w:tc>
          <w:tcPr>
            <w:tcW w:w="2263" w:type="dxa"/>
          </w:tcPr>
          <w:p w14:paraId="5354DD87" w14:textId="77777777" w:rsidR="00291938" w:rsidRDefault="00291938" w:rsidP="00291938">
            <w:pPr>
              <w:spacing w:after="160" w:line="259" w:lineRule="auto"/>
              <w:rPr>
                <w:rFonts w:cs="Calibri,Bold"/>
                <w:bCs/>
                <w:color w:val="000000" w:themeColor="text1"/>
                <w:lang w:val="en-US"/>
              </w:rPr>
            </w:pPr>
            <w:r>
              <w:rPr>
                <w:rFonts w:cs="Calibri,Bold"/>
                <w:bCs/>
                <w:color w:val="000000" w:themeColor="text1"/>
                <w:lang w:val="en-US"/>
              </w:rPr>
              <w:t xml:space="preserve">SID </w:t>
            </w:r>
          </w:p>
        </w:tc>
        <w:tc>
          <w:tcPr>
            <w:tcW w:w="6753" w:type="dxa"/>
          </w:tcPr>
          <w:p w14:paraId="79C35D5B" w14:textId="77777777"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Survey Identification Design</w:t>
            </w:r>
          </w:p>
        </w:tc>
      </w:tr>
      <w:tr w:rsidR="00291938" w14:paraId="40BA6883" w14:textId="77777777" w:rsidTr="00291938">
        <w:tc>
          <w:tcPr>
            <w:tcW w:w="2263" w:type="dxa"/>
          </w:tcPr>
          <w:p w14:paraId="1E3A3829" w14:textId="77777777" w:rsidR="00291938" w:rsidRDefault="00291938" w:rsidP="00291938">
            <w:pPr>
              <w:spacing w:after="160" w:line="259" w:lineRule="auto"/>
              <w:rPr>
                <w:rFonts w:cs="Calibri,Bold"/>
                <w:bCs/>
                <w:color w:val="000000" w:themeColor="text1"/>
                <w:lang w:val="en-US"/>
              </w:rPr>
            </w:pPr>
            <w:r>
              <w:rPr>
                <w:rFonts w:cs="Calibri,Bold"/>
                <w:bCs/>
                <w:color w:val="000000" w:themeColor="text1"/>
                <w:lang w:val="en-US"/>
              </w:rPr>
              <w:t>SOP</w:t>
            </w:r>
          </w:p>
        </w:tc>
        <w:tc>
          <w:tcPr>
            <w:tcW w:w="6753" w:type="dxa"/>
          </w:tcPr>
          <w:p w14:paraId="3A894F77" w14:textId="77777777"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Standard Operation Procedure</w:t>
            </w:r>
          </w:p>
        </w:tc>
      </w:tr>
      <w:tr w:rsidR="00291938" w14:paraId="7EE82763" w14:textId="77777777" w:rsidTr="00291938">
        <w:tc>
          <w:tcPr>
            <w:tcW w:w="2263" w:type="dxa"/>
          </w:tcPr>
          <w:p w14:paraId="4A485317" w14:textId="77777777"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UGM</w:t>
            </w:r>
          </w:p>
        </w:tc>
        <w:tc>
          <w:tcPr>
            <w:tcW w:w="6753" w:type="dxa"/>
          </w:tcPr>
          <w:p w14:paraId="53A8699A" w14:textId="77777777"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Universitas Gajah Mada</w:t>
            </w:r>
          </w:p>
        </w:tc>
      </w:tr>
      <w:tr w:rsidR="00291938" w14:paraId="120AA929" w14:textId="77777777" w:rsidTr="00291938">
        <w:tc>
          <w:tcPr>
            <w:tcW w:w="2263" w:type="dxa"/>
          </w:tcPr>
          <w:p w14:paraId="2B3BF721" w14:textId="77777777" w:rsidR="00291938" w:rsidRDefault="00291938" w:rsidP="00291938">
            <w:pPr>
              <w:spacing w:after="160" w:line="259" w:lineRule="auto"/>
              <w:rPr>
                <w:rFonts w:cs="Calibri,Bold"/>
                <w:bCs/>
                <w:color w:val="000000" w:themeColor="text1"/>
                <w:lang w:val="en-US"/>
              </w:rPr>
            </w:pPr>
            <w:r>
              <w:rPr>
                <w:rFonts w:cs="Calibri,Bold"/>
                <w:bCs/>
                <w:color w:val="000000" w:themeColor="text1"/>
                <w:lang w:val="en-US"/>
              </w:rPr>
              <w:t xml:space="preserve">UNDP </w:t>
            </w:r>
          </w:p>
        </w:tc>
        <w:tc>
          <w:tcPr>
            <w:tcW w:w="6753" w:type="dxa"/>
          </w:tcPr>
          <w:p w14:paraId="368471B3" w14:textId="77777777"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United Nations Development Programme</w:t>
            </w:r>
          </w:p>
        </w:tc>
      </w:tr>
      <w:tr w:rsidR="00D13352" w14:paraId="6D8051C6" w14:textId="77777777" w:rsidTr="00291938">
        <w:tc>
          <w:tcPr>
            <w:tcW w:w="2263" w:type="dxa"/>
          </w:tcPr>
          <w:p w14:paraId="721D1273" w14:textId="7560AD5E" w:rsidR="00D13352" w:rsidRDefault="00D13352" w:rsidP="00291938">
            <w:pPr>
              <w:spacing w:after="160" w:line="259" w:lineRule="auto"/>
              <w:rPr>
                <w:rFonts w:cs="Calibri,Bold"/>
                <w:bCs/>
                <w:color w:val="000000" w:themeColor="text1"/>
                <w:lang w:val="en-US"/>
              </w:rPr>
            </w:pPr>
            <w:r>
              <w:rPr>
                <w:rFonts w:cs="Arial"/>
                <w:lang w:val="en-ID"/>
              </w:rPr>
              <w:t xml:space="preserve">UNPDF </w:t>
            </w:r>
          </w:p>
        </w:tc>
        <w:tc>
          <w:tcPr>
            <w:tcW w:w="6753" w:type="dxa"/>
          </w:tcPr>
          <w:p w14:paraId="6059BBA3" w14:textId="7059EE97" w:rsidR="00D13352" w:rsidRPr="00291938" w:rsidRDefault="00D13352" w:rsidP="00291938">
            <w:pPr>
              <w:spacing w:after="160" w:line="259" w:lineRule="auto"/>
              <w:rPr>
                <w:rFonts w:cs="Calibri,Bold"/>
                <w:bCs/>
                <w:color w:val="000000" w:themeColor="text1"/>
                <w:lang w:val="en-US"/>
              </w:rPr>
            </w:pPr>
            <w:r>
              <w:rPr>
                <w:rFonts w:cs="Calibri,Bold"/>
                <w:bCs/>
                <w:color w:val="000000" w:themeColor="text1"/>
                <w:lang w:val="en-US"/>
              </w:rPr>
              <w:t xml:space="preserve">United Nations Partnerships for Development Framework </w:t>
            </w:r>
          </w:p>
        </w:tc>
      </w:tr>
      <w:tr w:rsidR="00291938" w14:paraId="4C186FB8" w14:textId="77777777" w:rsidTr="00291938">
        <w:tc>
          <w:tcPr>
            <w:tcW w:w="2263" w:type="dxa"/>
          </w:tcPr>
          <w:p w14:paraId="3E084829" w14:textId="77777777" w:rsidR="00291938" w:rsidRDefault="00291938" w:rsidP="00291938">
            <w:pPr>
              <w:spacing w:after="160" w:line="259" w:lineRule="auto"/>
              <w:rPr>
                <w:rFonts w:cs="Calibri,Bold"/>
                <w:bCs/>
                <w:color w:val="000000" w:themeColor="text1"/>
                <w:lang w:val="en-US"/>
              </w:rPr>
            </w:pPr>
            <w:r>
              <w:rPr>
                <w:rFonts w:cs="Calibri,Bold"/>
                <w:bCs/>
                <w:color w:val="000000" w:themeColor="text1"/>
                <w:lang w:val="en-US"/>
              </w:rPr>
              <w:t xml:space="preserve">WRI </w:t>
            </w:r>
          </w:p>
        </w:tc>
        <w:tc>
          <w:tcPr>
            <w:tcW w:w="6753" w:type="dxa"/>
          </w:tcPr>
          <w:p w14:paraId="5EC5248F" w14:textId="77777777"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World Resource Institute</w:t>
            </w:r>
          </w:p>
        </w:tc>
      </w:tr>
    </w:tbl>
    <w:p w14:paraId="6082C3A7" w14:textId="77777777" w:rsidR="00291938" w:rsidRPr="00291938" w:rsidRDefault="00291938" w:rsidP="00291938">
      <w:pPr>
        <w:spacing w:after="160" w:line="259" w:lineRule="auto"/>
        <w:rPr>
          <w:rFonts w:cs="Calibri,Bold"/>
          <w:bCs/>
          <w:color w:val="000000" w:themeColor="text1"/>
          <w:lang w:val="en-US"/>
        </w:rPr>
      </w:pPr>
      <w:r>
        <w:rPr>
          <w:rFonts w:cs="Calibri,Bold"/>
          <w:bCs/>
          <w:color w:val="000000" w:themeColor="text1"/>
          <w:lang w:val="en-US"/>
        </w:rPr>
        <w:lastRenderedPageBreak/>
        <w:t xml:space="preserve"> </w:t>
      </w:r>
    </w:p>
    <w:p w14:paraId="1398C765" w14:textId="77777777" w:rsidR="00291938" w:rsidRP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 xml:space="preserve"> </w:t>
      </w:r>
    </w:p>
    <w:p w14:paraId="67262C7B" w14:textId="77777777" w:rsidR="00291938" w:rsidRDefault="00291938" w:rsidP="00291938">
      <w:pPr>
        <w:spacing w:after="160" w:line="259" w:lineRule="auto"/>
        <w:rPr>
          <w:rFonts w:cs="Calibri,Bold"/>
          <w:bCs/>
          <w:color w:val="000000" w:themeColor="text1"/>
          <w:lang w:val="en-US"/>
        </w:rPr>
      </w:pPr>
      <w:r w:rsidRPr="00291938">
        <w:rPr>
          <w:rFonts w:cs="Calibri,Bold"/>
          <w:bCs/>
          <w:color w:val="000000" w:themeColor="text1"/>
          <w:lang w:val="en-US"/>
        </w:rPr>
        <w:t xml:space="preserve"> </w:t>
      </w:r>
      <w:r>
        <w:rPr>
          <w:rFonts w:cs="Calibri,Bold"/>
          <w:bCs/>
          <w:color w:val="000000" w:themeColor="text1"/>
          <w:lang w:val="en-US"/>
        </w:rPr>
        <w:br w:type="page"/>
      </w:r>
    </w:p>
    <w:p w14:paraId="3E854CC4" w14:textId="77777777" w:rsidR="00291938" w:rsidRPr="0061157C" w:rsidRDefault="00291938" w:rsidP="00197DDF">
      <w:pPr>
        <w:autoSpaceDE w:val="0"/>
        <w:autoSpaceDN w:val="0"/>
        <w:adjustRightInd w:val="0"/>
        <w:spacing w:after="0" w:line="23" w:lineRule="atLeast"/>
        <w:rPr>
          <w:rFonts w:cs="Calibri,Bold"/>
          <w:bCs/>
          <w:color w:val="000000" w:themeColor="text1"/>
          <w:lang w:val="en-US"/>
        </w:rPr>
      </w:pPr>
    </w:p>
    <w:p w14:paraId="1ADECC21" w14:textId="0EB57FB2" w:rsidR="00197DDF" w:rsidRDefault="00197DDF" w:rsidP="00291938">
      <w:pPr>
        <w:pStyle w:val="Heading2"/>
        <w:rPr>
          <w:lang w:val="en-US"/>
        </w:rPr>
      </w:pPr>
      <w:bookmarkStart w:id="2" w:name="_Toc528998423"/>
      <w:r w:rsidRPr="0061157C">
        <w:rPr>
          <w:lang w:val="en-US"/>
        </w:rPr>
        <w:t xml:space="preserve">Executive </w:t>
      </w:r>
      <w:r w:rsidR="00016206">
        <w:rPr>
          <w:lang w:val="en-US"/>
        </w:rPr>
        <w:t>S</w:t>
      </w:r>
      <w:r w:rsidR="00016206" w:rsidRPr="0061157C">
        <w:rPr>
          <w:lang w:val="en-US"/>
        </w:rPr>
        <w:t>ummary</w:t>
      </w:r>
      <w:bookmarkEnd w:id="2"/>
    </w:p>
    <w:p w14:paraId="7049C80E" w14:textId="77777777" w:rsidR="00291938" w:rsidRDefault="00291938" w:rsidP="00197DDF">
      <w:pPr>
        <w:autoSpaceDE w:val="0"/>
        <w:autoSpaceDN w:val="0"/>
        <w:adjustRightInd w:val="0"/>
        <w:spacing w:after="0" w:line="23" w:lineRule="atLeast"/>
        <w:rPr>
          <w:rFonts w:cs="Calibri,Bold"/>
          <w:bCs/>
          <w:color w:val="000000" w:themeColor="text1"/>
          <w:lang w:val="en-US"/>
        </w:rPr>
      </w:pPr>
    </w:p>
    <w:p w14:paraId="4BC34CD3" w14:textId="053F0F4D" w:rsidR="00F26811" w:rsidRDefault="00F26811">
      <w:pPr>
        <w:spacing w:after="160" w:line="259" w:lineRule="auto"/>
        <w:rPr>
          <w:rFonts w:cs="Calibri,Bold"/>
          <w:bCs/>
          <w:color w:val="000000" w:themeColor="text1"/>
          <w:lang w:val="en-US"/>
        </w:rPr>
      </w:pPr>
      <w:r>
        <w:rPr>
          <w:rFonts w:cs="Calibri,Bold"/>
          <w:bCs/>
          <w:color w:val="000000" w:themeColor="text1"/>
          <w:lang w:val="en-US"/>
        </w:rPr>
        <w:t xml:space="preserve">In response to the 2015 Peatland fires in Indonesia, </w:t>
      </w:r>
      <w:r>
        <w:rPr>
          <w:lang w:val="en-ID"/>
        </w:rPr>
        <w:t xml:space="preserve">the Government of Indonesia changed their </w:t>
      </w:r>
      <w:r w:rsidRPr="001460AD">
        <w:t xml:space="preserve">fire </w:t>
      </w:r>
      <w:r w:rsidR="00016206" w:rsidRPr="001460AD">
        <w:t xml:space="preserve">prevention </w:t>
      </w:r>
      <w:r w:rsidR="00016206">
        <w:rPr>
          <w:lang w:val="en-ID"/>
        </w:rPr>
        <w:t>strategy</w:t>
      </w:r>
      <w:r>
        <w:rPr>
          <w:lang w:val="en-ID"/>
        </w:rPr>
        <w:t xml:space="preserve"> </w:t>
      </w:r>
      <w:r w:rsidRPr="001460AD">
        <w:t xml:space="preserve">in 2016 </w:t>
      </w:r>
      <w:r>
        <w:rPr>
          <w:lang w:val="en-ID"/>
        </w:rPr>
        <w:t xml:space="preserve">to </w:t>
      </w:r>
      <w:r w:rsidRPr="001460AD">
        <w:t>adopt a more anticipatory and systematic approach.</w:t>
      </w:r>
      <w:r w:rsidR="00016206" w:rsidRPr="00016206">
        <w:t xml:space="preserve"> </w:t>
      </w:r>
      <w:r w:rsidR="00016206">
        <w:rPr>
          <w:lang w:val="en-US"/>
        </w:rPr>
        <w:t>In response, t</w:t>
      </w:r>
      <w:r w:rsidR="00016206" w:rsidRPr="001460AD">
        <w:t>he</w:t>
      </w:r>
      <w:r w:rsidR="00016206">
        <w:rPr>
          <w:lang w:val="en-ID"/>
        </w:rPr>
        <w:t xml:space="preserve"> </w:t>
      </w:r>
      <w:r w:rsidR="00016206" w:rsidRPr="001460AD">
        <w:t>Peat Restoration Agency</w:t>
      </w:r>
      <w:r w:rsidR="00016206">
        <w:t xml:space="preserve"> (Badan Restorasi Gambut – BRG)</w:t>
      </w:r>
      <w:r w:rsidR="00016206" w:rsidRPr="001460AD">
        <w:t xml:space="preserve"> </w:t>
      </w:r>
      <w:r w:rsidR="006E4183">
        <w:rPr>
          <w:lang w:val="en-ID"/>
        </w:rPr>
        <w:t xml:space="preserve">was established </w:t>
      </w:r>
      <w:r w:rsidR="0061284B">
        <w:t>t</w:t>
      </w:r>
      <w:r w:rsidRPr="001460AD">
        <w:t xml:space="preserve">hrough Presidential Regulation </w:t>
      </w:r>
      <w:r>
        <w:t>Jun</w:t>
      </w:r>
      <w:r>
        <w:rPr>
          <w:lang w:val="en-ID"/>
        </w:rPr>
        <w:t>e</w:t>
      </w:r>
      <w:r w:rsidRPr="001460AD">
        <w:t xml:space="preserve"> 1 of 2016</w:t>
      </w:r>
      <w:r w:rsidR="00016206">
        <w:rPr>
          <w:lang w:val="en-US"/>
        </w:rPr>
        <w:t xml:space="preserve"> </w:t>
      </w:r>
      <w:r w:rsidR="00016206">
        <w:rPr>
          <w:lang w:val="en-ID"/>
        </w:rPr>
        <w:t>to develop and implement this new approach.</w:t>
      </w:r>
      <w:r>
        <w:rPr>
          <w:rFonts w:cs="Calibri,Bold"/>
          <w:bCs/>
          <w:color w:val="000000" w:themeColor="text1"/>
          <w:lang w:val="en-US"/>
        </w:rPr>
        <w:t xml:space="preserve"> </w:t>
      </w:r>
    </w:p>
    <w:p w14:paraId="578CFDFC" w14:textId="131A5130" w:rsidR="00F26811" w:rsidRPr="00F26811" w:rsidRDefault="00F26811" w:rsidP="00F26811">
      <w:pPr>
        <w:spacing w:after="160" w:line="259" w:lineRule="auto"/>
        <w:rPr>
          <w:rFonts w:cs="Calibri,Bold"/>
          <w:bCs/>
          <w:color w:val="000000" w:themeColor="text1"/>
          <w:lang w:val="en-US"/>
        </w:rPr>
      </w:pPr>
      <w:r>
        <w:rPr>
          <w:rFonts w:cs="Calibri,Bold"/>
          <w:bCs/>
          <w:color w:val="000000" w:themeColor="text1"/>
          <w:lang w:val="en-US"/>
        </w:rPr>
        <w:t xml:space="preserve">To assist the GOI in establishing the Agency, the Kingdom of Norway responded </w:t>
      </w:r>
      <w:r w:rsidR="00016206">
        <w:rPr>
          <w:rFonts w:cs="Calibri,Bold"/>
          <w:bCs/>
          <w:color w:val="000000" w:themeColor="text1"/>
          <w:lang w:val="en-US"/>
        </w:rPr>
        <w:t xml:space="preserve">by </w:t>
      </w:r>
      <w:r>
        <w:rPr>
          <w:rFonts w:cs="Calibri,Bold"/>
          <w:bCs/>
          <w:color w:val="000000" w:themeColor="text1"/>
          <w:lang w:val="en-US"/>
        </w:rPr>
        <w:t xml:space="preserve">requesting </w:t>
      </w:r>
      <w:r w:rsidRPr="00F26811">
        <w:rPr>
          <w:rFonts w:cs="Calibri,Bold"/>
          <w:bCs/>
          <w:color w:val="000000" w:themeColor="text1"/>
          <w:lang w:val="en-US"/>
        </w:rPr>
        <w:t xml:space="preserve">The Strengthening the BRG Institution Through Office Support and Capacity Building (OSCB) project </w:t>
      </w:r>
      <w:r w:rsidR="0061284B">
        <w:rPr>
          <w:rFonts w:cs="Calibri,Bold"/>
          <w:bCs/>
          <w:color w:val="000000" w:themeColor="text1"/>
          <w:lang w:val="en-US"/>
        </w:rPr>
        <w:t>a</w:t>
      </w:r>
      <w:r w:rsidRPr="00F26811">
        <w:rPr>
          <w:rFonts w:cs="Calibri,Bold"/>
          <w:bCs/>
          <w:color w:val="000000" w:themeColor="text1"/>
          <w:lang w:val="en-US"/>
        </w:rPr>
        <w:t xml:space="preserve">s a continuation of the previous Support Facility to the Indonesia Peat Restoration Agency (BRG). </w:t>
      </w:r>
      <w:r>
        <w:rPr>
          <w:rFonts w:cs="Calibri,Bold"/>
          <w:bCs/>
          <w:color w:val="000000" w:themeColor="text1"/>
          <w:lang w:val="en-US"/>
        </w:rPr>
        <w:t xml:space="preserve">The </w:t>
      </w:r>
      <w:r w:rsidRPr="00F26811">
        <w:rPr>
          <w:rFonts w:cs="Calibri,Bold"/>
          <w:bCs/>
          <w:color w:val="000000" w:themeColor="text1"/>
          <w:lang w:val="en-US"/>
        </w:rPr>
        <w:t>project aim</w:t>
      </w:r>
      <w:r>
        <w:rPr>
          <w:rFonts w:cs="Calibri,Bold"/>
          <w:bCs/>
          <w:color w:val="000000" w:themeColor="text1"/>
          <w:lang w:val="en-US"/>
        </w:rPr>
        <w:t>ed</w:t>
      </w:r>
      <w:r w:rsidRPr="00F26811">
        <w:rPr>
          <w:rFonts w:cs="Calibri,Bold"/>
          <w:bCs/>
          <w:color w:val="000000" w:themeColor="text1"/>
          <w:lang w:val="en-US"/>
        </w:rPr>
        <w:t xml:space="preserve"> to improve BRG’s institutional capacity through the provision of short-term administrative, logistical, and technical support.</w:t>
      </w:r>
      <w:r w:rsidR="00D05FB3">
        <w:rPr>
          <w:rFonts w:cs="Calibri,Bold"/>
          <w:bCs/>
          <w:color w:val="000000" w:themeColor="text1"/>
          <w:lang w:val="en-US"/>
        </w:rPr>
        <w:t xml:space="preserve"> </w:t>
      </w:r>
    </w:p>
    <w:p w14:paraId="56F89E70" w14:textId="5713D9D0" w:rsidR="00F26811" w:rsidRDefault="00F26811" w:rsidP="00F26811">
      <w:pPr>
        <w:spacing w:after="160" w:line="259" w:lineRule="auto"/>
        <w:rPr>
          <w:rFonts w:cs="Calibri,Bold"/>
          <w:bCs/>
          <w:color w:val="000000" w:themeColor="text1"/>
          <w:lang w:val="en-US"/>
        </w:rPr>
      </w:pPr>
      <w:r w:rsidRPr="00F26811">
        <w:rPr>
          <w:rFonts w:cs="Calibri,Bold"/>
          <w:bCs/>
          <w:color w:val="000000" w:themeColor="text1"/>
          <w:lang w:val="en-US"/>
        </w:rPr>
        <w:t>The UNDP Support Facility</w:t>
      </w:r>
      <w:r>
        <w:rPr>
          <w:rFonts w:cs="Calibri,Bold"/>
          <w:bCs/>
          <w:color w:val="000000" w:themeColor="text1"/>
          <w:lang w:val="en-US"/>
        </w:rPr>
        <w:t>,</w:t>
      </w:r>
      <w:r w:rsidRPr="00F26811">
        <w:rPr>
          <w:rFonts w:cs="Calibri,Bold"/>
          <w:bCs/>
          <w:color w:val="000000" w:themeColor="text1"/>
          <w:lang w:val="en-US"/>
        </w:rPr>
        <w:t xml:space="preserve"> implemented from 2016 to 201</w:t>
      </w:r>
      <w:r>
        <w:rPr>
          <w:rFonts w:cs="Calibri,Bold"/>
          <w:bCs/>
          <w:color w:val="000000" w:themeColor="text1"/>
          <w:lang w:val="en-US"/>
        </w:rPr>
        <w:t>8</w:t>
      </w:r>
      <w:r w:rsidRPr="00F26811">
        <w:rPr>
          <w:rFonts w:cs="Calibri,Bold"/>
          <w:bCs/>
          <w:color w:val="000000" w:themeColor="text1"/>
          <w:lang w:val="en-US"/>
        </w:rPr>
        <w:t>, was tasked with developing BRG’s institutional readiness to coordinate the restoration of 2.6 million hectares of damaged peatland in Riau, Jambi, South Sumatera, West Kalimantan, Central Kalimantan, South Kalimantan</w:t>
      </w:r>
      <w:r w:rsidR="0061284B">
        <w:rPr>
          <w:rFonts w:cs="Calibri,Bold"/>
          <w:bCs/>
          <w:color w:val="000000" w:themeColor="text1"/>
          <w:lang w:val="en-US"/>
        </w:rPr>
        <w:t>,</w:t>
      </w:r>
      <w:r w:rsidRPr="00F26811">
        <w:rPr>
          <w:rFonts w:cs="Calibri,Bold"/>
          <w:bCs/>
          <w:color w:val="000000" w:themeColor="text1"/>
          <w:lang w:val="en-US"/>
        </w:rPr>
        <w:t xml:space="preserve"> and Papua</w:t>
      </w:r>
      <w:r w:rsidR="00016206">
        <w:rPr>
          <w:rFonts w:cs="Calibri,Bold"/>
          <w:bCs/>
          <w:color w:val="000000" w:themeColor="text1"/>
          <w:lang w:val="en-US"/>
        </w:rPr>
        <w:t xml:space="preserve"> provinces</w:t>
      </w:r>
      <w:r w:rsidRPr="00F26811">
        <w:rPr>
          <w:rFonts w:cs="Calibri,Bold"/>
          <w:bCs/>
          <w:color w:val="000000" w:themeColor="text1"/>
          <w:lang w:val="en-US"/>
        </w:rPr>
        <w:t>. In addition to this, the Support Facility supported the development of the organizational structure, peatland mapping, and strategic planning, making BRG eligible to receive funding from the state budget.</w:t>
      </w:r>
      <w:r w:rsidR="00D05FB3">
        <w:rPr>
          <w:rFonts w:cs="Calibri,Bold"/>
          <w:bCs/>
          <w:color w:val="000000" w:themeColor="text1"/>
          <w:lang w:val="en-US"/>
        </w:rPr>
        <w:t xml:space="preserve">  </w:t>
      </w:r>
    </w:p>
    <w:p w14:paraId="02CE4DDD" w14:textId="1C62A8CD" w:rsidR="006E4183" w:rsidRPr="002E62A6" w:rsidRDefault="006E4183" w:rsidP="00F26811">
      <w:pPr>
        <w:spacing w:after="160" w:line="259" w:lineRule="auto"/>
        <w:rPr>
          <w:rFonts w:cs="Calibri,Bold"/>
          <w:bCs/>
          <w:color w:val="000000" w:themeColor="text1"/>
          <w:lang w:val="en-ID"/>
        </w:rPr>
      </w:pPr>
      <w:r>
        <w:rPr>
          <w:rFonts w:cs="Calibri,Bold"/>
          <w:bCs/>
          <w:color w:val="000000" w:themeColor="text1"/>
          <w:lang w:val="en-US"/>
        </w:rPr>
        <w:t>The report evaluates the achievements, outcomes</w:t>
      </w:r>
      <w:r w:rsidR="00016206">
        <w:rPr>
          <w:rFonts w:cs="Calibri,Bold"/>
          <w:bCs/>
          <w:color w:val="000000" w:themeColor="text1"/>
          <w:lang w:val="en-US"/>
        </w:rPr>
        <w:t>,</w:t>
      </w:r>
      <w:r>
        <w:rPr>
          <w:rFonts w:cs="Calibri,Bold"/>
          <w:bCs/>
          <w:color w:val="000000" w:themeColor="text1"/>
          <w:lang w:val="en-US"/>
        </w:rPr>
        <w:t xml:space="preserve"> and lessons learned through UNDPs support to BRG. A team of two evaluation experts met with key stakeholders at the </w:t>
      </w:r>
      <w:r w:rsidR="0061284B">
        <w:rPr>
          <w:rFonts w:cs="Calibri,Bold"/>
          <w:bCs/>
          <w:color w:val="000000" w:themeColor="text1"/>
          <w:lang w:val="en-US"/>
        </w:rPr>
        <w:t>n</w:t>
      </w:r>
      <w:r>
        <w:rPr>
          <w:rFonts w:cs="Calibri,Bold"/>
          <w:bCs/>
          <w:color w:val="000000" w:themeColor="text1"/>
          <w:lang w:val="en-US"/>
        </w:rPr>
        <w:t xml:space="preserve">ational and </w:t>
      </w:r>
      <w:r w:rsidR="0061284B">
        <w:rPr>
          <w:rFonts w:cs="Calibri,Bold"/>
          <w:bCs/>
          <w:color w:val="000000" w:themeColor="text1"/>
          <w:lang w:val="en-US"/>
        </w:rPr>
        <w:t>p</w:t>
      </w:r>
      <w:r>
        <w:rPr>
          <w:rFonts w:cs="Calibri,Bold"/>
          <w:bCs/>
          <w:color w:val="000000" w:themeColor="text1"/>
          <w:lang w:val="en-US"/>
        </w:rPr>
        <w:t xml:space="preserve">rovincial levels of government and a range of NGO partners </w:t>
      </w:r>
      <w:r w:rsidR="00016206">
        <w:rPr>
          <w:rFonts w:cs="Calibri,Bold"/>
          <w:bCs/>
          <w:color w:val="000000" w:themeColor="text1"/>
          <w:lang w:val="en-US"/>
        </w:rPr>
        <w:t xml:space="preserve">who </w:t>
      </w:r>
      <w:r>
        <w:rPr>
          <w:rFonts w:cs="Calibri,Bold"/>
          <w:bCs/>
          <w:color w:val="000000" w:themeColor="text1"/>
          <w:lang w:val="en-US"/>
        </w:rPr>
        <w:t xml:space="preserve">demonstrated alternative peatland livelihood systems. The </w:t>
      </w:r>
      <w:r w:rsidRPr="007D4907">
        <w:rPr>
          <w:rFonts w:asciiTheme="minorHAnsi" w:hAnsiTheme="minorHAnsi" w:cstheme="minorHAnsi"/>
        </w:rPr>
        <w:t xml:space="preserve">evaluation </w:t>
      </w:r>
      <w:r>
        <w:rPr>
          <w:rFonts w:asciiTheme="minorHAnsi" w:hAnsiTheme="minorHAnsi" w:cstheme="minorHAnsi"/>
          <w:lang w:val="en-ID"/>
        </w:rPr>
        <w:t>approach</w:t>
      </w:r>
      <w:r w:rsidR="0061284B">
        <w:rPr>
          <w:rFonts w:asciiTheme="minorHAnsi" w:hAnsiTheme="minorHAnsi" w:cstheme="minorHAnsi"/>
          <w:lang w:val="en-ID"/>
        </w:rPr>
        <w:t xml:space="preserve"> </w:t>
      </w:r>
      <w:r w:rsidR="00016206">
        <w:rPr>
          <w:rFonts w:asciiTheme="minorHAnsi" w:hAnsiTheme="minorHAnsi" w:cstheme="minorHAnsi"/>
          <w:lang w:val="en-ID"/>
        </w:rPr>
        <w:t xml:space="preserve">that was </w:t>
      </w:r>
      <w:r w:rsidR="0061284B">
        <w:rPr>
          <w:rFonts w:asciiTheme="minorHAnsi" w:hAnsiTheme="minorHAnsi" w:cstheme="minorHAnsi"/>
          <w:lang w:val="en-ID"/>
        </w:rPr>
        <w:t>implemented</w:t>
      </w:r>
      <w:r>
        <w:rPr>
          <w:rFonts w:asciiTheme="minorHAnsi" w:hAnsiTheme="minorHAnsi" w:cstheme="minorHAnsi"/>
          <w:lang w:val="en-ID"/>
        </w:rPr>
        <w:t xml:space="preserve"> </w:t>
      </w:r>
      <w:r w:rsidR="0061284B">
        <w:rPr>
          <w:rFonts w:asciiTheme="minorHAnsi" w:hAnsiTheme="minorHAnsi" w:cstheme="minorHAnsi"/>
          <w:lang w:val="en-ID"/>
        </w:rPr>
        <w:t xml:space="preserve">is </w:t>
      </w:r>
      <w:r>
        <w:rPr>
          <w:rFonts w:asciiTheme="minorHAnsi" w:hAnsiTheme="minorHAnsi" w:cstheme="minorHAnsi"/>
          <w:lang w:val="en-ID"/>
        </w:rPr>
        <w:t xml:space="preserve">in line with </w:t>
      </w:r>
      <w:r w:rsidRPr="007D4907">
        <w:rPr>
          <w:rFonts w:asciiTheme="minorHAnsi" w:hAnsiTheme="minorHAnsi" w:cstheme="minorHAnsi"/>
        </w:rPr>
        <w:t xml:space="preserve">the United Nations system of evaluation </w:t>
      </w:r>
      <w:r w:rsidR="0061284B">
        <w:rPr>
          <w:rFonts w:asciiTheme="minorHAnsi" w:hAnsiTheme="minorHAnsi" w:cstheme="minorHAnsi"/>
        </w:rPr>
        <w:t>procedures</w:t>
      </w:r>
      <w:r w:rsidR="0061284B" w:rsidRPr="007D4907">
        <w:rPr>
          <w:rFonts w:asciiTheme="minorHAnsi" w:hAnsiTheme="minorHAnsi" w:cstheme="minorHAnsi"/>
        </w:rPr>
        <w:t xml:space="preserve"> </w:t>
      </w:r>
      <w:r w:rsidRPr="007D4907">
        <w:rPr>
          <w:rFonts w:asciiTheme="minorHAnsi" w:hAnsiTheme="minorHAnsi" w:cstheme="minorHAnsi"/>
        </w:rPr>
        <w:t>and standards</w:t>
      </w:r>
      <w:r>
        <w:rPr>
          <w:rFonts w:asciiTheme="minorHAnsi" w:hAnsiTheme="minorHAnsi" w:cstheme="minorHAnsi"/>
          <w:lang w:val="en-ID"/>
        </w:rPr>
        <w:t>,</w:t>
      </w:r>
      <w:r w:rsidRPr="007D4907">
        <w:rPr>
          <w:rFonts w:asciiTheme="minorHAnsi" w:hAnsiTheme="minorHAnsi" w:cstheme="minorHAnsi"/>
        </w:rPr>
        <w:t xml:space="preserve"> as well as the OECD/DAC Evaluation Quality Standards</w:t>
      </w:r>
      <w:r w:rsidR="0061284B">
        <w:rPr>
          <w:rFonts w:asciiTheme="minorHAnsi" w:hAnsiTheme="minorHAnsi" w:cstheme="minorHAnsi"/>
        </w:rPr>
        <w:t>.</w:t>
      </w:r>
      <w:r w:rsidR="00D05FB3">
        <w:rPr>
          <w:rStyle w:val="SubtleEmphasis"/>
          <w:rFonts w:asciiTheme="minorHAnsi" w:hAnsiTheme="minorHAnsi" w:cstheme="minorHAnsi"/>
          <w:i w:val="0"/>
          <w:color w:val="000000" w:themeColor="text1"/>
        </w:rPr>
        <w:t xml:space="preserve"> </w:t>
      </w:r>
    </w:p>
    <w:p w14:paraId="0A9868E1" w14:textId="43FB98CC" w:rsidR="00F9260B" w:rsidRDefault="006E4183" w:rsidP="00F26811">
      <w:pPr>
        <w:spacing w:after="160" w:line="259" w:lineRule="auto"/>
        <w:rPr>
          <w:rFonts w:cs="Calibri,Bold"/>
          <w:bCs/>
          <w:color w:val="000000" w:themeColor="text1"/>
          <w:lang w:val="en-US"/>
        </w:rPr>
      </w:pPr>
      <w:r>
        <w:rPr>
          <w:rFonts w:cs="Calibri,Bold"/>
          <w:bCs/>
          <w:color w:val="000000" w:themeColor="text1"/>
          <w:lang w:val="en-US"/>
        </w:rPr>
        <w:t>Over the two years</w:t>
      </w:r>
      <w:r w:rsidR="00F9260B">
        <w:rPr>
          <w:rFonts w:cs="Calibri,Bold"/>
          <w:bCs/>
          <w:color w:val="000000" w:themeColor="text1"/>
          <w:lang w:val="en-US"/>
        </w:rPr>
        <w:t>,</w:t>
      </w:r>
      <w:r>
        <w:rPr>
          <w:rFonts w:cs="Calibri,Bold"/>
          <w:bCs/>
          <w:color w:val="000000" w:themeColor="text1"/>
          <w:lang w:val="en-US"/>
        </w:rPr>
        <w:t xml:space="preserve"> UNDP provided support </w:t>
      </w:r>
      <w:r w:rsidR="0061284B">
        <w:rPr>
          <w:rFonts w:cs="Calibri,Bold"/>
          <w:bCs/>
          <w:color w:val="000000" w:themeColor="text1"/>
          <w:lang w:val="en-US"/>
        </w:rPr>
        <w:t xml:space="preserve">to </w:t>
      </w:r>
      <w:r>
        <w:rPr>
          <w:rFonts w:cs="Calibri,Bold"/>
          <w:bCs/>
          <w:color w:val="000000" w:themeColor="text1"/>
          <w:lang w:val="en-US"/>
        </w:rPr>
        <w:t>BRG</w:t>
      </w:r>
      <w:r w:rsidR="00016206">
        <w:rPr>
          <w:rFonts w:cs="Calibri,Bold"/>
          <w:bCs/>
          <w:color w:val="000000" w:themeColor="text1"/>
          <w:lang w:val="en-US"/>
        </w:rPr>
        <w:t>, which</w:t>
      </w:r>
      <w:r>
        <w:rPr>
          <w:rFonts w:cs="Calibri,Bold"/>
          <w:bCs/>
          <w:color w:val="000000" w:themeColor="text1"/>
          <w:lang w:val="en-US"/>
        </w:rPr>
        <w:t xml:space="preserve"> was able to grow from an initial organization of six staff to a fully functioning agency capable of managing a significant GOI budget in line with government procedures. UNDP support has enable</w:t>
      </w:r>
      <w:r w:rsidR="0061284B">
        <w:rPr>
          <w:rFonts w:cs="Calibri,Bold"/>
          <w:bCs/>
          <w:color w:val="000000" w:themeColor="text1"/>
          <w:lang w:val="en-US"/>
        </w:rPr>
        <w:t>d BRG</w:t>
      </w:r>
      <w:r>
        <w:rPr>
          <w:rFonts w:cs="Calibri,Bold"/>
          <w:bCs/>
          <w:color w:val="000000" w:themeColor="text1"/>
          <w:lang w:val="en-US"/>
        </w:rPr>
        <w:t xml:space="preserve"> to effectively implement its Action Plan (Renaksi) and achieve credible outcomes in the short time. </w:t>
      </w:r>
    </w:p>
    <w:p w14:paraId="659B87E1" w14:textId="3B199CED" w:rsidR="00F9260B" w:rsidRPr="00613E3D" w:rsidRDefault="00F9260B" w:rsidP="00F9260B">
      <w:pPr>
        <w:autoSpaceDE w:val="0"/>
        <w:autoSpaceDN w:val="0"/>
        <w:adjustRightInd w:val="0"/>
        <w:spacing w:after="0" w:line="240" w:lineRule="auto"/>
        <w:jc w:val="both"/>
        <w:rPr>
          <w:rFonts w:asciiTheme="minorHAnsi" w:hAnsiTheme="minorHAnsi" w:cstheme="minorHAnsi"/>
          <w:lang w:val="en-ID"/>
        </w:rPr>
      </w:pPr>
      <w:r w:rsidRPr="00783169">
        <w:rPr>
          <w:rFonts w:asciiTheme="minorHAnsi" w:hAnsiTheme="minorHAnsi" w:cstheme="minorHAnsi"/>
        </w:rPr>
        <w:t>When BRG was established</w:t>
      </w:r>
      <w:r w:rsidR="00016206">
        <w:rPr>
          <w:rFonts w:asciiTheme="minorHAnsi" w:hAnsiTheme="minorHAnsi" w:cstheme="minorHAnsi"/>
          <w:lang w:val="en-US"/>
        </w:rPr>
        <w:t>,</w:t>
      </w:r>
      <w:r w:rsidRPr="00783169">
        <w:rPr>
          <w:rFonts w:asciiTheme="minorHAnsi" w:hAnsiTheme="minorHAnsi" w:cstheme="minorHAnsi"/>
        </w:rPr>
        <w:t xml:space="preserve"> it was tasked to restore more than two million hectares of damaged peatland. At the time</w:t>
      </w:r>
      <w:r>
        <w:rPr>
          <w:rFonts w:asciiTheme="minorHAnsi" w:hAnsiTheme="minorHAnsi" w:cstheme="minorHAnsi"/>
          <w:lang w:val="en-ID"/>
        </w:rPr>
        <w:t>,</w:t>
      </w:r>
      <w:r w:rsidRPr="00783169">
        <w:rPr>
          <w:rFonts w:asciiTheme="minorHAnsi" w:hAnsiTheme="minorHAnsi" w:cstheme="minorHAnsi"/>
        </w:rPr>
        <w:t xml:space="preserve"> the agency</w:t>
      </w:r>
      <w:r w:rsidR="00D05FB3">
        <w:rPr>
          <w:rFonts w:asciiTheme="minorHAnsi" w:hAnsiTheme="minorHAnsi" w:cstheme="minorHAnsi"/>
        </w:rPr>
        <w:t xml:space="preserve"> </w:t>
      </w:r>
      <w:r w:rsidRPr="00783169">
        <w:rPr>
          <w:rFonts w:asciiTheme="minorHAnsi" w:hAnsiTheme="minorHAnsi" w:cstheme="minorHAnsi"/>
        </w:rPr>
        <w:t xml:space="preserve">was only provided with one Head, one Secretary, and four Deputies. As a result of the limited staff, it was very difficult for BRG to </w:t>
      </w:r>
      <w:r>
        <w:rPr>
          <w:rFonts w:asciiTheme="minorHAnsi" w:hAnsiTheme="minorHAnsi" w:cstheme="minorHAnsi"/>
          <w:lang w:val="en-ID"/>
        </w:rPr>
        <w:t xml:space="preserve">operate </w:t>
      </w:r>
      <w:r w:rsidR="0061284B">
        <w:rPr>
          <w:rFonts w:asciiTheme="minorHAnsi" w:hAnsiTheme="minorHAnsi" w:cstheme="minorHAnsi"/>
          <w:lang w:val="en-ID"/>
        </w:rPr>
        <w:t xml:space="preserve">using </w:t>
      </w:r>
      <w:r>
        <w:rPr>
          <w:rFonts w:asciiTheme="minorHAnsi" w:hAnsiTheme="minorHAnsi" w:cstheme="minorHAnsi"/>
          <w:lang w:val="en-ID"/>
        </w:rPr>
        <w:t>GOI budget</w:t>
      </w:r>
      <w:r w:rsidR="00016206">
        <w:rPr>
          <w:rFonts w:asciiTheme="minorHAnsi" w:hAnsiTheme="minorHAnsi" w:cstheme="minorHAnsi"/>
          <w:lang w:val="en-ID"/>
        </w:rPr>
        <w:t xml:space="preserve">, </w:t>
      </w:r>
      <w:r w:rsidR="002763ED">
        <w:rPr>
          <w:rFonts w:asciiTheme="minorHAnsi" w:hAnsiTheme="minorHAnsi" w:cstheme="minorHAnsi"/>
          <w:lang w:val="en-ID"/>
        </w:rPr>
        <w:t>as the budget</w:t>
      </w:r>
      <w:r>
        <w:rPr>
          <w:rFonts w:asciiTheme="minorHAnsi" w:hAnsiTheme="minorHAnsi" w:cstheme="minorHAnsi"/>
          <w:lang w:val="en-ID"/>
        </w:rPr>
        <w:t xml:space="preserve"> had not yet been mobilised.</w:t>
      </w:r>
      <w:r w:rsidR="00D05FB3">
        <w:rPr>
          <w:rFonts w:asciiTheme="minorHAnsi" w:hAnsiTheme="minorHAnsi" w:cstheme="minorHAnsi"/>
          <w:lang w:val="en-ID"/>
        </w:rPr>
        <w:t xml:space="preserve"> </w:t>
      </w:r>
      <w:r w:rsidRPr="00783169">
        <w:rPr>
          <w:rFonts w:asciiTheme="minorHAnsi" w:hAnsiTheme="minorHAnsi" w:cstheme="minorHAnsi"/>
        </w:rPr>
        <w:t xml:space="preserve">In this situation, UNDP, funded by the Government of Norway, played a significant role in helping the agency survive, become institutionally ready, and able to </w:t>
      </w:r>
      <w:r w:rsidR="00D05FB3">
        <w:rPr>
          <w:rFonts w:asciiTheme="minorHAnsi" w:hAnsiTheme="minorHAnsi" w:cstheme="minorHAnsi"/>
          <w:lang w:val="en-US"/>
        </w:rPr>
        <w:t>fulfill</w:t>
      </w:r>
      <w:r w:rsidRPr="00783169">
        <w:rPr>
          <w:rFonts w:asciiTheme="minorHAnsi" w:hAnsiTheme="minorHAnsi" w:cstheme="minorHAnsi"/>
        </w:rPr>
        <w:t xml:space="preserve"> its targets.</w:t>
      </w:r>
      <w:r w:rsidRPr="00D05FB3">
        <w:rPr>
          <w:rFonts w:asciiTheme="minorHAnsi" w:hAnsiTheme="minorHAnsi" w:cstheme="minorHAnsi"/>
        </w:rPr>
        <w:t xml:space="preserve"> UNDP </w:t>
      </w:r>
      <w:r w:rsidRPr="00783169">
        <w:rPr>
          <w:rFonts w:asciiTheme="minorHAnsi" w:hAnsiTheme="minorHAnsi" w:cstheme="minorHAnsi"/>
        </w:rPr>
        <w:t xml:space="preserve">has provided fundamental support to BRG </w:t>
      </w:r>
      <w:r>
        <w:rPr>
          <w:rFonts w:asciiTheme="minorHAnsi" w:hAnsiTheme="minorHAnsi" w:cstheme="minorHAnsi"/>
          <w:lang w:val="en-ID"/>
        </w:rPr>
        <w:t>to enable the agency to evolve and perform its mandate.</w:t>
      </w:r>
      <w:r w:rsidR="00D05FB3">
        <w:rPr>
          <w:rFonts w:asciiTheme="minorHAnsi" w:hAnsiTheme="minorHAnsi" w:cstheme="minorHAnsi"/>
          <w:lang w:val="en-ID"/>
        </w:rPr>
        <w:t xml:space="preserve"> </w:t>
      </w:r>
    </w:p>
    <w:p w14:paraId="505EF2F5" w14:textId="77777777" w:rsidR="00F9260B" w:rsidRDefault="00F9260B" w:rsidP="00F26811">
      <w:pPr>
        <w:spacing w:after="160" w:line="259" w:lineRule="auto"/>
        <w:rPr>
          <w:rFonts w:cs="Calibri,Bold"/>
          <w:bCs/>
          <w:color w:val="000000" w:themeColor="text1"/>
          <w:lang w:val="en-US"/>
        </w:rPr>
      </w:pPr>
    </w:p>
    <w:p w14:paraId="0C4C0CB6" w14:textId="3623AAE5" w:rsidR="006E4183" w:rsidRDefault="006E4183" w:rsidP="00F26811">
      <w:pPr>
        <w:spacing w:after="160" w:line="259" w:lineRule="auto"/>
        <w:rPr>
          <w:rFonts w:cs="Calibri,Bold"/>
          <w:bCs/>
          <w:color w:val="000000" w:themeColor="text1"/>
          <w:lang w:val="en-US"/>
        </w:rPr>
      </w:pPr>
      <w:r>
        <w:rPr>
          <w:rFonts w:cs="Calibri,Bold"/>
          <w:bCs/>
          <w:color w:val="000000" w:themeColor="text1"/>
          <w:lang w:val="en-US"/>
        </w:rPr>
        <w:t>Key achievements</w:t>
      </w:r>
      <w:r w:rsidR="00D05FB3">
        <w:rPr>
          <w:rFonts w:cs="Calibri,Bold"/>
          <w:bCs/>
          <w:color w:val="000000" w:themeColor="text1"/>
          <w:lang w:val="en-US"/>
        </w:rPr>
        <w:t xml:space="preserve"> of BRG</w:t>
      </w:r>
      <w:r>
        <w:rPr>
          <w:rFonts w:cs="Calibri,Bold"/>
          <w:bCs/>
          <w:color w:val="000000" w:themeColor="text1"/>
          <w:lang w:val="en-US"/>
        </w:rPr>
        <w:t xml:space="preserve"> include the following:</w:t>
      </w:r>
    </w:p>
    <w:p w14:paraId="4FEFC891" w14:textId="22455149" w:rsidR="006E4183" w:rsidRPr="00C5645B" w:rsidRDefault="00D05FB3" w:rsidP="00C5645B">
      <w:pPr>
        <w:pStyle w:val="ListParagraph"/>
        <w:numPr>
          <w:ilvl w:val="0"/>
          <w:numId w:val="19"/>
        </w:numPr>
        <w:spacing w:after="160" w:line="259" w:lineRule="auto"/>
        <w:rPr>
          <w:rFonts w:asciiTheme="minorHAnsi" w:hAnsiTheme="minorHAnsi" w:cstheme="minorHAnsi"/>
          <w:color w:val="000000" w:themeColor="text1"/>
          <w:lang w:eastAsia="en-GB"/>
        </w:rPr>
      </w:pPr>
      <w:r>
        <w:rPr>
          <w:rFonts w:asciiTheme="minorHAnsi" w:hAnsiTheme="minorHAnsi" w:cstheme="minorHAnsi"/>
          <w:color w:val="000000" w:themeColor="text1"/>
          <w:lang w:val="en-US" w:eastAsia="en-GB"/>
        </w:rPr>
        <w:t>Developed p</w:t>
      </w:r>
      <w:r w:rsidRPr="00C5645B">
        <w:rPr>
          <w:rFonts w:asciiTheme="minorHAnsi" w:hAnsiTheme="minorHAnsi" w:cstheme="minorHAnsi"/>
          <w:color w:val="000000" w:themeColor="text1"/>
          <w:lang w:eastAsia="en-GB"/>
        </w:rPr>
        <w:t xml:space="preserve">eat </w:t>
      </w:r>
      <w:r w:rsidR="006E4183" w:rsidRPr="00C5645B">
        <w:rPr>
          <w:rFonts w:asciiTheme="minorHAnsi" w:hAnsiTheme="minorHAnsi" w:cstheme="minorHAnsi"/>
          <w:color w:val="000000" w:themeColor="text1"/>
          <w:lang w:eastAsia="en-GB"/>
        </w:rPr>
        <w:t>ecosystem restoration plans (Rencana Restorasi Ekosistem Gambut – RREG)</w:t>
      </w:r>
      <w:r>
        <w:rPr>
          <w:rFonts w:asciiTheme="minorHAnsi" w:hAnsiTheme="minorHAnsi" w:cstheme="minorHAnsi"/>
          <w:color w:val="000000" w:themeColor="text1"/>
          <w:lang w:val="en-US" w:eastAsia="en-GB"/>
        </w:rPr>
        <w:t xml:space="preserve"> that </w:t>
      </w:r>
      <w:r w:rsidR="006E4183" w:rsidRPr="00C5645B">
        <w:rPr>
          <w:rFonts w:asciiTheme="minorHAnsi" w:hAnsiTheme="minorHAnsi" w:cstheme="minorHAnsi"/>
          <w:color w:val="000000" w:themeColor="text1"/>
          <w:lang w:eastAsia="en-GB"/>
        </w:rPr>
        <w:t>explain</w:t>
      </w:r>
      <w:r w:rsidR="006E4183" w:rsidRPr="00C5645B">
        <w:rPr>
          <w:rFonts w:asciiTheme="minorHAnsi" w:hAnsiTheme="minorHAnsi" w:cstheme="minorHAnsi"/>
          <w:color w:val="000000" w:themeColor="text1"/>
          <w:lang w:val="en-ID" w:eastAsia="en-GB"/>
        </w:rPr>
        <w:t>ed</w:t>
      </w:r>
      <w:r w:rsidR="006E4183" w:rsidRPr="00C5645B">
        <w:rPr>
          <w:rFonts w:asciiTheme="minorHAnsi" w:hAnsiTheme="minorHAnsi" w:cstheme="minorHAnsi"/>
          <w:color w:val="000000" w:themeColor="text1"/>
          <w:lang w:eastAsia="en-GB"/>
        </w:rPr>
        <w:t xml:space="preserve"> the specific location of peat hydrological units (Kesatuan Hidrologi Gambut – KHG) in all seven targeted provinces, describing their condition and function, </w:t>
      </w:r>
      <w:r>
        <w:rPr>
          <w:rFonts w:asciiTheme="minorHAnsi" w:hAnsiTheme="minorHAnsi" w:cstheme="minorHAnsi"/>
          <w:color w:val="000000" w:themeColor="text1"/>
          <w:lang w:val="en-US" w:eastAsia="en-GB"/>
        </w:rPr>
        <w:t>as well as</w:t>
      </w:r>
      <w:r w:rsidRPr="00C5645B">
        <w:rPr>
          <w:rFonts w:asciiTheme="minorHAnsi" w:hAnsiTheme="minorHAnsi" w:cstheme="minorHAnsi"/>
          <w:color w:val="000000" w:themeColor="text1"/>
          <w:lang w:eastAsia="en-GB"/>
        </w:rPr>
        <w:t xml:space="preserve"> </w:t>
      </w:r>
      <w:r w:rsidR="006E4183" w:rsidRPr="00C5645B">
        <w:rPr>
          <w:rFonts w:asciiTheme="minorHAnsi" w:hAnsiTheme="minorHAnsi" w:cstheme="minorHAnsi"/>
          <w:color w:val="000000" w:themeColor="text1"/>
          <w:lang w:eastAsia="en-GB"/>
        </w:rPr>
        <w:t>detailing any intervention to be undertaken to restore these KHGs;</w:t>
      </w:r>
    </w:p>
    <w:p w14:paraId="5A4B1BBF" w14:textId="584C2214" w:rsidR="006E4183" w:rsidRPr="00C5645B" w:rsidRDefault="00726BEA" w:rsidP="00C5645B">
      <w:pPr>
        <w:pStyle w:val="ListParagraph"/>
        <w:numPr>
          <w:ilvl w:val="0"/>
          <w:numId w:val="19"/>
        </w:numPr>
        <w:spacing w:after="160" w:line="259" w:lineRule="auto"/>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 xml:space="preserve">In </w:t>
      </w:r>
      <w:r w:rsidR="006025FC">
        <w:rPr>
          <w:rFonts w:asciiTheme="minorHAnsi" w:hAnsiTheme="minorHAnsi" w:cstheme="minorHAnsi"/>
          <w:color w:val="000000" w:themeColor="text1"/>
          <w:lang w:eastAsia="en-GB"/>
        </w:rPr>
        <w:t>cooperation</w:t>
      </w:r>
      <w:r>
        <w:rPr>
          <w:rFonts w:asciiTheme="minorHAnsi" w:hAnsiTheme="minorHAnsi" w:cstheme="minorHAnsi"/>
          <w:color w:val="000000" w:themeColor="text1"/>
          <w:lang w:eastAsia="en-GB"/>
        </w:rPr>
        <w:t xml:space="preserve"> with the Ministry of Environment and Forestry, t</w:t>
      </w:r>
      <w:r w:rsidR="006E4183" w:rsidRPr="00C5645B">
        <w:rPr>
          <w:rFonts w:asciiTheme="minorHAnsi" w:hAnsiTheme="minorHAnsi" w:cstheme="minorHAnsi"/>
          <w:color w:val="000000" w:themeColor="text1"/>
          <w:lang w:eastAsia="en-GB"/>
        </w:rPr>
        <w:t xml:space="preserve">he </w:t>
      </w:r>
      <w:r w:rsidR="006E4183" w:rsidRPr="00C5645B">
        <w:rPr>
          <w:rFonts w:asciiTheme="minorHAnsi" w:hAnsiTheme="minorHAnsi" w:cstheme="minorHAnsi"/>
          <w:color w:val="000000" w:themeColor="text1"/>
          <w:lang w:val="en-ID" w:eastAsia="en-GB"/>
        </w:rPr>
        <w:t>G</w:t>
      </w:r>
      <w:r w:rsidR="006E4183" w:rsidRPr="00C5645B">
        <w:rPr>
          <w:rFonts w:asciiTheme="minorHAnsi" w:hAnsiTheme="minorHAnsi" w:cstheme="minorHAnsi"/>
          <w:color w:val="000000" w:themeColor="text1"/>
          <w:lang w:eastAsia="en-GB"/>
        </w:rPr>
        <w:t xml:space="preserve">overnment </w:t>
      </w:r>
      <w:r w:rsidR="006E4183" w:rsidRPr="00C5645B">
        <w:rPr>
          <w:rFonts w:asciiTheme="minorHAnsi" w:hAnsiTheme="minorHAnsi" w:cstheme="minorHAnsi"/>
          <w:color w:val="000000" w:themeColor="text1"/>
          <w:lang w:val="en-ID" w:eastAsia="en-GB"/>
        </w:rPr>
        <w:t>R</w:t>
      </w:r>
      <w:r w:rsidR="006E4183" w:rsidRPr="00C5645B">
        <w:rPr>
          <w:rFonts w:asciiTheme="minorHAnsi" w:hAnsiTheme="minorHAnsi" w:cstheme="minorHAnsi"/>
          <w:color w:val="000000" w:themeColor="text1"/>
          <w:lang w:eastAsia="en-GB"/>
        </w:rPr>
        <w:t xml:space="preserve">egulation </w:t>
      </w:r>
      <w:r w:rsidR="006E4183" w:rsidRPr="00C5645B">
        <w:rPr>
          <w:rFonts w:asciiTheme="minorHAnsi" w:hAnsiTheme="minorHAnsi" w:cstheme="minorHAnsi"/>
          <w:color w:val="000000" w:themeColor="text1"/>
          <w:lang w:val="en-ID" w:eastAsia="en-GB"/>
        </w:rPr>
        <w:t>N</w:t>
      </w:r>
      <w:r w:rsidR="006E4183" w:rsidRPr="00C5645B">
        <w:rPr>
          <w:rFonts w:asciiTheme="minorHAnsi" w:hAnsiTheme="minorHAnsi" w:cstheme="minorHAnsi"/>
          <w:color w:val="000000" w:themeColor="text1"/>
          <w:lang w:eastAsia="en-GB"/>
        </w:rPr>
        <w:t>o 71</w:t>
      </w:r>
      <w:r w:rsidR="006E4183" w:rsidRPr="00C5645B">
        <w:rPr>
          <w:rFonts w:asciiTheme="minorHAnsi" w:hAnsiTheme="minorHAnsi" w:cstheme="minorHAnsi"/>
          <w:color w:val="000000" w:themeColor="text1"/>
          <w:lang w:val="en-ID" w:eastAsia="en-GB"/>
        </w:rPr>
        <w:t>,</w:t>
      </w:r>
      <w:r w:rsidR="006E4183" w:rsidRPr="00C5645B">
        <w:rPr>
          <w:rFonts w:asciiTheme="minorHAnsi" w:hAnsiTheme="minorHAnsi" w:cstheme="minorHAnsi"/>
          <w:color w:val="000000" w:themeColor="text1"/>
          <w:lang w:eastAsia="en-GB"/>
        </w:rPr>
        <w:t xml:space="preserve"> Year 2014 </w:t>
      </w:r>
      <w:r w:rsidR="006E4183" w:rsidRPr="00C5645B">
        <w:rPr>
          <w:rFonts w:asciiTheme="minorHAnsi" w:hAnsiTheme="minorHAnsi" w:cstheme="minorHAnsi"/>
          <w:color w:val="000000" w:themeColor="text1"/>
          <w:lang w:val="en-ID" w:eastAsia="en-GB"/>
        </w:rPr>
        <w:t xml:space="preserve">was </w:t>
      </w:r>
      <w:r w:rsidR="006E4183" w:rsidRPr="00C5645B">
        <w:rPr>
          <w:rFonts w:asciiTheme="minorHAnsi" w:hAnsiTheme="minorHAnsi" w:cstheme="minorHAnsi"/>
          <w:color w:val="000000" w:themeColor="text1"/>
          <w:lang w:eastAsia="en-GB"/>
        </w:rPr>
        <w:t xml:space="preserve">revised </w:t>
      </w:r>
      <w:r w:rsidR="006E4183" w:rsidRPr="00C5645B">
        <w:rPr>
          <w:rFonts w:asciiTheme="minorHAnsi" w:hAnsiTheme="minorHAnsi" w:cstheme="minorHAnsi"/>
          <w:color w:val="000000" w:themeColor="text1"/>
          <w:lang w:val="en-ID" w:eastAsia="en-GB"/>
        </w:rPr>
        <w:t>to form</w:t>
      </w:r>
      <w:r w:rsidR="006E4183" w:rsidRPr="00C5645B">
        <w:rPr>
          <w:rFonts w:asciiTheme="minorHAnsi" w:hAnsiTheme="minorHAnsi" w:cstheme="minorHAnsi"/>
          <w:color w:val="000000" w:themeColor="text1"/>
          <w:lang w:eastAsia="en-GB"/>
        </w:rPr>
        <w:t xml:space="preserve"> </w:t>
      </w:r>
      <w:r w:rsidR="006E4183" w:rsidRPr="00C5645B">
        <w:rPr>
          <w:rFonts w:asciiTheme="minorHAnsi" w:hAnsiTheme="minorHAnsi" w:cstheme="minorHAnsi"/>
          <w:color w:val="000000" w:themeColor="text1"/>
          <w:lang w:val="en-ID" w:eastAsia="en-GB"/>
        </w:rPr>
        <w:t>G</w:t>
      </w:r>
      <w:r w:rsidR="006E4183" w:rsidRPr="00C5645B">
        <w:rPr>
          <w:rFonts w:asciiTheme="minorHAnsi" w:hAnsiTheme="minorHAnsi" w:cstheme="minorHAnsi"/>
          <w:color w:val="000000" w:themeColor="text1"/>
          <w:lang w:eastAsia="en-GB"/>
        </w:rPr>
        <w:t xml:space="preserve">overnment </w:t>
      </w:r>
      <w:r w:rsidR="006E4183" w:rsidRPr="00C5645B">
        <w:rPr>
          <w:rFonts w:asciiTheme="minorHAnsi" w:hAnsiTheme="minorHAnsi" w:cstheme="minorHAnsi"/>
          <w:color w:val="000000" w:themeColor="text1"/>
          <w:lang w:val="en-ID" w:eastAsia="en-GB"/>
        </w:rPr>
        <w:t>R</w:t>
      </w:r>
      <w:r w:rsidR="006E4183" w:rsidRPr="00C5645B">
        <w:rPr>
          <w:rFonts w:asciiTheme="minorHAnsi" w:hAnsiTheme="minorHAnsi" w:cstheme="minorHAnsi"/>
          <w:color w:val="000000" w:themeColor="text1"/>
          <w:lang w:eastAsia="en-GB"/>
        </w:rPr>
        <w:t xml:space="preserve">egulation </w:t>
      </w:r>
      <w:r w:rsidR="006E4183" w:rsidRPr="00C5645B">
        <w:rPr>
          <w:rFonts w:asciiTheme="minorHAnsi" w:hAnsiTheme="minorHAnsi" w:cstheme="minorHAnsi"/>
          <w:color w:val="000000" w:themeColor="text1"/>
          <w:lang w:val="en-ID" w:eastAsia="en-GB"/>
        </w:rPr>
        <w:t>N</w:t>
      </w:r>
      <w:r w:rsidR="006E4183" w:rsidRPr="00C5645B">
        <w:rPr>
          <w:rFonts w:asciiTheme="minorHAnsi" w:hAnsiTheme="minorHAnsi" w:cstheme="minorHAnsi"/>
          <w:color w:val="000000" w:themeColor="text1"/>
          <w:lang w:eastAsia="en-GB"/>
        </w:rPr>
        <w:t>o 57 Year 2016. The new regulation emphasizes</w:t>
      </w:r>
      <w:r w:rsidR="00D05FB3">
        <w:rPr>
          <w:rFonts w:asciiTheme="minorHAnsi" w:hAnsiTheme="minorHAnsi" w:cstheme="minorHAnsi"/>
          <w:color w:val="000000" w:themeColor="text1"/>
          <w:lang w:val="en-US" w:eastAsia="en-GB"/>
        </w:rPr>
        <w:t xml:space="preserve"> a</w:t>
      </w:r>
      <w:r w:rsidR="006E4183" w:rsidRPr="00C5645B">
        <w:rPr>
          <w:rFonts w:asciiTheme="minorHAnsi" w:hAnsiTheme="minorHAnsi" w:cstheme="minorHAnsi"/>
          <w:color w:val="000000" w:themeColor="text1"/>
          <w:lang w:eastAsia="en-GB"/>
        </w:rPr>
        <w:t xml:space="preserve"> moratorium of any land clearing in the peat lands until the </w:t>
      </w:r>
      <w:r w:rsidR="006E4183" w:rsidRPr="00C5645B">
        <w:rPr>
          <w:rFonts w:asciiTheme="minorHAnsi" w:hAnsiTheme="minorHAnsi" w:cstheme="minorHAnsi"/>
          <w:color w:val="000000" w:themeColor="text1"/>
          <w:lang w:eastAsia="en-GB"/>
        </w:rPr>
        <w:lastRenderedPageBreak/>
        <w:t>government stipulates protection and cultivation zone</w:t>
      </w:r>
      <w:r w:rsidR="006E4183" w:rsidRPr="00C5645B">
        <w:rPr>
          <w:rFonts w:asciiTheme="minorHAnsi" w:hAnsiTheme="minorHAnsi" w:cstheme="minorHAnsi"/>
          <w:color w:val="000000" w:themeColor="text1"/>
          <w:lang w:val="en-ID" w:eastAsia="en-GB"/>
        </w:rPr>
        <w:t>s</w:t>
      </w:r>
      <w:r w:rsidR="006E4183" w:rsidRPr="00C5645B">
        <w:rPr>
          <w:rFonts w:asciiTheme="minorHAnsi" w:hAnsiTheme="minorHAnsi" w:cstheme="minorHAnsi"/>
          <w:color w:val="000000" w:themeColor="text1"/>
          <w:lang w:eastAsia="en-GB"/>
        </w:rPr>
        <w:t xml:space="preserve"> in peat ecosystems for certain plants.</w:t>
      </w:r>
    </w:p>
    <w:p w14:paraId="170D22AC" w14:textId="3FE777E2" w:rsidR="002E62A6" w:rsidRPr="00C5645B" w:rsidRDefault="002E62A6" w:rsidP="00C5645B">
      <w:pPr>
        <w:pStyle w:val="ListParagraph"/>
        <w:numPr>
          <w:ilvl w:val="0"/>
          <w:numId w:val="19"/>
        </w:numPr>
        <w:spacing w:after="160" w:line="259" w:lineRule="auto"/>
        <w:rPr>
          <w:rFonts w:asciiTheme="minorHAnsi" w:hAnsiTheme="minorHAnsi" w:cstheme="minorHAnsi"/>
          <w:color w:val="000000" w:themeColor="text1"/>
          <w:lang w:val="en-ID"/>
        </w:rPr>
      </w:pPr>
      <w:r w:rsidRPr="00C5645B">
        <w:rPr>
          <w:rFonts w:asciiTheme="minorHAnsi" w:hAnsiTheme="minorHAnsi" w:cstheme="minorHAnsi"/>
          <w:color w:val="000000" w:themeColor="text1"/>
        </w:rPr>
        <w:t>Establish</w:t>
      </w:r>
      <w:r w:rsidRPr="00C5645B">
        <w:rPr>
          <w:rFonts w:asciiTheme="minorHAnsi" w:hAnsiTheme="minorHAnsi" w:cstheme="minorHAnsi"/>
          <w:color w:val="000000" w:themeColor="text1"/>
          <w:lang w:val="en-ID"/>
        </w:rPr>
        <w:t>ed</w:t>
      </w:r>
      <w:r w:rsidRPr="00C5645B">
        <w:rPr>
          <w:rFonts w:asciiTheme="minorHAnsi" w:hAnsiTheme="minorHAnsi" w:cstheme="minorHAnsi"/>
          <w:color w:val="000000" w:themeColor="text1"/>
        </w:rPr>
        <w:t xml:space="preserve"> </w:t>
      </w:r>
      <w:r w:rsidRPr="00C5645B">
        <w:rPr>
          <w:rFonts w:asciiTheme="minorHAnsi" w:hAnsiTheme="minorHAnsi" w:cstheme="minorHAnsi"/>
          <w:color w:val="000000" w:themeColor="text1"/>
          <w:lang w:val="en-ID"/>
        </w:rPr>
        <w:t>a</w:t>
      </w:r>
      <w:r w:rsidRPr="00C5645B">
        <w:rPr>
          <w:rFonts w:asciiTheme="minorHAnsi" w:hAnsiTheme="minorHAnsi" w:cstheme="minorHAnsi"/>
          <w:color w:val="000000" w:themeColor="text1"/>
        </w:rPr>
        <w:t xml:space="preserve"> Command Cent</w:t>
      </w:r>
      <w:r w:rsidR="00C1525C">
        <w:rPr>
          <w:rFonts w:asciiTheme="minorHAnsi" w:hAnsiTheme="minorHAnsi" w:cstheme="minorHAnsi"/>
          <w:color w:val="000000" w:themeColor="text1"/>
          <w:lang w:val="en-ID"/>
        </w:rPr>
        <w:t>re</w:t>
      </w:r>
      <w:r w:rsidRPr="00C5645B">
        <w:rPr>
          <w:rFonts w:asciiTheme="minorHAnsi" w:hAnsiTheme="minorHAnsi" w:cstheme="minorHAnsi"/>
          <w:color w:val="000000" w:themeColor="text1"/>
        </w:rPr>
        <w:t xml:space="preserve"> at the Directorate General (DG) of Law Enforcement at the Ministry of Environment and Forestry (KLHK) Office</w:t>
      </w:r>
      <w:r w:rsidRPr="00C5645B">
        <w:rPr>
          <w:rFonts w:asciiTheme="minorHAnsi" w:hAnsiTheme="minorHAnsi" w:cstheme="minorHAnsi"/>
          <w:color w:val="000000" w:themeColor="text1"/>
          <w:lang w:val="en-ID"/>
        </w:rPr>
        <w:t>. The Cent</w:t>
      </w:r>
      <w:r w:rsidR="00C1525C">
        <w:rPr>
          <w:rFonts w:asciiTheme="minorHAnsi" w:hAnsiTheme="minorHAnsi" w:cstheme="minorHAnsi"/>
          <w:color w:val="000000" w:themeColor="text1"/>
          <w:lang w:val="en-ID"/>
        </w:rPr>
        <w:t>re</w:t>
      </w:r>
      <w:r w:rsidRPr="00C5645B">
        <w:rPr>
          <w:rFonts w:asciiTheme="minorHAnsi" w:hAnsiTheme="minorHAnsi" w:cstheme="minorHAnsi"/>
          <w:color w:val="000000" w:themeColor="text1"/>
        </w:rPr>
        <w:t xml:space="preserve"> will become </w:t>
      </w:r>
      <w:r w:rsidRPr="00C5645B">
        <w:rPr>
          <w:rFonts w:asciiTheme="minorHAnsi" w:hAnsiTheme="minorHAnsi" w:cstheme="minorHAnsi"/>
          <w:color w:val="000000" w:themeColor="text1"/>
          <w:lang w:val="en-ID"/>
        </w:rPr>
        <w:t xml:space="preserve">the </w:t>
      </w:r>
      <w:r w:rsidRPr="00C5645B">
        <w:rPr>
          <w:rFonts w:asciiTheme="minorHAnsi" w:hAnsiTheme="minorHAnsi" w:cstheme="minorHAnsi"/>
          <w:color w:val="000000" w:themeColor="text1"/>
        </w:rPr>
        <w:t xml:space="preserve">main </w:t>
      </w:r>
      <w:r w:rsidRPr="00C5645B">
        <w:rPr>
          <w:rFonts w:asciiTheme="minorHAnsi" w:hAnsiTheme="minorHAnsi" w:cstheme="minorHAnsi"/>
          <w:color w:val="000000" w:themeColor="text1"/>
          <w:lang w:val="en-ID"/>
        </w:rPr>
        <w:t>entry point</w:t>
      </w:r>
      <w:r w:rsidR="00D05FB3">
        <w:rPr>
          <w:rFonts w:asciiTheme="minorHAnsi" w:hAnsiTheme="minorHAnsi" w:cstheme="minorHAnsi"/>
          <w:color w:val="000000" w:themeColor="text1"/>
          <w:lang w:val="en-ID"/>
        </w:rPr>
        <w:t xml:space="preserve"> </w:t>
      </w:r>
      <w:r w:rsidRPr="00C5645B">
        <w:rPr>
          <w:rFonts w:asciiTheme="minorHAnsi" w:hAnsiTheme="minorHAnsi" w:cstheme="minorHAnsi"/>
          <w:color w:val="000000" w:themeColor="text1"/>
        </w:rPr>
        <w:t>for coordination between BRG and KLHK</w:t>
      </w:r>
      <w:r w:rsidRPr="00C5645B">
        <w:rPr>
          <w:rFonts w:asciiTheme="minorHAnsi" w:hAnsiTheme="minorHAnsi" w:cstheme="minorHAnsi"/>
          <w:color w:val="000000" w:themeColor="text1"/>
          <w:lang w:val="en-ID"/>
        </w:rPr>
        <w:t xml:space="preserve"> and is now operational. SOPs for the Centre were developed and Inspectors will be trained in 2019 using KLKH APBN funding in 2019.</w:t>
      </w:r>
    </w:p>
    <w:p w14:paraId="32FCB3A1" w14:textId="1FB1CC72" w:rsidR="002E62A6" w:rsidRPr="00C5645B" w:rsidRDefault="002E62A6" w:rsidP="00C5645B">
      <w:pPr>
        <w:pStyle w:val="ListParagraph"/>
        <w:numPr>
          <w:ilvl w:val="0"/>
          <w:numId w:val="19"/>
        </w:numPr>
        <w:spacing w:after="160" w:line="259" w:lineRule="auto"/>
        <w:rPr>
          <w:rFonts w:asciiTheme="minorHAnsi" w:hAnsiTheme="minorHAnsi" w:cstheme="minorHAnsi"/>
          <w:color w:val="000000" w:themeColor="text1"/>
          <w:lang w:eastAsia="en-GB"/>
        </w:rPr>
      </w:pPr>
      <w:r w:rsidRPr="00C5645B">
        <w:rPr>
          <w:rFonts w:asciiTheme="minorHAnsi" w:hAnsiTheme="minorHAnsi" w:cstheme="minorHAnsi"/>
          <w:color w:val="000000" w:themeColor="text1"/>
          <w:lang w:eastAsia="en-GB"/>
        </w:rPr>
        <w:t>Five pilot activities involving national level universities (UGM and IPB), local universities (Universitas Riau and Universitas Palangkaraya), and CSOs (WALHI)</w:t>
      </w:r>
      <w:r w:rsidR="0061284B">
        <w:rPr>
          <w:rFonts w:asciiTheme="minorHAnsi" w:hAnsiTheme="minorHAnsi" w:cstheme="minorHAnsi"/>
          <w:color w:val="000000" w:themeColor="text1"/>
          <w:lang w:eastAsia="en-GB"/>
        </w:rPr>
        <w:t>.</w:t>
      </w:r>
    </w:p>
    <w:p w14:paraId="7B26232F" w14:textId="005EDE10" w:rsidR="002E62A6" w:rsidRPr="00C5645B" w:rsidRDefault="00726BEA" w:rsidP="00C5645B">
      <w:pPr>
        <w:pStyle w:val="ListParagraph"/>
        <w:numPr>
          <w:ilvl w:val="0"/>
          <w:numId w:val="19"/>
        </w:numPr>
        <w:spacing w:after="160" w:line="259" w:lineRule="auto"/>
        <w:rPr>
          <w:rFonts w:asciiTheme="minorHAnsi" w:hAnsiTheme="minorHAnsi" w:cstheme="minorHAnsi"/>
          <w:color w:val="000000" w:themeColor="text1"/>
          <w:lang w:val="en-ID"/>
        </w:rPr>
      </w:pPr>
      <w:r>
        <w:rPr>
          <w:rFonts w:asciiTheme="minorHAnsi" w:hAnsiTheme="minorHAnsi" w:cstheme="minorHAnsi"/>
          <w:color w:val="000000" w:themeColor="text1"/>
        </w:rPr>
        <w:t>Supported t</w:t>
      </w:r>
      <w:r w:rsidR="002E62A6" w:rsidRPr="00C5645B">
        <w:rPr>
          <w:rFonts w:asciiTheme="minorHAnsi" w:hAnsiTheme="minorHAnsi" w:cstheme="minorHAnsi"/>
          <w:color w:val="000000" w:themeColor="text1"/>
        </w:rPr>
        <w:t>he enactment of</w:t>
      </w:r>
      <w:r>
        <w:rPr>
          <w:rFonts w:asciiTheme="minorHAnsi" w:hAnsiTheme="minorHAnsi" w:cstheme="minorHAnsi"/>
          <w:color w:val="000000" w:themeColor="text1"/>
        </w:rPr>
        <w:t xml:space="preserve"> the</w:t>
      </w:r>
      <w:r w:rsidR="002E62A6" w:rsidRPr="00C5645B">
        <w:rPr>
          <w:rFonts w:asciiTheme="minorHAnsi" w:hAnsiTheme="minorHAnsi" w:cstheme="minorHAnsi"/>
          <w:color w:val="000000" w:themeColor="text1"/>
        </w:rPr>
        <w:t xml:space="preserve"> Ministry of Environment and Forestry Regulation </w:t>
      </w:r>
      <w:r w:rsidR="002E62A6" w:rsidRPr="00C5645B">
        <w:rPr>
          <w:rFonts w:asciiTheme="minorHAnsi" w:hAnsiTheme="minorHAnsi" w:cstheme="minorHAnsi"/>
          <w:color w:val="000000" w:themeColor="text1"/>
          <w:lang w:val="en-ID"/>
        </w:rPr>
        <w:t>No</w:t>
      </w:r>
      <w:r w:rsidR="002E62A6" w:rsidRPr="00C5645B">
        <w:rPr>
          <w:rFonts w:asciiTheme="minorHAnsi" w:hAnsiTheme="minorHAnsi" w:cstheme="minorHAnsi"/>
          <w:color w:val="000000" w:themeColor="text1"/>
        </w:rPr>
        <w:t xml:space="preserve">. P.61/Menlhk/Setjen/Kum.1/11/2017 on delegation of </w:t>
      </w:r>
      <w:r w:rsidR="002E62A6" w:rsidRPr="00C5645B">
        <w:rPr>
          <w:rFonts w:asciiTheme="minorHAnsi" w:hAnsiTheme="minorHAnsi" w:cstheme="minorHAnsi"/>
          <w:color w:val="000000" w:themeColor="text1"/>
          <w:lang w:val="en-ID"/>
        </w:rPr>
        <w:t xml:space="preserve">several </w:t>
      </w:r>
      <w:r w:rsidR="002E62A6" w:rsidRPr="00C5645B">
        <w:rPr>
          <w:rFonts w:asciiTheme="minorHAnsi" w:hAnsiTheme="minorHAnsi" w:cstheme="minorHAnsi"/>
          <w:color w:val="000000" w:themeColor="text1"/>
        </w:rPr>
        <w:t>Central Government on Environment and Forestry tasks on Peat Restoration to the Governor</w:t>
      </w:r>
      <w:r w:rsidR="007C0E85">
        <w:rPr>
          <w:rFonts w:asciiTheme="minorHAnsi" w:hAnsiTheme="minorHAnsi" w:cstheme="minorHAnsi"/>
          <w:color w:val="000000" w:themeColor="text1"/>
          <w:lang w:val="en-US"/>
        </w:rPr>
        <w:t>s</w:t>
      </w:r>
      <w:r w:rsidR="002E62A6" w:rsidRPr="00C5645B">
        <w:rPr>
          <w:rFonts w:asciiTheme="minorHAnsi" w:hAnsiTheme="minorHAnsi" w:cstheme="minorHAnsi"/>
          <w:color w:val="000000" w:themeColor="text1"/>
        </w:rPr>
        <w:t xml:space="preserve"> of Riau, Jambi, South Sumatera, West </w:t>
      </w:r>
      <w:r w:rsidR="002E62A6" w:rsidRPr="00C5645B">
        <w:rPr>
          <w:rFonts w:asciiTheme="minorHAnsi" w:hAnsiTheme="minorHAnsi" w:cstheme="minorHAnsi"/>
          <w:color w:val="000000" w:themeColor="text1"/>
          <w:lang w:val="en-ID"/>
        </w:rPr>
        <w:t>Kalimantan</w:t>
      </w:r>
      <w:r w:rsidR="002E62A6" w:rsidRPr="00C5645B">
        <w:rPr>
          <w:rFonts w:asciiTheme="minorHAnsi" w:hAnsiTheme="minorHAnsi" w:cstheme="minorHAnsi"/>
          <w:color w:val="000000" w:themeColor="text1"/>
        </w:rPr>
        <w:t xml:space="preserve">, Central </w:t>
      </w:r>
      <w:r w:rsidR="002E62A6" w:rsidRPr="00C5645B">
        <w:rPr>
          <w:rFonts w:asciiTheme="minorHAnsi" w:hAnsiTheme="minorHAnsi" w:cstheme="minorHAnsi"/>
          <w:color w:val="000000" w:themeColor="text1"/>
          <w:lang w:val="en-ID"/>
        </w:rPr>
        <w:t>Kalimantan</w:t>
      </w:r>
      <w:r w:rsidR="002E62A6" w:rsidRPr="00C5645B">
        <w:rPr>
          <w:rFonts w:asciiTheme="minorHAnsi" w:hAnsiTheme="minorHAnsi" w:cstheme="minorHAnsi"/>
          <w:color w:val="000000" w:themeColor="text1"/>
        </w:rPr>
        <w:t xml:space="preserve">, South </w:t>
      </w:r>
      <w:r w:rsidR="002E62A6" w:rsidRPr="00C5645B">
        <w:rPr>
          <w:rFonts w:asciiTheme="minorHAnsi" w:hAnsiTheme="minorHAnsi" w:cstheme="minorHAnsi"/>
          <w:color w:val="000000" w:themeColor="text1"/>
          <w:lang w:val="en-ID"/>
        </w:rPr>
        <w:t>Kalimantan</w:t>
      </w:r>
      <w:r w:rsidR="002E62A6" w:rsidRPr="00C5645B">
        <w:rPr>
          <w:rFonts w:asciiTheme="minorHAnsi" w:hAnsiTheme="minorHAnsi" w:cstheme="minorHAnsi"/>
          <w:color w:val="000000" w:themeColor="text1"/>
        </w:rPr>
        <w:t xml:space="preserve"> and Papua</w:t>
      </w:r>
      <w:r w:rsidR="002E62A6" w:rsidRPr="00C5645B">
        <w:rPr>
          <w:rFonts w:asciiTheme="minorHAnsi" w:hAnsiTheme="minorHAnsi" w:cstheme="minorHAnsi"/>
          <w:color w:val="000000" w:themeColor="text1"/>
          <w:lang w:val="en-ID"/>
        </w:rPr>
        <w:t>.</w:t>
      </w:r>
    </w:p>
    <w:p w14:paraId="5B42334D" w14:textId="0919FDC5" w:rsidR="002E62A6" w:rsidRPr="008745BF" w:rsidRDefault="002E62A6" w:rsidP="002E62A6">
      <w:pPr>
        <w:rPr>
          <w:lang w:val="en-ID"/>
        </w:rPr>
      </w:pPr>
      <w:r>
        <w:rPr>
          <w:lang w:val="en-ID"/>
        </w:rPr>
        <w:t>In just over 24 months, UNDP finalised over 1</w:t>
      </w:r>
      <w:r w:rsidR="0061284B">
        <w:rPr>
          <w:lang w:val="en-ID"/>
        </w:rPr>
        <w:t>,</w:t>
      </w:r>
      <w:r>
        <w:rPr>
          <w:lang w:val="en-ID"/>
        </w:rPr>
        <w:t xml:space="preserve">000 contracts ranging from </w:t>
      </w:r>
      <w:r w:rsidRPr="00C5645B">
        <w:rPr>
          <w:lang w:val="en-ID"/>
        </w:rPr>
        <w:t xml:space="preserve">USD </w:t>
      </w:r>
      <w:r w:rsidR="0061284B">
        <w:rPr>
          <w:lang w:val="en-ID"/>
        </w:rPr>
        <w:t>$</w:t>
      </w:r>
      <w:r w:rsidRPr="00C5645B">
        <w:rPr>
          <w:lang w:val="en-ID"/>
        </w:rPr>
        <w:t>14</w:t>
      </w:r>
      <w:r w:rsidR="0061284B">
        <w:rPr>
          <w:lang w:val="en-ID"/>
        </w:rPr>
        <w:t xml:space="preserve"> </w:t>
      </w:r>
      <w:r w:rsidRPr="002E62A6">
        <w:rPr>
          <w:lang w:val="en-ID"/>
        </w:rPr>
        <w:t xml:space="preserve">to </w:t>
      </w:r>
      <w:r w:rsidRPr="00C5645B">
        <w:rPr>
          <w:lang w:val="en-ID"/>
        </w:rPr>
        <w:t xml:space="preserve">USD </w:t>
      </w:r>
      <w:r w:rsidR="0061284B">
        <w:rPr>
          <w:lang w:val="en-ID"/>
        </w:rPr>
        <w:t>$</w:t>
      </w:r>
      <w:r w:rsidRPr="00C5645B">
        <w:rPr>
          <w:lang w:val="en-ID"/>
        </w:rPr>
        <w:t>112,186</w:t>
      </w:r>
      <w:r w:rsidR="0061284B">
        <w:rPr>
          <w:lang w:val="en-ID"/>
        </w:rPr>
        <w:t>.</w:t>
      </w:r>
      <w:r>
        <w:rPr>
          <w:lang w:val="en-ID"/>
        </w:rPr>
        <w:t xml:space="preserve"> In the first quarter alone, over 160 purchase orders were finalised by the UNDP procurement team. </w:t>
      </w:r>
    </w:p>
    <w:p w14:paraId="5A5CFFB0" w14:textId="2165E5BD" w:rsidR="0093648E" w:rsidRDefault="002E62A6" w:rsidP="00A84BD8">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ID"/>
        </w:rPr>
        <w:t xml:space="preserve">The evaluation found that the support was highly relevant to the needs of the GOI and was in line with the focus of the Kingdom of Norway to support GOI in addressing environmental issues. </w:t>
      </w:r>
      <w:r w:rsidR="008A4D9A">
        <w:rPr>
          <w:rFonts w:cs="Calibri,Bold"/>
          <w:bCs/>
          <w:color w:val="000000" w:themeColor="text1"/>
          <w:lang w:val="en-ID"/>
        </w:rPr>
        <w:t>Norway</w:t>
      </w:r>
      <w:r w:rsidR="00A84BD8">
        <w:rPr>
          <w:rFonts w:cs="Calibri,Bold"/>
          <w:bCs/>
          <w:color w:val="000000" w:themeColor="text1"/>
          <w:lang w:val="en-ID"/>
        </w:rPr>
        <w:t xml:space="preserve"> found that UNDP was appropriate, effective</w:t>
      </w:r>
      <w:r w:rsidR="008A4D9A">
        <w:rPr>
          <w:rFonts w:cs="Calibri,Bold"/>
          <w:bCs/>
          <w:color w:val="000000" w:themeColor="text1"/>
          <w:lang w:val="en-ID"/>
        </w:rPr>
        <w:t>,</w:t>
      </w:r>
      <w:r w:rsidR="00A84BD8">
        <w:rPr>
          <w:rFonts w:cs="Calibri,Bold"/>
          <w:bCs/>
          <w:color w:val="000000" w:themeColor="text1"/>
          <w:lang w:val="en-ID"/>
        </w:rPr>
        <w:t xml:space="preserve"> and efficient. </w:t>
      </w:r>
      <w:r>
        <w:rPr>
          <w:rFonts w:cs="Calibri,Bold"/>
          <w:bCs/>
          <w:color w:val="000000" w:themeColor="text1"/>
          <w:lang w:val="en-ID"/>
        </w:rPr>
        <w:t xml:space="preserve">Engaging UNDP to provide this support with its </w:t>
      </w:r>
      <w:r w:rsidR="008A4D9A">
        <w:rPr>
          <w:rFonts w:cs="Calibri,Bold"/>
          <w:bCs/>
          <w:color w:val="000000" w:themeColor="text1"/>
          <w:lang w:val="en-ID"/>
        </w:rPr>
        <w:t xml:space="preserve">extensive </w:t>
      </w:r>
      <w:r>
        <w:rPr>
          <w:rFonts w:cs="Calibri,Bold"/>
          <w:bCs/>
          <w:color w:val="000000" w:themeColor="text1"/>
          <w:lang w:val="en-ID"/>
        </w:rPr>
        <w:t>capabilit</w:t>
      </w:r>
      <w:r w:rsidR="008A4D9A">
        <w:rPr>
          <w:rFonts w:cs="Calibri,Bold"/>
          <w:bCs/>
          <w:color w:val="000000" w:themeColor="text1"/>
          <w:lang w:val="en-ID"/>
        </w:rPr>
        <w:t xml:space="preserve">ies </w:t>
      </w:r>
      <w:r>
        <w:rPr>
          <w:rFonts w:cs="Calibri,Bold"/>
          <w:bCs/>
          <w:color w:val="000000" w:themeColor="text1"/>
          <w:lang w:val="en-ID"/>
        </w:rPr>
        <w:t xml:space="preserve">and experience was highly appropriate and was in line with </w:t>
      </w:r>
      <w:r w:rsidR="007811DE">
        <w:rPr>
          <w:rFonts w:cs="Calibri,Bold"/>
          <w:bCs/>
          <w:color w:val="000000" w:themeColor="text1"/>
          <w:lang w:val="en-ID"/>
        </w:rPr>
        <w:t xml:space="preserve">the </w:t>
      </w:r>
      <w:r w:rsidR="007811DE">
        <w:rPr>
          <w:rFonts w:cs="Arial"/>
          <w:lang w:val="en-ID"/>
        </w:rPr>
        <w:t>UN Country strategy</w:t>
      </w:r>
      <w:r w:rsidR="007811DE">
        <w:rPr>
          <w:rFonts w:cs="Calibri,Bold"/>
          <w:bCs/>
          <w:color w:val="000000" w:themeColor="text1"/>
          <w:lang w:val="en-ID"/>
        </w:rPr>
        <w:t xml:space="preserve"> </w:t>
      </w:r>
      <w:r>
        <w:rPr>
          <w:rFonts w:cs="Calibri,Bold"/>
          <w:bCs/>
          <w:color w:val="000000" w:themeColor="text1"/>
          <w:lang w:val="en-ID"/>
        </w:rPr>
        <w:t>to support GOI</w:t>
      </w:r>
      <w:r w:rsidR="007811DE">
        <w:rPr>
          <w:rFonts w:cs="Calibri,Bold"/>
          <w:bCs/>
          <w:color w:val="000000" w:themeColor="text1"/>
          <w:lang w:val="en-ID"/>
        </w:rPr>
        <w:t xml:space="preserve"> in </w:t>
      </w:r>
      <w:r w:rsidR="007811DE" w:rsidRPr="00677389">
        <w:rPr>
          <w:rFonts w:cs="Arial"/>
        </w:rPr>
        <w:t>sustainably managing its natural resources</w:t>
      </w:r>
      <w:r w:rsidR="008A4D9A">
        <w:rPr>
          <w:rFonts w:cs="Arial"/>
        </w:rPr>
        <w:t xml:space="preserve">. </w:t>
      </w:r>
      <w:r w:rsidR="007C0E85">
        <w:rPr>
          <w:rFonts w:cs="Calibri,Bold"/>
          <w:bCs/>
          <w:color w:val="000000" w:themeColor="text1"/>
          <w:lang w:val="en-US"/>
        </w:rPr>
        <w:t xml:space="preserve">All parties agreed that the overall implementation was </w:t>
      </w:r>
      <w:r w:rsidR="00A84BD8">
        <w:rPr>
          <w:rFonts w:cs="Calibri,Bold"/>
          <w:bCs/>
          <w:color w:val="000000" w:themeColor="text1"/>
          <w:lang w:val="en-US"/>
        </w:rPr>
        <w:t xml:space="preserve">effective. Over two years, </w:t>
      </w:r>
      <w:r w:rsidR="007C0E85">
        <w:rPr>
          <w:rFonts w:cs="Calibri,Bold"/>
          <w:bCs/>
          <w:color w:val="000000" w:themeColor="text1"/>
          <w:lang w:val="en-US"/>
        </w:rPr>
        <w:t xml:space="preserve">this support </w:t>
      </w:r>
      <w:r w:rsidR="00A84BD8">
        <w:rPr>
          <w:rFonts w:cs="Calibri,Bold"/>
          <w:bCs/>
          <w:color w:val="000000" w:themeColor="text1"/>
          <w:lang w:val="en-US"/>
        </w:rPr>
        <w:t>enabled the BRG to grow from a very small organization to a fully functioning agency with significant national government funding. UNDP</w:t>
      </w:r>
      <w:r w:rsidR="008A4D9A">
        <w:rPr>
          <w:rFonts w:cs="Calibri,Bold"/>
          <w:bCs/>
          <w:color w:val="000000" w:themeColor="text1"/>
          <w:lang w:val="en-US"/>
        </w:rPr>
        <w:t>’</w:t>
      </w:r>
      <w:r w:rsidR="00A84BD8">
        <w:rPr>
          <w:rFonts w:cs="Calibri,Bold"/>
          <w:bCs/>
          <w:color w:val="000000" w:themeColor="text1"/>
          <w:lang w:val="en-US"/>
        </w:rPr>
        <w:t xml:space="preserve">s support </w:t>
      </w:r>
      <w:r w:rsidR="007C0E85">
        <w:rPr>
          <w:rFonts w:cs="Calibri,Bold"/>
          <w:bCs/>
          <w:color w:val="000000" w:themeColor="text1"/>
          <w:lang w:val="en-US"/>
        </w:rPr>
        <w:t xml:space="preserve">further </w:t>
      </w:r>
      <w:r w:rsidR="008A4D9A">
        <w:rPr>
          <w:rFonts w:cs="Calibri,Bold"/>
          <w:bCs/>
          <w:color w:val="000000" w:themeColor="text1"/>
          <w:lang w:val="en-US"/>
        </w:rPr>
        <w:t xml:space="preserve">allowed </w:t>
      </w:r>
      <w:r w:rsidR="00A84BD8">
        <w:rPr>
          <w:rFonts w:cs="Calibri,Bold"/>
          <w:bCs/>
          <w:color w:val="000000" w:themeColor="text1"/>
          <w:lang w:val="en-US"/>
        </w:rPr>
        <w:t xml:space="preserve">both BRG and KLHK to procure equipment and services that would have been difficult to procure under government procurement regulations in a short time frame. </w:t>
      </w:r>
    </w:p>
    <w:p w14:paraId="3FDF1E6F" w14:textId="77777777" w:rsidR="00A84BD8" w:rsidRDefault="00A84BD8" w:rsidP="00C5645B">
      <w:pPr>
        <w:autoSpaceDE w:val="0"/>
        <w:autoSpaceDN w:val="0"/>
        <w:adjustRightInd w:val="0"/>
        <w:spacing w:after="0" w:line="23" w:lineRule="atLeast"/>
        <w:rPr>
          <w:rFonts w:cs="Calibri,Bold"/>
          <w:bCs/>
          <w:color w:val="000000" w:themeColor="text1"/>
          <w:lang w:val="en-US"/>
        </w:rPr>
      </w:pPr>
    </w:p>
    <w:p w14:paraId="1D77AB8D" w14:textId="002636B7" w:rsidR="00A84BD8" w:rsidRDefault="00A84BD8" w:rsidP="002763ED">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UNDP</w:t>
      </w:r>
      <w:r w:rsidR="008A4D9A">
        <w:rPr>
          <w:rFonts w:cs="Calibri,Bold"/>
          <w:bCs/>
          <w:color w:val="000000" w:themeColor="text1"/>
          <w:lang w:val="en-US"/>
        </w:rPr>
        <w:t xml:space="preserve">’s provision of </w:t>
      </w:r>
      <w:r>
        <w:rPr>
          <w:rFonts w:cs="Calibri,Bold"/>
          <w:bCs/>
          <w:color w:val="000000" w:themeColor="text1"/>
          <w:lang w:val="en-US"/>
        </w:rPr>
        <w:t>resources w</w:t>
      </w:r>
      <w:r w:rsidR="008A4D9A">
        <w:rPr>
          <w:rFonts w:cs="Calibri,Bold"/>
          <w:bCs/>
          <w:color w:val="000000" w:themeColor="text1"/>
          <w:lang w:val="en-US"/>
        </w:rPr>
        <w:t>as</w:t>
      </w:r>
      <w:r>
        <w:rPr>
          <w:rFonts w:cs="Calibri,Bold"/>
          <w:bCs/>
          <w:color w:val="000000" w:themeColor="text1"/>
          <w:lang w:val="en-US"/>
        </w:rPr>
        <w:t xml:space="preserve"> efficient, a</w:t>
      </w:r>
      <w:r w:rsidR="008A4D9A">
        <w:rPr>
          <w:rFonts w:cs="Calibri,Bold"/>
          <w:bCs/>
          <w:color w:val="000000" w:themeColor="text1"/>
          <w:lang w:val="en-US"/>
        </w:rPr>
        <w:t>s</w:t>
      </w:r>
      <w:r>
        <w:rPr>
          <w:rFonts w:cs="Calibri,Bold"/>
          <w:bCs/>
          <w:color w:val="000000" w:themeColor="text1"/>
          <w:lang w:val="en-US"/>
        </w:rPr>
        <w:t xml:space="preserve"> they were integrated within UNDP’s existing procurement systems to minimize duplication of resources.</w:t>
      </w:r>
      <w:r w:rsidR="008A4D9A">
        <w:rPr>
          <w:rFonts w:cs="Calibri,Bold"/>
          <w:bCs/>
          <w:color w:val="000000" w:themeColor="text1"/>
          <w:lang w:val="en-US"/>
        </w:rPr>
        <w:t xml:space="preserve"> </w:t>
      </w:r>
      <w:r>
        <w:rPr>
          <w:rFonts w:cs="Calibri,Bold"/>
          <w:bCs/>
          <w:color w:val="000000" w:themeColor="text1"/>
          <w:lang w:val="en-US"/>
        </w:rPr>
        <w:t>UNDP staff met PMU and BRG staff on a regular basis to make sure</w:t>
      </w:r>
      <w:r w:rsidR="00286E37">
        <w:rPr>
          <w:rFonts w:cs="Calibri,Bold"/>
          <w:bCs/>
          <w:color w:val="000000" w:themeColor="text1"/>
          <w:lang w:val="en-US"/>
        </w:rPr>
        <w:t xml:space="preserve"> that</w:t>
      </w:r>
      <w:r>
        <w:rPr>
          <w:rFonts w:cs="Calibri,Bold"/>
          <w:bCs/>
          <w:color w:val="000000" w:themeColor="text1"/>
          <w:lang w:val="en-US"/>
        </w:rPr>
        <w:t xml:space="preserve"> all procurement </w:t>
      </w:r>
      <w:r w:rsidR="00E63FEC">
        <w:rPr>
          <w:rFonts w:cs="Calibri,Bold"/>
          <w:bCs/>
          <w:color w:val="000000" w:themeColor="text1"/>
          <w:lang w:val="en-US"/>
        </w:rPr>
        <w:t xml:space="preserve">needs </w:t>
      </w:r>
      <w:r>
        <w:rPr>
          <w:rFonts w:cs="Calibri,Bold"/>
          <w:bCs/>
          <w:color w:val="000000" w:themeColor="text1"/>
          <w:lang w:val="en-US"/>
        </w:rPr>
        <w:t>met stakeholder expectations.</w:t>
      </w:r>
      <w:r w:rsidR="008A4D9A">
        <w:rPr>
          <w:rFonts w:cs="Calibri,Bold"/>
          <w:bCs/>
          <w:color w:val="000000" w:themeColor="text1"/>
          <w:lang w:val="en-US"/>
        </w:rPr>
        <w:t xml:space="preserve"> </w:t>
      </w:r>
      <w:r>
        <w:rPr>
          <w:rFonts w:cs="Calibri,Bold"/>
          <w:bCs/>
          <w:color w:val="000000" w:themeColor="text1"/>
          <w:lang w:val="en-US"/>
        </w:rPr>
        <w:t>UNDPs support</w:t>
      </w:r>
      <w:r w:rsidR="008A4D9A">
        <w:rPr>
          <w:rFonts w:cs="Calibri,Bold"/>
          <w:bCs/>
          <w:color w:val="000000" w:themeColor="text1"/>
          <w:lang w:val="en-US"/>
        </w:rPr>
        <w:t xml:space="preserve"> </w:t>
      </w:r>
      <w:r>
        <w:rPr>
          <w:rFonts w:cs="Calibri,Bold"/>
          <w:bCs/>
          <w:color w:val="000000" w:themeColor="text1"/>
          <w:lang w:val="en-US"/>
        </w:rPr>
        <w:t xml:space="preserve">will be completed in 2018 </w:t>
      </w:r>
      <w:r w:rsidR="008A4D9A">
        <w:rPr>
          <w:rFonts w:cs="Calibri,Bold"/>
          <w:bCs/>
          <w:color w:val="000000" w:themeColor="text1"/>
          <w:lang w:val="en-US"/>
        </w:rPr>
        <w:t>and</w:t>
      </w:r>
      <w:r>
        <w:rPr>
          <w:rFonts w:cs="Calibri,Bold"/>
          <w:bCs/>
          <w:color w:val="000000" w:themeColor="text1"/>
          <w:lang w:val="en-US"/>
        </w:rPr>
        <w:t xml:space="preserve"> enabl</w:t>
      </w:r>
      <w:r w:rsidR="008A4D9A">
        <w:rPr>
          <w:rFonts w:cs="Calibri,Bold"/>
          <w:bCs/>
          <w:color w:val="000000" w:themeColor="text1"/>
          <w:lang w:val="en-US"/>
        </w:rPr>
        <w:t>e</w:t>
      </w:r>
      <w:r>
        <w:rPr>
          <w:rFonts w:cs="Calibri,Bold"/>
          <w:bCs/>
          <w:color w:val="000000" w:themeColor="text1"/>
          <w:lang w:val="en-US"/>
        </w:rPr>
        <w:t xml:space="preserve"> BRG to continue effectively operat</w:t>
      </w:r>
      <w:r w:rsidR="008A4D9A">
        <w:rPr>
          <w:rFonts w:cs="Calibri,Bold"/>
          <w:bCs/>
          <w:color w:val="000000" w:themeColor="text1"/>
          <w:lang w:val="en-US"/>
        </w:rPr>
        <w:t>ing</w:t>
      </w:r>
      <w:r>
        <w:rPr>
          <w:rFonts w:cs="Calibri,Bold"/>
          <w:bCs/>
          <w:color w:val="000000" w:themeColor="text1"/>
          <w:lang w:val="en-US"/>
        </w:rPr>
        <w:t xml:space="preserve"> </w:t>
      </w:r>
      <w:r w:rsidR="008A4D9A">
        <w:rPr>
          <w:rFonts w:cs="Calibri,Bold"/>
          <w:bCs/>
          <w:color w:val="000000" w:themeColor="text1"/>
          <w:lang w:val="en-US"/>
        </w:rPr>
        <w:t xml:space="preserve">until the end of their mandate in </w:t>
      </w:r>
      <w:r>
        <w:rPr>
          <w:rFonts w:cs="Calibri,Bold"/>
          <w:bCs/>
          <w:color w:val="000000" w:themeColor="text1"/>
          <w:lang w:val="en-US"/>
        </w:rPr>
        <w:t xml:space="preserve">2020. Through the </w:t>
      </w:r>
      <w:r w:rsidR="008A4D9A">
        <w:rPr>
          <w:rFonts w:cs="Calibri,Bold"/>
          <w:bCs/>
          <w:color w:val="000000" w:themeColor="text1"/>
          <w:lang w:val="en-US"/>
        </w:rPr>
        <w:t>provision of</w:t>
      </w:r>
      <w:r>
        <w:rPr>
          <w:rFonts w:cs="Calibri,Bold"/>
          <w:bCs/>
          <w:color w:val="000000" w:themeColor="text1"/>
          <w:lang w:val="en-US"/>
        </w:rPr>
        <w:t xml:space="preserve"> essential equipment, recruiting staff</w:t>
      </w:r>
      <w:r w:rsidR="00DD34BC">
        <w:rPr>
          <w:rFonts w:cs="Calibri,Bold"/>
          <w:bCs/>
          <w:color w:val="000000" w:themeColor="text1"/>
          <w:lang w:val="en-US"/>
        </w:rPr>
        <w:t>,</w:t>
      </w:r>
      <w:r>
        <w:rPr>
          <w:rFonts w:cs="Calibri,Bold"/>
          <w:bCs/>
          <w:color w:val="000000" w:themeColor="text1"/>
          <w:lang w:val="en-US"/>
        </w:rPr>
        <w:t xml:space="preserve"> and contracting NGOs, BRG will be able to continue implementing its activities </w:t>
      </w:r>
      <w:r w:rsidR="00286E37">
        <w:rPr>
          <w:rFonts w:cs="Calibri,Bold"/>
          <w:bCs/>
          <w:color w:val="000000" w:themeColor="text1"/>
          <w:lang w:val="en-US"/>
        </w:rPr>
        <w:t>post-</w:t>
      </w:r>
      <w:r>
        <w:rPr>
          <w:rFonts w:cs="Calibri,Bold"/>
          <w:bCs/>
          <w:color w:val="000000" w:themeColor="text1"/>
          <w:lang w:val="en-US"/>
        </w:rPr>
        <w:t xml:space="preserve">UNDP support through APBN funding. </w:t>
      </w:r>
    </w:p>
    <w:p w14:paraId="62ED8468" w14:textId="77777777" w:rsidR="00776A0E" w:rsidRDefault="00776A0E" w:rsidP="002763ED">
      <w:pPr>
        <w:autoSpaceDE w:val="0"/>
        <w:autoSpaceDN w:val="0"/>
        <w:adjustRightInd w:val="0"/>
        <w:spacing w:after="0" w:line="23" w:lineRule="atLeast"/>
        <w:rPr>
          <w:rFonts w:cs="Calibri,Bold"/>
          <w:bCs/>
          <w:color w:val="000000" w:themeColor="text1"/>
          <w:lang w:val="en-US"/>
        </w:rPr>
      </w:pPr>
    </w:p>
    <w:p w14:paraId="36BB672F" w14:textId="550DCD8A" w:rsidR="00A84BD8" w:rsidRDefault="00A84BD8" w:rsidP="00F26811">
      <w:pPr>
        <w:spacing w:after="160" w:line="259" w:lineRule="auto"/>
        <w:rPr>
          <w:rFonts w:cs="Calibri,Bold"/>
          <w:bCs/>
          <w:color w:val="000000" w:themeColor="text1"/>
          <w:lang w:val="en-US"/>
        </w:rPr>
      </w:pPr>
      <w:r>
        <w:rPr>
          <w:rFonts w:cs="Calibri,Bold"/>
          <w:bCs/>
          <w:color w:val="000000" w:themeColor="text1"/>
          <w:lang w:val="en-US"/>
        </w:rPr>
        <w:t xml:space="preserve">UNDP in the future should develop a Financial Management Information System (FMIS) that can enable Government Partners to monitor expenditure against budget. Financial information from </w:t>
      </w:r>
      <w:r w:rsidRPr="00284D4C">
        <w:rPr>
          <w:rFonts w:cs="Arial"/>
          <w:bCs/>
          <w:lang w:eastAsia="id-ID"/>
        </w:rPr>
        <w:t>UNDP’s Enterprise Resource P</w:t>
      </w:r>
      <w:r w:rsidRPr="006E7DAB">
        <w:rPr>
          <w:rFonts w:cs="Arial"/>
          <w:bCs/>
          <w:lang w:eastAsia="id-ID"/>
        </w:rPr>
        <w:t>lanning System, ATLAS</w:t>
      </w:r>
      <w:r>
        <w:rPr>
          <w:rFonts w:cs="Arial"/>
          <w:bCs/>
          <w:lang w:val="en-ID" w:eastAsia="id-ID"/>
        </w:rPr>
        <w:t xml:space="preserve">, should be able to be readily transferred to a simple FMIS that Government counterparts can </w:t>
      </w:r>
      <w:r w:rsidR="00286E37">
        <w:rPr>
          <w:rFonts w:cs="Arial"/>
          <w:bCs/>
          <w:lang w:val="en-ID" w:eastAsia="id-ID"/>
        </w:rPr>
        <w:t xml:space="preserve">easily </w:t>
      </w:r>
      <w:r>
        <w:rPr>
          <w:rFonts w:cs="Arial"/>
          <w:bCs/>
          <w:lang w:val="en-ID" w:eastAsia="id-ID"/>
        </w:rPr>
        <w:t>monitor against the agreed budget.</w:t>
      </w:r>
    </w:p>
    <w:p w14:paraId="12FD0BC1" w14:textId="08301C6A" w:rsidR="00A84BD8" w:rsidRDefault="00A84BD8" w:rsidP="00A84BD8">
      <w:pPr>
        <w:spacing w:after="160" w:line="259" w:lineRule="auto"/>
        <w:rPr>
          <w:rFonts w:cs="Calibri,Bold"/>
          <w:bCs/>
          <w:color w:val="000000" w:themeColor="text1"/>
          <w:lang w:val="en-US"/>
        </w:rPr>
      </w:pPr>
      <w:r>
        <w:rPr>
          <w:rFonts w:cs="Calibri,Bold"/>
          <w:bCs/>
          <w:color w:val="000000" w:themeColor="text1"/>
          <w:lang w:val="en-US"/>
        </w:rPr>
        <w:t xml:space="preserve">Supporting newly established </w:t>
      </w:r>
      <w:r w:rsidR="00651128">
        <w:rPr>
          <w:rFonts w:cs="Calibri,Bold"/>
          <w:bCs/>
          <w:color w:val="000000" w:themeColor="text1"/>
          <w:lang w:val="en-US"/>
        </w:rPr>
        <w:t>organizations</w:t>
      </w:r>
      <w:r>
        <w:rPr>
          <w:rFonts w:cs="Calibri,Bold"/>
          <w:bCs/>
          <w:color w:val="000000" w:themeColor="text1"/>
          <w:lang w:val="en-US"/>
        </w:rPr>
        <w:t xml:space="preserve"> like BRG</w:t>
      </w:r>
      <w:r w:rsidR="00651128">
        <w:rPr>
          <w:rFonts w:cs="Calibri,Bold"/>
          <w:bCs/>
          <w:color w:val="000000" w:themeColor="text1"/>
          <w:lang w:val="en-US"/>
        </w:rPr>
        <w:t xml:space="preserve"> </w:t>
      </w:r>
      <w:r>
        <w:rPr>
          <w:rFonts w:cs="Calibri,Bold"/>
          <w:bCs/>
          <w:color w:val="000000" w:themeColor="text1"/>
          <w:lang w:val="en-US"/>
        </w:rPr>
        <w:t xml:space="preserve">requires appropriate levels of support from procurement and HR teams to ensure resources are mobilized in a timely </w:t>
      </w:r>
      <w:r w:rsidR="00651128">
        <w:rPr>
          <w:rFonts w:cs="Calibri,Bold"/>
          <w:bCs/>
          <w:color w:val="000000" w:themeColor="text1"/>
          <w:lang w:val="en-US"/>
        </w:rPr>
        <w:t>manner</w:t>
      </w:r>
      <w:r>
        <w:rPr>
          <w:rFonts w:cs="Calibri,Bold"/>
          <w:bCs/>
          <w:color w:val="000000" w:themeColor="text1"/>
          <w:lang w:val="en-US"/>
        </w:rPr>
        <w:t>. Support is required to draft and finali</w:t>
      </w:r>
      <w:r w:rsidR="00651128">
        <w:rPr>
          <w:rFonts w:cs="Calibri,Bold"/>
          <w:bCs/>
          <w:color w:val="000000" w:themeColor="text1"/>
          <w:lang w:val="en-US"/>
        </w:rPr>
        <w:t>z</w:t>
      </w:r>
      <w:r>
        <w:rPr>
          <w:rFonts w:cs="Calibri,Bold"/>
          <w:bCs/>
          <w:color w:val="000000" w:themeColor="text1"/>
          <w:lang w:val="en-US"/>
        </w:rPr>
        <w:t>e scope of services, Terms of Reference, tendering</w:t>
      </w:r>
      <w:r w:rsidR="00651128">
        <w:rPr>
          <w:rFonts w:cs="Calibri,Bold"/>
          <w:bCs/>
          <w:color w:val="000000" w:themeColor="text1"/>
          <w:lang w:val="en-US"/>
        </w:rPr>
        <w:t>,</w:t>
      </w:r>
      <w:r>
        <w:rPr>
          <w:rFonts w:cs="Calibri,Bold"/>
          <w:bCs/>
          <w:color w:val="000000" w:themeColor="text1"/>
          <w:lang w:val="en-US"/>
        </w:rPr>
        <w:t xml:space="preserve"> and finali</w:t>
      </w:r>
      <w:r w:rsidR="00651128">
        <w:rPr>
          <w:rFonts w:cs="Calibri,Bold"/>
          <w:bCs/>
          <w:color w:val="000000" w:themeColor="text1"/>
          <w:lang w:val="en-US"/>
        </w:rPr>
        <w:t>z</w:t>
      </w:r>
      <w:r>
        <w:rPr>
          <w:rFonts w:cs="Calibri,Bold"/>
          <w:bCs/>
          <w:color w:val="000000" w:themeColor="text1"/>
          <w:lang w:val="en-US"/>
        </w:rPr>
        <w:t>ing all documentation to meet UNDP operational guidelines. For technical procurement</w:t>
      </w:r>
      <w:r w:rsidR="00C5645B">
        <w:rPr>
          <w:rFonts w:cs="Calibri,Bold"/>
          <w:bCs/>
          <w:color w:val="000000" w:themeColor="text1"/>
          <w:lang w:val="en-US"/>
        </w:rPr>
        <w:t xml:space="preserve">, </w:t>
      </w:r>
      <w:r>
        <w:rPr>
          <w:rFonts w:cs="Calibri,Bold"/>
          <w:bCs/>
          <w:color w:val="000000" w:themeColor="text1"/>
          <w:lang w:val="en-US"/>
        </w:rPr>
        <w:t xml:space="preserve">flexibility should </w:t>
      </w:r>
      <w:r w:rsidR="00651128">
        <w:rPr>
          <w:rFonts w:cs="Calibri,Bold"/>
          <w:bCs/>
          <w:color w:val="000000" w:themeColor="text1"/>
          <w:lang w:val="en-US"/>
        </w:rPr>
        <w:t xml:space="preserve">be </w:t>
      </w:r>
      <w:r w:rsidR="00C5645B">
        <w:rPr>
          <w:rFonts w:cs="Calibri,Bold"/>
          <w:bCs/>
          <w:color w:val="000000" w:themeColor="text1"/>
          <w:lang w:val="en-US"/>
        </w:rPr>
        <w:t>given</w:t>
      </w:r>
      <w:r w:rsidR="00651128">
        <w:rPr>
          <w:rFonts w:cs="Calibri,Bold"/>
          <w:bCs/>
          <w:color w:val="000000" w:themeColor="text1"/>
          <w:lang w:val="en-US"/>
        </w:rPr>
        <w:t xml:space="preserve"> </w:t>
      </w:r>
      <w:r>
        <w:rPr>
          <w:rFonts w:cs="Calibri,Bold"/>
          <w:bCs/>
          <w:color w:val="000000" w:themeColor="text1"/>
          <w:lang w:val="en-US"/>
        </w:rPr>
        <w:t xml:space="preserve">to recruit additional capacity. UNDP provided dedicated procurement staff to facilitate this process. </w:t>
      </w:r>
    </w:p>
    <w:p w14:paraId="598CB885" w14:textId="16CBA4A2" w:rsidR="00291938" w:rsidRDefault="00291938" w:rsidP="00F26811">
      <w:pPr>
        <w:spacing w:after="160" w:line="259" w:lineRule="auto"/>
        <w:rPr>
          <w:rFonts w:cs="Calibri,Bold"/>
          <w:bCs/>
          <w:color w:val="000000" w:themeColor="text1"/>
          <w:lang w:val="en-US"/>
        </w:rPr>
      </w:pPr>
      <w:r>
        <w:rPr>
          <w:rFonts w:cs="Calibri,Bold"/>
          <w:bCs/>
          <w:color w:val="000000" w:themeColor="text1"/>
          <w:lang w:val="en-US"/>
        </w:rPr>
        <w:br w:type="page"/>
      </w:r>
    </w:p>
    <w:p w14:paraId="068FB4D7" w14:textId="77777777" w:rsidR="00291938" w:rsidRPr="0061157C" w:rsidRDefault="00291938" w:rsidP="00197DDF">
      <w:pPr>
        <w:autoSpaceDE w:val="0"/>
        <w:autoSpaceDN w:val="0"/>
        <w:adjustRightInd w:val="0"/>
        <w:spacing w:after="0" w:line="23" w:lineRule="atLeast"/>
        <w:rPr>
          <w:rFonts w:cs="Calibri,Bold"/>
          <w:bCs/>
          <w:color w:val="000000" w:themeColor="text1"/>
          <w:lang w:val="en-US"/>
        </w:rPr>
      </w:pPr>
    </w:p>
    <w:p w14:paraId="52194C82" w14:textId="77777777" w:rsidR="00197DDF" w:rsidRDefault="00197DDF" w:rsidP="00291938">
      <w:pPr>
        <w:pStyle w:val="Heading2"/>
        <w:rPr>
          <w:lang w:val="en-US"/>
        </w:rPr>
      </w:pPr>
      <w:bookmarkStart w:id="3" w:name="_Toc528998424"/>
      <w:r w:rsidRPr="0061157C">
        <w:rPr>
          <w:lang w:val="en-US"/>
        </w:rPr>
        <w:t>Introduction</w:t>
      </w:r>
      <w:bookmarkEnd w:id="3"/>
    </w:p>
    <w:p w14:paraId="2F98FE1B" w14:textId="77777777" w:rsidR="00291938" w:rsidRDefault="00291938" w:rsidP="00197DDF">
      <w:pPr>
        <w:autoSpaceDE w:val="0"/>
        <w:autoSpaceDN w:val="0"/>
        <w:adjustRightInd w:val="0"/>
        <w:spacing w:after="0" w:line="23" w:lineRule="atLeast"/>
        <w:rPr>
          <w:rFonts w:cs="Calibri,Bold"/>
          <w:bCs/>
          <w:color w:val="000000" w:themeColor="text1"/>
          <w:lang w:val="en-US"/>
        </w:rPr>
      </w:pPr>
    </w:p>
    <w:p w14:paraId="1B591459" w14:textId="60985E79" w:rsidR="00D83CC7" w:rsidRPr="006C0A4B" w:rsidRDefault="00D83CC7" w:rsidP="00A267A5">
      <w:pPr>
        <w:rPr>
          <w:lang w:val="en-US"/>
        </w:rPr>
      </w:pPr>
      <w:r w:rsidRPr="001460AD">
        <w:t xml:space="preserve">One of the key lessons learned from the 2015 peat and forest fires </w:t>
      </w:r>
      <w:r w:rsidR="00E33192">
        <w:rPr>
          <w:lang w:val="en-ID"/>
        </w:rPr>
        <w:t>was</w:t>
      </w:r>
      <w:r w:rsidRPr="001460AD">
        <w:t xml:space="preserve"> that suppressing fires on drained deep tropical peatland is extremely difficult, ineffective, and costly. The total economic</w:t>
      </w:r>
      <w:r w:rsidR="00E33192">
        <w:rPr>
          <w:lang w:val="en-ID"/>
        </w:rPr>
        <w:t xml:space="preserve"> loss was</w:t>
      </w:r>
      <w:r w:rsidRPr="001460AD">
        <w:t xml:space="preserve"> estimated to be in excess of USD $15 billion (MoEF, 2015; CIFOR, 2015</w:t>
      </w:r>
      <w:r w:rsidR="00286E37">
        <w:rPr>
          <w:lang w:val="en-US"/>
        </w:rPr>
        <w:t>;</w:t>
      </w:r>
      <w:r w:rsidRPr="001460AD">
        <w:t xml:space="preserve"> World Bank, 2016).</w:t>
      </w:r>
      <w:r w:rsidR="00D05FB3">
        <w:t xml:space="preserve"> </w:t>
      </w:r>
      <w:r w:rsidRPr="001460AD">
        <w:t xml:space="preserve">This </w:t>
      </w:r>
      <w:r w:rsidR="00E33192">
        <w:rPr>
          <w:lang w:val="en-ID"/>
        </w:rPr>
        <w:t xml:space="preserve">estimate did </w:t>
      </w:r>
      <w:r w:rsidRPr="001460AD">
        <w:t>not include the loss of biodiversity, carbon emission</w:t>
      </w:r>
      <w:r w:rsidR="005C4DCF">
        <w:t>s,</w:t>
      </w:r>
      <w:r w:rsidRPr="001460AD">
        <w:t xml:space="preserve"> and the irreversible long-term health impacts. </w:t>
      </w:r>
      <w:r w:rsidR="00286E37">
        <w:rPr>
          <w:lang w:val="en-US"/>
        </w:rPr>
        <w:t xml:space="preserve">The </w:t>
      </w:r>
      <w:r w:rsidRPr="001460AD">
        <w:t>Global Fire Emission Database estimated th</w:t>
      </w:r>
      <w:r w:rsidR="00E33192">
        <w:rPr>
          <w:lang w:val="en-ID"/>
        </w:rPr>
        <w:t>e</w:t>
      </w:r>
      <w:r w:rsidRPr="001460AD">
        <w:t xml:space="preserve"> event emit</w:t>
      </w:r>
      <w:r w:rsidR="00E33192">
        <w:rPr>
          <w:lang w:val="en-ID"/>
        </w:rPr>
        <w:t>ted</w:t>
      </w:r>
      <w:r w:rsidRPr="001460AD">
        <w:t xml:space="preserve"> roughly 1,750 milllion metric tonns of CO</w:t>
      </w:r>
      <w:r w:rsidRPr="001460AD">
        <w:rPr>
          <w:vertAlign w:val="subscript"/>
        </w:rPr>
        <w:t>2</w:t>
      </w:r>
      <w:r w:rsidR="00286E37">
        <w:rPr>
          <w:lang w:val="en-US"/>
        </w:rPr>
        <w:t xml:space="preserve"> into the atmosphere.</w:t>
      </w:r>
    </w:p>
    <w:p w14:paraId="436E5932" w14:textId="1ED8BC29" w:rsidR="00D83CC7" w:rsidRPr="00E33192" w:rsidRDefault="00D83CC7" w:rsidP="00A267A5">
      <w:pPr>
        <w:rPr>
          <w:lang w:val="en-ID"/>
        </w:rPr>
      </w:pPr>
      <w:r w:rsidRPr="001460AD">
        <w:t>Acknowledging this major lesson from 2015, the Government</w:t>
      </w:r>
      <w:r w:rsidR="00E33192">
        <w:rPr>
          <w:lang w:val="en-ID"/>
        </w:rPr>
        <w:t xml:space="preserve"> of Indonesia</w:t>
      </w:r>
      <w:r w:rsidRPr="001460AD">
        <w:t xml:space="preserve"> </w:t>
      </w:r>
      <w:r w:rsidR="00E33192">
        <w:rPr>
          <w:lang w:val="en-ID"/>
        </w:rPr>
        <w:t xml:space="preserve">(GOI) </w:t>
      </w:r>
      <w:r w:rsidRPr="001460AD">
        <w:t xml:space="preserve">concluded that prevention is by far the most effective way to tackle </w:t>
      </w:r>
      <w:r w:rsidR="00286E37">
        <w:rPr>
          <w:lang w:val="en-US"/>
        </w:rPr>
        <w:t>these</w:t>
      </w:r>
      <w:r w:rsidR="00286E37" w:rsidRPr="001460AD">
        <w:t xml:space="preserve"> </w:t>
      </w:r>
      <w:r w:rsidRPr="001460AD">
        <w:t xml:space="preserve">fires, and concerted efforts should be made to </w:t>
      </w:r>
      <w:r w:rsidR="00E33192">
        <w:rPr>
          <w:lang w:val="en-ID"/>
        </w:rPr>
        <w:t>prevent future fires</w:t>
      </w:r>
      <w:r w:rsidR="00286E37">
        <w:rPr>
          <w:lang w:val="en-ID"/>
        </w:rPr>
        <w:t xml:space="preserve"> on peatland and forests</w:t>
      </w:r>
      <w:r w:rsidRPr="001460AD">
        <w:t xml:space="preserve">. Recent analyses </w:t>
      </w:r>
      <w:r w:rsidR="00E33192">
        <w:rPr>
          <w:lang w:val="en-ID"/>
        </w:rPr>
        <w:t>found</w:t>
      </w:r>
      <w:r w:rsidRPr="001460AD">
        <w:t xml:space="preserve"> that fire vulnerability</w:t>
      </w:r>
      <w:r w:rsidR="00E33192">
        <w:rPr>
          <w:lang w:val="en-ID"/>
        </w:rPr>
        <w:t xml:space="preserve"> in Indonesia </w:t>
      </w:r>
      <w:r w:rsidRPr="001460AD">
        <w:t xml:space="preserve">has increased over the past two decades, and that the government’s previous efforts have not yet been fully effective. </w:t>
      </w:r>
      <w:r w:rsidR="001729D2">
        <w:rPr>
          <w:lang w:val="en-ID"/>
        </w:rPr>
        <w:t>T</w:t>
      </w:r>
      <w:r w:rsidR="00E33192">
        <w:rPr>
          <w:lang w:val="en-ID"/>
        </w:rPr>
        <w:t>herefore</w:t>
      </w:r>
      <w:r w:rsidR="001729D2">
        <w:rPr>
          <w:lang w:val="en-ID"/>
        </w:rPr>
        <w:t>, the GOI</w:t>
      </w:r>
      <w:r w:rsidR="00E33192">
        <w:rPr>
          <w:lang w:val="en-ID"/>
        </w:rPr>
        <w:t xml:space="preserve"> changed their </w:t>
      </w:r>
      <w:r w:rsidRPr="001460AD">
        <w:t>fire prevention</w:t>
      </w:r>
      <w:r w:rsidR="00E33192">
        <w:rPr>
          <w:lang w:val="en-ID"/>
        </w:rPr>
        <w:t xml:space="preserve"> strategy </w:t>
      </w:r>
      <w:r w:rsidRPr="001460AD">
        <w:t xml:space="preserve">in 2016 </w:t>
      </w:r>
      <w:r w:rsidR="00E33192">
        <w:rPr>
          <w:lang w:val="en-ID"/>
        </w:rPr>
        <w:t xml:space="preserve">to </w:t>
      </w:r>
      <w:r w:rsidRPr="001460AD">
        <w:t xml:space="preserve">adopt a more anticipatory and systematic approach. The establishment </w:t>
      </w:r>
      <w:r w:rsidR="001729D2">
        <w:t xml:space="preserve">of </w:t>
      </w:r>
      <w:r w:rsidR="00E33192">
        <w:rPr>
          <w:lang w:val="en-ID"/>
        </w:rPr>
        <w:t xml:space="preserve">an </w:t>
      </w:r>
      <w:r w:rsidR="001729D2">
        <w:rPr>
          <w:lang w:val="en-ID"/>
        </w:rPr>
        <w:t>a</w:t>
      </w:r>
      <w:r w:rsidR="00E33192">
        <w:rPr>
          <w:lang w:val="en-ID"/>
        </w:rPr>
        <w:t>gency w</w:t>
      </w:r>
      <w:r w:rsidR="001729D2">
        <w:rPr>
          <w:lang w:val="en-ID"/>
        </w:rPr>
        <w:t>ith</w:t>
      </w:r>
      <w:r w:rsidR="00E33192">
        <w:rPr>
          <w:lang w:val="en-ID"/>
        </w:rPr>
        <w:t xml:space="preserve"> high levels of accountability was defined as a </w:t>
      </w:r>
      <w:r w:rsidRPr="001460AD">
        <w:t>key element of this strategy</w:t>
      </w:r>
      <w:r w:rsidR="00E33192">
        <w:rPr>
          <w:lang w:val="en-ID"/>
        </w:rPr>
        <w:t xml:space="preserve">. </w:t>
      </w:r>
      <w:r w:rsidRPr="001460AD">
        <w:t xml:space="preserve">Through the Presidential Regulation </w:t>
      </w:r>
      <w:r>
        <w:t>Jun</w:t>
      </w:r>
      <w:r w:rsidR="00A92B55">
        <w:rPr>
          <w:lang w:val="en-ID"/>
        </w:rPr>
        <w:t>e</w:t>
      </w:r>
      <w:r w:rsidRPr="001460AD">
        <w:t xml:space="preserve"> 1 of 2016, </w:t>
      </w:r>
      <w:r w:rsidR="00E33192">
        <w:rPr>
          <w:lang w:val="en-ID"/>
        </w:rPr>
        <w:t>t</w:t>
      </w:r>
      <w:r w:rsidRPr="001460AD">
        <w:t>he</w:t>
      </w:r>
      <w:r w:rsidR="00A92B55">
        <w:rPr>
          <w:lang w:val="en-ID"/>
        </w:rPr>
        <w:t xml:space="preserve"> </w:t>
      </w:r>
      <w:r w:rsidRPr="001460AD">
        <w:t>Peat Restoration Agency (Badan Restorasi Gambut – BRG) was established</w:t>
      </w:r>
      <w:r w:rsidR="00286E37">
        <w:rPr>
          <w:lang w:val="en-US"/>
        </w:rPr>
        <w:t>. It’s mandate was</w:t>
      </w:r>
      <w:r w:rsidR="000A71AF">
        <w:t xml:space="preserve"> </w:t>
      </w:r>
      <w:r w:rsidRPr="001460AD">
        <w:t>to coordinate and facilitate peat restoration of 2.</w:t>
      </w:r>
      <w:r w:rsidR="005738DC">
        <w:rPr>
          <w:lang w:val="en-US"/>
        </w:rPr>
        <w:t>4</w:t>
      </w:r>
      <w:r w:rsidRPr="001460AD">
        <w:t xml:space="preserve"> million hectares in </w:t>
      </w:r>
      <w:r w:rsidR="00286E37">
        <w:rPr>
          <w:lang w:val="en-US"/>
        </w:rPr>
        <w:t>seven Indonesian</w:t>
      </w:r>
      <w:r w:rsidR="00286E37" w:rsidRPr="001460AD">
        <w:t xml:space="preserve"> </w:t>
      </w:r>
      <w:r w:rsidRPr="001460AD">
        <w:t xml:space="preserve">provinces: Riau, Jambi, South Sumatra, West </w:t>
      </w:r>
      <w:r w:rsidR="00BE70B5">
        <w:rPr>
          <w:lang w:val="en-ID"/>
        </w:rPr>
        <w:t>Kalimantan</w:t>
      </w:r>
      <w:r w:rsidRPr="001460AD">
        <w:t xml:space="preserve">, Central </w:t>
      </w:r>
      <w:r w:rsidR="00BE70B5">
        <w:rPr>
          <w:lang w:val="en-ID"/>
        </w:rPr>
        <w:t>Kalimantan</w:t>
      </w:r>
      <w:r w:rsidRPr="001460AD">
        <w:t xml:space="preserve">, South </w:t>
      </w:r>
      <w:r w:rsidR="00BE70B5">
        <w:rPr>
          <w:lang w:val="en-ID"/>
        </w:rPr>
        <w:t>Kalimantan</w:t>
      </w:r>
      <w:r w:rsidR="000A71AF">
        <w:rPr>
          <w:lang w:val="en-ID"/>
        </w:rPr>
        <w:t>,</w:t>
      </w:r>
      <w:r w:rsidR="00BE70B5">
        <w:rPr>
          <w:lang w:val="en-ID"/>
        </w:rPr>
        <w:t xml:space="preserve"> </w:t>
      </w:r>
      <w:r w:rsidRPr="001460AD">
        <w:t>and Papua.</w:t>
      </w:r>
    </w:p>
    <w:p w14:paraId="7B60BC36" w14:textId="3B62E00B" w:rsidR="0042046E" w:rsidRDefault="00D83CC7" w:rsidP="00A267A5">
      <w:pPr>
        <w:rPr>
          <w:lang w:val="en-ID"/>
        </w:rPr>
      </w:pPr>
      <w:r w:rsidRPr="001460AD">
        <w:t xml:space="preserve">In order to </w:t>
      </w:r>
      <w:r w:rsidR="00E33192">
        <w:rPr>
          <w:lang w:val="en-ID"/>
        </w:rPr>
        <w:t xml:space="preserve">assist </w:t>
      </w:r>
      <w:r w:rsidRPr="001460AD">
        <w:t>BRG</w:t>
      </w:r>
      <w:r w:rsidR="000A71AF">
        <w:t>’s</w:t>
      </w:r>
      <w:r w:rsidRPr="001460AD">
        <w:t xml:space="preserve"> institutional read</w:t>
      </w:r>
      <w:r w:rsidR="000A71AF">
        <w:t>iness</w:t>
      </w:r>
      <w:r w:rsidRPr="001460AD">
        <w:t xml:space="preserve"> </w:t>
      </w:r>
      <w:r w:rsidR="000A71AF">
        <w:t>and ability to</w:t>
      </w:r>
      <w:r w:rsidR="000A71AF" w:rsidRPr="001460AD">
        <w:t xml:space="preserve"> </w:t>
      </w:r>
      <w:r w:rsidRPr="001460AD">
        <w:t xml:space="preserve">undertake its mandate, </w:t>
      </w:r>
      <w:r w:rsidR="00E33192">
        <w:rPr>
          <w:lang w:val="en-ID"/>
        </w:rPr>
        <w:t xml:space="preserve">the GOI </w:t>
      </w:r>
      <w:r w:rsidRPr="001460AD">
        <w:t xml:space="preserve">requested support from international donors. </w:t>
      </w:r>
      <w:r w:rsidR="00E33192">
        <w:rPr>
          <w:lang w:val="en-ID"/>
        </w:rPr>
        <w:t>In response to this request, t</w:t>
      </w:r>
      <w:r w:rsidRPr="001460AD">
        <w:t>he Kingdom of Norway</w:t>
      </w:r>
      <w:r w:rsidR="00E33192">
        <w:rPr>
          <w:lang w:val="en-ID"/>
        </w:rPr>
        <w:t xml:space="preserve"> agreed </w:t>
      </w:r>
      <w:r w:rsidR="000A71AF">
        <w:t xml:space="preserve">to </w:t>
      </w:r>
      <w:r w:rsidRPr="001460AD">
        <w:t xml:space="preserve">provide </w:t>
      </w:r>
      <w:r w:rsidR="00E33192">
        <w:rPr>
          <w:lang w:val="en-ID"/>
        </w:rPr>
        <w:t xml:space="preserve">financial </w:t>
      </w:r>
      <w:r w:rsidRPr="001460AD">
        <w:t xml:space="preserve">assistance to BRG </w:t>
      </w:r>
      <w:r w:rsidR="00E33192">
        <w:rPr>
          <w:lang w:val="en-ID"/>
        </w:rPr>
        <w:t xml:space="preserve">through </w:t>
      </w:r>
      <w:r w:rsidRPr="001460AD">
        <w:t xml:space="preserve">the United Nations Development Programme (UNDP). </w:t>
      </w:r>
      <w:r w:rsidR="0042046E">
        <w:rPr>
          <w:lang w:val="en-ID"/>
        </w:rPr>
        <w:t xml:space="preserve">UNDP has provided support during </w:t>
      </w:r>
      <w:r w:rsidR="00286E37">
        <w:rPr>
          <w:lang w:val="en-ID"/>
        </w:rPr>
        <w:t>two phases</w:t>
      </w:r>
      <w:r w:rsidR="0042046E">
        <w:rPr>
          <w:lang w:val="en-ID"/>
        </w:rPr>
        <w:t>:</w:t>
      </w:r>
    </w:p>
    <w:p w14:paraId="492156C8" w14:textId="5B39CA8E" w:rsidR="0042046E" w:rsidRPr="0042046E" w:rsidRDefault="0042046E" w:rsidP="0042046E">
      <w:pPr>
        <w:pStyle w:val="ListParagraph"/>
        <w:numPr>
          <w:ilvl w:val="0"/>
          <w:numId w:val="13"/>
        </w:numPr>
        <w:rPr>
          <w:rStyle w:val="SubtleEmphasis"/>
          <w:rFonts w:cs="Calibri"/>
          <w:i w:val="0"/>
          <w:color w:val="000000" w:themeColor="text1"/>
        </w:rPr>
      </w:pPr>
      <w:r w:rsidRPr="0042046E">
        <w:rPr>
          <w:rStyle w:val="SubtleEmphasis"/>
          <w:rFonts w:cs="Calibri"/>
          <w:i w:val="0"/>
          <w:color w:val="000000" w:themeColor="text1"/>
        </w:rPr>
        <w:t xml:space="preserve">Support Facility for Peat Restoration Agency </w:t>
      </w:r>
      <w:r w:rsidR="00286E37">
        <w:rPr>
          <w:rStyle w:val="SubtleEmphasis"/>
          <w:rFonts w:cs="Calibri"/>
          <w:i w:val="0"/>
          <w:color w:val="000000" w:themeColor="text1"/>
          <w:lang w:val="en-US"/>
        </w:rPr>
        <w:t>P</w:t>
      </w:r>
      <w:r w:rsidR="00286E37" w:rsidRPr="0042046E">
        <w:rPr>
          <w:rStyle w:val="SubtleEmphasis"/>
          <w:rFonts w:cs="Calibri"/>
          <w:i w:val="0"/>
          <w:color w:val="000000" w:themeColor="text1"/>
        </w:rPr>
        <w:t xml:space="preserve">hase </w:t>
      </w:r>
      <w:r w:rsidRPr="0042046E">
        <w:rPr>
          <w:rStyle w:val="SubtleEmphasis"/>
          <w:rFonts w:cs="Calibri"/>
          <w:i w:val="0"/>
          <w:color w:val="000000" w:themeColor="text1"/>
        </w:rPr>
        <w:t>I (2016 – 2017)</w:t>
      </w:r>
    </w:p>
    <w:p w14:paraId="1F0B178A" w14:textId="531C8B24" w:rsidR="00D83CC7" w:rsidRPr="0042046E" w:rsidRDefault="0042046E" w:rsidP="00A267A5">
      <w:pPr>
        <w:pStyle w:val="ListParagraph"/>
        <w:numPr>
          <w:ilvl w:val="0"/>
          <w:numId w:val="13"/>
        </w:numPr>
        <w:rPr>
          <w:rFonts w:ascii="Tw Cen MT" w:hAnsi="Tw Cen MT"/>
          <w:i/>
        </w:rPr>
      </w:pPr>
      <w:r w:rsidRPr="0042046E">
        <w:rPr>
          <w:rStyle w:val="SubtleEmphasis"/>
          <w:rFonts w:cs="Calibri"/>
          <w:i w:val="0"/>
          <w:color w:val="000000" w:themeColor="text1"/>
        </w:rPr>
        <w:t xml:space="preserve">Support Facility for Peat Restoration Agency </w:t>
      </w:r>
      <w:r w:rsidR="00286E37">
        <w:rPr>
          <w:rStyle w:val="SubtleEmphasis"/>
          <w:rFonts w:cs="Calibri"/>
          <w:i w:val="0"/>
          <w:color w:val="000000" w:themeColor="text1"/>
          <w:lang w:val="en-US"/>
        </w:rPr>
        <w:t>P</w:t>
      </w:r>
      <w:r w:rsidRPr="0042046E">
        <w:rPr>
          <w:rStyle w:val="SubtleEmphasis"/>
          <w:rFonts w:cs="Calibri"/>
          <w:i w:val="0"/>
          <w:color w:val="000000" w:themeColor="text1"/>
        </w:rPr>
        <w:t>hase II (2017 – 2018)</w:t>
      </w:r>
    </w:p>
    <w:p w14:paraId="0792DDA8" w14:textId="7EF4399C" w:rsidR="00D83CC7" w:rsidRPr="00E33192" w:rsidRDefault="00E33192" w:rsidP="00A267A5">
      <w:pPr>
        <w:rPr>
          <w:lang w:val="en-ID"/>
        </w:rPr>
      </w:pPr>
      <w:r>
        <w:rPr>
          <w:lang w:val="en-ID"/>
        </w:rPr>
        <w:t>Through this support</w:t>
      </w:r>
      <w:r w:rsidR="00132B32">
        <w:rPr>
          <w:lang w:val="en-ID"/>
        </w:rPr>
        <w:t>,</w:t>
      </w:r>
      <w:r>
        <w:rPr>
          <w:lang w:val="en-ID"/>
        </w:rPr>
        <w:t xml:space="preserve"> </w:t>
      </w:r>
      <w:r w:rsidR="00D83CC7" w:rsidRPr="001460AD">
        <w:t>UNDP assisted and facilitated BRG with administration, procurement, financial</w:t>
      </w:r>
      <w:r w:rsidR="000A71AF">
        <w:t>,</w:t>
      </w:r>
      <w:r w:rsidR="00D83CC7" w:rsidRPr="001460AD">
        <w:t xml:space="preserve"> and monitoring</w:t>
      </w:r>
      <w:r w:rsidR="000A71AF">
        <w:t xml:space="preserve"> tasks. Moreover</w:t>
      </w:r>
      <w:r w:rsidR="00497240">
        <w:t>, this</w:t>
      </w:r>
      <w:r w:rsidR="00D83CC7" w:rsidRPr="001460AD">
        <w:t xml:space="preserve"> support </w:t>
      </w:r>
      <w:r w:rsidR="00497240">
        <w:t>enabled BRG to</w:t>
      </w:r>
      <w:r w:rsidR="00D83CC7" w:rsidRPr="001460AD">
        <w:t xml:space="preserve"> facilitat</w:t>
      </w:r>
      <w:r w:rsidR="00497240">
        <w:t>e</w:t>
      </w:r>
      <w:r w:rsidR="00D83CC7" w:rsidRPr="001460AD">
        <w:t xml:space="preserve"> and coordinat</w:t>
      </w:r>
      <w:r w:rsidR="00497240">
        <w:t>e</w:t>
      </w:r>
      <w:r w:rsidR="00D83CC7" w:rsidRPr="001460AD">
        <w:t xml:space="preserve"> peat restoration efforts, </w:t>
      </w:r>
      <w:r w:rsidR="00132B32">
        <w:rPr>
          <w:lang w:val="en-US"/>
        </w:rPr>
        <w:t>as well as</w:t>
      </w:r>
      <w:r w:rsidR="00132B32">
        <w:t xml:space="preserve"> </w:t>
      </w:r>
      <w:r w:rsidR="00D83CC7" w:rsidRPr="001460AD">
        <w:t>harmonize national polic</w:t>
      </w:r>
      <w:r w:rsidR="00497240">
        <w:t>ies</w:t>
      </w:r>
      <w:r w:rsidR="00D83CC7" w:rsidRPr="001460AD">
        <w:t xml:space="preserve"> on peat protection and management through </w:t>
      </w:r>
      <w:r w:rsidR="00497240">
        <w:t xml:space="preserve">the </w:t>
      </w:r>
      <w:r w:rsidR="00D83CC7" w:rsidRPr="001460AD">
        <w:t xml:space="preserve">acceleration of the revision of Government Regulation </w:t>
      </w:r>
      <w:r w:rsidR="00D83CC7">
        <w:t>Jun</w:t>
      </w:r>
      <w:r>
        <w:rPr>
          <w:lang w:val="en-ID"/>
        </w:rPr>
        <w:t>e</w:t>
      </w:r>
      <w:r w:rsidR="00D83CC7" w:rsidRPr="001460AD">
        <w:t xml:space="preserve"> 71 Year 2014</w:t>
      </w:r>
      <w:r>
        <w:rPr>
          <w:lang w:val="en-ID"/>
        </w:rPr>
        <w:t>. The support has assisted the Peat</w:t>
      </w:r>
      <w:r w:rsidR="004B7DCF">
        <w:rPr>
          <w:lang w:val="en-ID"/>
        </w:rPr>
        <w:t>land</w:t>
      </w:r>
      <w:r>
        <w:rPr>
          <w:lang w:val="en-ID"/>
        </w:rPr>
        <w:t xml:space="preserve"> H</w:t>
      </w:r>
      <w:r w:rsidR="004B7DCF">
        <w:rPr>
          <w:lang w:val="en-ID"/>
        </w:rPr>
        <w:t>y</w:t>
      </w:r>
      <w:r w:rsidRPr="001460AD">
        <w:t xml:space="preserve">drologycal </w:t>
      </w:r>
      <w:r>
        <w:rPr>
          <w:lang w:val="en-ID"/>
        </w:rPr>
        <w:t>U</w:t>
      </w:r>
      <w:r w:rsidRPr="001460AD">
        <w:t>nit (KHG)</w:t>
      </w:r>
      <w:r>
        <w:rPr>
          <w:lang w:val="en-ID"/>
        </w:rPr>
        <w:t xml:space="preserve"> to</w:t>
      </w:r>
      <w:r w:rsidR="00D83CC7" w:rsidRPr="001460AD">
        <w:t xml:space="preserve"> develop models for peat restoration</w:t>
      </w:r>
      <w:r>
        <w:rPr>
          <w:lang w:val="en-ID"/>
        </w:rPr>
        <w:t>.</w:t>
      </w:r>
      <w:r w:rsidR="00D05FB3">
        <w:t xml:space="preserve"> </w:t>
      </w:r>
    </w:p>
    <w:p w14:paraId="284E2550" w14:textId="77777777" w:rsidR="00291938" w:rsidRDefault="00291938" w:rsidP="00197DDF">
      <w:pPr>
        <w:autoSpaceDE w:val="0"/>
        <w:autoSpaceDN w:val="0"/>
        <w:adjustRightInd w:val="0"/>
        <w:spacing w:after="0" w:line="23" w:lineRule="atLeast"/>
        <w:rPr>
          <w:rFonts w:cs="Calibri,Bold"/>
          <w:bCs/>
          <w:color w:val="000000" w:themeColor="text1"/>
          <w:lang w:val="en-US"/>
        </w:rPr>
      </w:pPr>
    </w:p>
    <w:p w14:paraId="126EF412" w14:textId="599E52DC" w:rsidR="00197DDF" w:rsidRDefault="00197DDF" w:rsidP="00291938">
      <w:pPr>
        <w:pStyle w:val="Heading2"/>
        <w:rPr>
          <w:lang w:val="en-US"/>
        </w:rPr>
      </w:pPr>
      <w:bookmarkStart w:id="4" w:name="_Toc528998425"/>
      <w:r w:rsidRPr="0061157C">
        <w:rPr>
          <w:lang w:val="en-US"/>
        </w:rPr>
        <w:t xml:space="preserve">Description </w:t>
      </w:r>
      <w:r w:rsidR="005738DC">
        <w:rPr>
          <w:lang w:val="en-US"/>
        </w:rPr>
        <w:t>o</w:t>
      </w:r>
      <w:r w:rsidRPr="0061157C">
        <w:rPr>
          <w:lang w:val="en-US"/>
        </w:rPr>
        <w:t xml:space="preserve">f </w:t>
      </w:r>
      <w:r w:rsidR="005738DC">
        <w:rPr>
          <w:lang w:val="en-US"/>
        </w:rPr>
        <w:t>t</w:t>
      </w:r>
      <w:r w:rsidRPr="0061157C">
        <w:rPr>
          <w:lang w:val="en-US"/>
        </w:rPr>
        <w:t xml:space="preserve">he </w:t>
      </w:r>
      <w:r w:rsidR="00291938">
        <w:rPr>
          <w:lang w:val="en-US"/>
        </w:rPr>
        <w:t>I</w:t>
      </w:r>
      <w:r w:rsidRPr="0061157C">
        <w:rPr>
          <w:lang w:val="en-US"/>
        </w:rPr>
        <w:t>ntervention</w:t>
      </w:r>
      <w:bookmarkEnd w:id="4"/>
    </w:p>
    <w:p w14:paraId="45960FC9" w14:textId="77777777" w:rsidR="00291938" w:rsidRDefault="00291938" w:rsidP="00197DDF">
      <w:pPr>
        <w:autoSpaceDE w:val="0"/>
        <w:autoSpaceDN w:val="0"/>
        <w:adjustRightInd w:val="0"/>
        <w:spacing w:after="0" w:line="23" w:lineRule="atLeast"/>
        <w:rPr>
          <w:rFonts w:cs="Calibri,Bold"/>
          <w:bCs/>
          <w:color w:val="000000" w:themeColor="text1"/>
          <w:lang w:val="en-US"/>
        </w:rPr>
      </w:pPr>
    </w:p>
    <w:p w14:paraId="28E8632B" w14:textId="216AD797" w:rsidR="00A4577A" w:rsidRPr="007F57F3" w:rsidRDefault="004B7DCF" w:rsidP="00A4577A">
      <w:pPr>
        <w:spacing w:after="0"/>
        <w:contextualSpacing/>
        <w:rPr>
          <w:rFonts w:eastAsia="ヒラギノ角ゴ Pro W3" w:cs="Arial"/>
          <w:b/>
        </w:rPr>
      </w:pPr>
      <w:r>
        <w:rPr>
          <w:lang w:val="en-US"/>
        </w:rPr>
        <w:t xml:space="preserve">The </w:t>
      </w:r>
      <w:r w:rsidRPr="00693C2D">
        <w:rPr>
          <w:lang w:val="en-US"/>
        </w:rPr>
        <w:t>Support Facility for the Institutional Setup of the Indonesia Peat Restoration Agency</w:t>
      </w:r>
      <w:r>
        <w:rPr>
          <w:lang w:val="en-US"/>
        </w:rPr>
        <w:t xml:space="preserve"> was</w:t>
      </w:r>
      <w:r w:rsidR="00497240">
        <w:rPr>
          <w:lang w:val="en-US"/>
        </w:rPr>
        <w:t xml:space="preserve"> </w:t>
      </w:r>
      <w:r w:rsidRPr="001E0362">
        <w:rPr>
          <w:lang w:val="en-US"/>
        </w:rPr>
        <w:t>established to ensure that BRG is appropriately staffed, financed</w:t>
      </w:r>
      <w:r w:rsidR="00497240">
        <w:rPr>
          <w:lang w:val="en-US"/>
        </w:rPr>
        <w:t>,</w:t>
      </w:r>
      <w:r w:rsidRPr="001E0362">
        <w:rPr>
          <w:lang w:val="en-US"/>
        </w:rPr>
        <w:t xml:space="preserve"> and institutionalized to meet its mandates.</w:t>
      </w:r>
      <w:r w:rsidRPr="004B7DCF">
        <w:rPr>
          <w:lang w:val="en-US"/>
        </w:rPr>
        <w:t xml:space="preserve"> </w:t>
      </w:r>
      <w:r w:rsidR="007100FB">
        <w:rPr>
          <w:rFonts w:eastAsia="ヒラギノ角ゴ Pro W3" w:cs="Arial"/>
        </w:rPr>
        <w:t>The facility primarily supported BRG’s</w:t>
      </w:r>
      <w:r w:rsidR="00A4577A" w:rsidRPr="007F57F3">
        <w:rPr>
          <w:rFonts w:eastAsia="ヒラギノ角ゴ Pro W3" w:cs="Arial"/>
        </w:rPr>
        <w:t xml:space="preserve"> operation, financial administration, monitoring</w:t>
      </w:r>
      <w:r w:rsidR="007100FB">
        <w:rPr>
          <w:rFonts w:eastAsia="ヒラギノ角ゴ Pro W3" w:cs="Arial"/>
        </w:rPr>
        <w:t>,</w:t>
      </w:r>
      <w:r w:rsidR="00A4577A" w:rsidRPr="007F57F3">
        <w:rPr>
          <w:rFonts w:eastAsia="ヒラギノ角ゴ Pro W3" w:cs="Arial"/>
        </w:rPr>
        <w:t xml:space="preserve"> and </w:t>
      </w:r>
      <w:r w:rsidR="007100FB">
        <w:rPr>
          <w:rFonts w:eastAsia="ヒラギノ角ゴ Pro W3" w:cs="Arial"/>
        </w:rPr>
        <w:t xml:space="preserve">the </w:t>
      </w:r>
      <w:r w:rsidR="00A4577A" w:rsidRPr="007F57F3">
        <w:rPr>
          <w:rFonts w:eastAsia="ヒラギノ角ゴ Pro W3" w:cs="Arial"/>
        </w:rPr>
        <w:t>provision of technical inputs from UNDP</w:t>
      </w:r>
      <w:r w:rsidR="007100FB">
        <w:rPr>
          <w:rFonts w:eastAsia="ヒラギノ角ゴ Pro W3" w:cs="Arial"/>
        </w:rPr>
        <w:t>’s</w:t>
      </w:r>
      <w:r w:rsidR="00A4577A" w:rsidRPr="007F57F3">
        <w:rPr>
          <w:rFonts w:eastAsia="ヒラギノ角ゴ Pro W3" w:cs="Arial"/>
        </w:rPr>
        <w:t xml:space="preserve"> in-house-expert</w:t>
      </w:r>
      <w:r w:rsidR="007100FB">
        <w:rPr>
          <w:rFonts w:eastAsia="ヒラギノ角ゴ Pro W3" w:cs="Arial"/>
        </w:rPr>
        <w:t>s</w:t>
      </w:r>
      <w:r w:rsidR="00A4577A" w:rsidRPr="007F57F3">
        <w:rPr>
          <w:rFonts w:eastAsia="ヒラギノ角ゴ Pro W3" w:cs="Arial"/>
        </w:rPr>
        <w:t xml:space="preserve"> and global network</w:t>
      </w:r>
      <w:r w:rsidR="007100FB">
        <w:rPr>
          <w:rFonts w:eastAsia="ヒラギノ角ゴ Pro W3" w:cs="Arial"/>
        </w:rPr>
        <w:t xml:space="preserve">. This </w:t>
      </w:r>
      <w:r w:rsidR="00A4577A" w:rsidRPr="007F57F3">
        <w:rPr>
          <w:rFonts w:eastAsia="ヒラギノ角ゴ Pro W3" w:cs="Arial"/>
        </w:rPr>
        <w:t>ensure</w:t>
      </w:r>
      <w:r w:rsidR="00A4577A">
        <w:rPr>
          <w:rFonts w:eastAsia="ヒラギノ角ゴ Pro W3" w:cs="Arial"/>
          <w:lang w:val="en-ID"/>
        </w:rPr>
        <w:t>d</w:t>
      </w:r>
      <w:r w:rsidR="00A4577A" w:rsidRPr="007F57F3">
        <w:rPr>
          <w:rFonts w:eastAsia="ヒラギノ角ゴ Pro W3" w:cs="Arial"/>
        </w:rPr>
        <w:t xml:space="preserve"> </w:t>
      </w:r>
      <w:r w:rsidR="00132B32">
        <w:rPr>
          <w:rFonts w:eastAsia="ヒラギノ角ゴ Pro W3" w:cs="Arial"/>
          <w:lang w:val="en-US"/>
        </w:rPr>
        <w:t xml:space="preserve">that </w:t>
      </w:r>
      <w:r w:rsidR="00A4577A" w:rsidRPr="007F57F3">
        <w:rPr>
          <w:rFonts w:eastAsia="ヒラギノ角ゴ Pro W3" w:cs="Arial"/>
        </w:rPr>
        <w:t xml:space="preserve">activities implemented by </w:t>
      </w:r>
      <w:r w:rsidR="00A4577A">
        <w:rPr>
          <w:rFonts w:eastAsia="ヒラギノ角ゴ Pro W3" w:cs="Arial"/>
        </w:rPr>
        <w:t>BRG</w:t>
      </w:r>
      <w:r w:rsidR="00A4577A" w:rsidRPr="007F57F3">
        <w:rPr>
          <w:rFonts w:eastAsia="ヒラギノ角ゴ Pro W3" w:cs="Arial"/>
        </w:rPr>
        <w:t xml:space="preserve"> under the secretariat achieve</w:t>
      </w:r>
      <w:r w:rsidR="00A4577A">
        <w:rPr>
          <w:rFonts w:eastAsia="ヒラギノ角ゴ Pro W3" w:cs="Arial"/>
          <w:lang w:val="en-ID"/>
        </w:rPr>
        <w:t>d</w:t>
      </w:r>
      <w:r w:rsidR="00A4577A" w:rsidRPr="007F57F3">
        <w:rPr>
          <w:rFonts w:eastAsia="ヒラギノ角ゴ Pro W3" w:cs="Arial"/>
        </w:rPr>
        <w:t xml:space="preserve"> the</w:t>
      </w:r>
      <w:r w:rsidR="00A4577A">
        <w:rPr>
          <w:rFonts w:eastAsia="ヒラギノ角ゴ Pro W3" w:cs="Arial"/>
          <w:lang w:val="en-ID"/>
        </w:rPr>
        <w:t>ir</w:t>
      </w:r>
      <w:r w:rsidR="00A4577A" w:rsidRPr="007F57F3">
        <w:rPr>
          <w:rFonts w:eastAsia="ヒラギノ角ゴ Pro W3" w:cs="Arial"/>
        </w:rPr>
        <w:t xml:space="preserve"> expected outputs. </w:t>
      </w:r>
      <w:r w:rsidR="00A4577A">
        <w:rPr>
          <w:rFonts w:eastAsia="ヒラギノ角ゴ Pro W3" w:cs="Arial"/>
        </w:rPr>
        <w:t>The support include</w:t>
      </w:r>
      <w:r w:rsidR="00A4577A">
        <w:rPr>
          <w:rFonts w:eastAsia="ヒラギノ角ゴ Pro W3" w:cs="Arial"/>
          <w:lang w:val="en-ID"/>
        </w:rPr>
        <w:t>d</w:t>
      </w:r>
      <w:r w:rsidR="00A4577A">
        <w:rPr>
          <w:rFonts w:eastAsia="ヒラギノ角ゴ Pro W3" w:cs="Arial"/>
        </w:rPr>
        <w:t xml:space="preserve"> recruitment of staff, procurement</w:t>
      </w:r>
      <w:r w:rsidR="00A4577A">
        <w:rPr>
          <w:rFonts w:eastAsia="ヒラギノ角ゴ Pro W3" w:cs="Arial"/>
          <w:lang w:val="en-ID"/>
        </w:rPr>
        <w:t xml:space="preserve"> of goods and services</w:t>
      </w:r>
      <w:r w:rsidR="00A4577A">
        <w:rPr>
          <w:rFonts w:eastAsia="ヒラギノ角ゴ Pro W3" w:cs="Arial"/>
        </w:rPr>
        <w:t xml:space="preserve">, and </w:t>
      </w:r>
      <w:r w:rsidR="00A4577A">
        <w:rPr>
          <w:rFonts w:eastAsia="ヒラギノ角ゴ Pro W3" w:cs="Arial"/>
          <w:lang w:val="en-ID"/>
        </w:rPr>
        <w:t xml:space="preserve">the </w:t>
      </w:r>
      <w:r w:rsidR="00A4577A">
        <w:rPr>
          <w:rFonts w:eastAsia="ヒラギノ角ゴ Pro W3" w:cs="Arial"/>
        </w:rPr>
        <w:t>recruitment of experts.</w:t>
      </w:r>
    </w:p>
    <w:p w14:paraId="76313798" w14:textId="7A531CB0" w:rsidR="004B7DCF" w:rsidRPr="00A4577A" w:rsidRDefault="00A4577A" w:rsidP="00A4577A">
      <w:pPr>
        <w:rPr>
          <w:b/>
          <w:lang w:val="en-US"/>
        </w:rPr>
      </w:pPr>
      <w:r>
        <w:rPr>
          <w:lang w:val="en-US"/>
        </w:rPr>
        <w:lastRenderedPageBreak/>
        <w:t>This enabled BRG to mobili</w:t>
      </w:r>
      <w:r w:rsidR="007100FB">
        <w:rPr>
          <w:lang w:val="en-US"/>
        </w:rPr>
        <w:t>z</w:t>
      </w:r>
      <w:r>
        <w:rPr>
          <w:lang w:val="en-US"/>
        </w:rPr>
        <w:t xml:space="preserve">e resources in a timely </w:t>
      </w:r>
      <w:r w:rsidR="007100FB">
        <w:rPr>
          <w:lang w:val="en-US"/>
        </w:rPr>
        <w:t>manner</w:t>
      </w:r>
      <w:r>
        <w:rPr>
          <w:lang w:val="en-US"/>
        </w:rPr>
        <w:t xml:space="preserve">. The focus of the intervention </w:t>
      </w:r>
      <w:r w:rsidR="007100FB">
        <w:rPr>
          <w:lang w:val="en-US"/>
        </w:rPr>
        <w:t>wa</w:t>
      </w:r>
      <w:r>
        <w:rPr>
          <w:lang w:val="en-US"/>
        </w:rPr>
        <w:t xml:space="preserve">s </w:t>
      </w:r>
      <w:r w:rsidR="00A82C5D">
        <w:rPr>
          <w:lang w:val="en-US"/>
        </w:rPr>
        <w:t>to ensure</w:t>
      </w:r>
      <w:r>
        <w:rPr>
          <w:lang w:val="en-US"/>
        </w:rPr>
        <w:t xml:space="preserve"> BRG has the capacity and resources to continue operations without continued UNDP support</w:t>
      </w:r>
      <w:r w:rsidR="00A82C5D">
        <w:rPr>
          <w:lang w:val="en-US"/>
        </w:rPr>
        <w:t xml:space="preserve"> </w:t>
      </w:r>
      <w:r w:rsidR="00132B32">
        <w:rPr>
          <w:lang w:val="en-US"/>
        </w:rPr>
        <w:t>pos</w:t>
      </w:r>
      <w:r w:rsidR="00C1525C">
        <w:rPr>
          <w:lang w:val="en-US"/>
        </w:rPr>
        <w:t>t</w:t>
      </w:r>
      <w:r w:rsidR="00132B32">
        <w:rPr>
          <w:lang w:val="en-US"/>
        </w:rPr>
        <w:t>-</w:t>
      </w:r>
      <w:r w:rsidR="00A82C5D">
        <w:rPr>
          <w:lang w:val="en-US"/>
        </w:rPr>
        <w:t>2018</w:t>
      </w:r>
      <w:r>
        <w:rPr>
          <w:lang w:val="en-US"/>
        </w:rPr>
        <w:t xml:space="preserve">. </w:t>
      </w:r>
    </w:p>
    <w:p w14:paraId="592EAD4A" w14:textId="36E5DC01" w:rsidR="00385A5F" w:rsidRDefault="00385A5F" w:rsidP="00385A5F">
      <w:pPr>
        <w:spacing w:after="0"/>
        <w:rPr>
          <w:rFonts w:cs="Arial"/>
          <w:bCs/>
          <w:lang w:val="en-US"/>
        </w:rPr>
      </w:pPr>
      <w:r>
        <w:rPr>
          <w:rFonts w:cs="Arial"/>
          <w:bCs/>
          <w:lang w:val="en-US"/>
        </w:rPr>
        <w:t>Phase I of the Project, 2016 – 2017 had the following outputs:</w:t>
      </w:r>
    </w:p>
    <w:p w14:paraId="46978194" w14:textId="77777777" w:rsidR="00132B32" w:rsidRPr="00385A5F" w:rsidRDefault="00132B32" w:rsidP="00385A5F">
      <w:pPr>
        <w:spacing w:after="0"/>
        <w:rPr>
          <w:rFonts w:cs="Arial"/>
          <w:bCs/>
          <w:lang w:val="en-US"/>
        </w:rPr>
      </w:pPr>
    </w:p>
    <w:p w14:paraId="6EBADF73" w14:textId="343F9DD3" w:rsidR="00385A5F" w:rsidRPr="00385A5F" w:rsidRDefault="00385A5F" w:rsidP="006C0A4B">
      <w:pPr>
        <w:ind w:left="720"/>
        <w:rPr>
          <w:rFonts w:asciiTheme="minorHAnsi" w:hAnsiTheme="minorHAnsi" w:cstheme="minorHAnsi"/>
          <w:color w:val="000000" w:themeColor="text1"/>
        </w:rPr>
      </w:pPr>
      <w:bookmarkStart w:id="5" w:name="_Toc350180299"/>
      <w:r w:rsidRPr="00385A5F">
        <w:rPr>
          <w:rFonts w:asciiTheme="minorHAnsi" w:hAnsiTheme="minorHAnsi" w:cstheme="minorHAnsi"/>
          <w:color w:val="000000" w:themeColor="text1"/>
        </w:rPr>
        <w:t xml:space="preserve">Output 1 – BRG is equipped with the necessary components that will make </w:t>
      </w:r>
      <w:r w:rsidR="005738DC">
        <w:rPr>
          <w:rFonts w:asciiTheme="minorHAnsi" w:hAnsiTheme="minorHAnsi" w:cstheme="minorHAnsi"/>
          <w:color w:val="000000" w:themeColor="text1"/>
          <w:lang w:val="en-US"/>
        </w:rPr>
        <w:t>it</w:t>
      </w:r>
      <w:r w:rsidR="008A35F9">
        <w:rPr>
          <w:rFonts w:asciiTheme="minorHAnsi" w:hAnsiTheme="minorHAnsi" w:cstheme="minorHAnsi"/>
          <w:color w:val="000000" w:themeColor="text1"/>
          <w:lang w:val="en-US"/>
        </w:rPr>
        <w:t xml:space="preserve"> an</w:t>
      </w:r>
      <w:r w:rsidRPr="00385A5F">
        <w:rPr>
          <w:rFonts w:asciiTheme="minorHAnsi" w:hAnsiTheme="minorHAnsi" w:cstheme="minorHAnsi"/>
          <w:color w:val="000000" w:themeColor="text1"/>
        </w:rPr>
        <w:t xml:space="preserve"> effective institution to deliver its mandates</w:t>
      </w:r>
      <w:bookmarkEnd w:id="5"/>
      <w:r w:rsidR="007100FB">
        <w:rPr>
          <w:rFonts w:asciiTheme="minorHAnsi" w:hAnsiTheme="minorHAnsi" w:cstheme="minorHAnsi"/>
          <w:color w:val="000000" w:themeColor="text1"/>
        </w:rPr>
        <w:t>.</w:t>
      </w:r>
      <w:r w:rsidRPr="00385A5F">
        <w:rPr>
          <w:rFonts w:asciiTheme="minorHAnsi" w:hAnsiTheme="minorHAnsi" w:cstheme="minorHAnsi"/>
          <w:color w:val="000000" w:themeColor="text1"/>
        </w:rPr>
        <w:t xml:space="preserve"> </w:t>
      </w:r>
    </w:p>
    <w:p w14:paraId="121B2A61" w14:textId="26509CBD" w:rsidR="00385A5F" w:rsidRPr="00385A5F" w:rsidRDefault="00385A5F" w:rsidP="006C0A4B">
      <w:pPr>
        <w:ind w:left="720"/>
        <w:rPr>
          <w:rFonts w:asciiTheme="minorHAnsi" w:hAnsiTheme="minorHAnsi" w:cstheme="minorHAnsi"/>
          <w:color w:val="000000" w:themeColor="text1"/>
        </w:rPr>
      </w:pPr>
      <w:bookmarkStart w:id="6" w:name="_Toc350180300"/>
      <w:r w:rsidRPr="00385A5F">
        <w:rPr>
          <w:rFonts w:asciiTheme="minorHAnsi" w:hAnsiTheme="minorHAnsi" w:cstheme="minorHAnsi"/>
          <w:color w:val="000000" w:themeColor="text1"/>
        </w:rPr>
        <w:t xml:space="preserve">Output 2 – BRG’s inputs for the revision of Government Regulation </w:t>
      </w:r>
      <w:r w:rsidR="00124A05">
        <w:rPr>
          <w:rFonts w:asciiTheme="minorHAnsi" w:hAnsiTheme="minorHAnsi" w:cstheme="minorHAnsi"/>
          <w:color w:val="000000" w:themeColor="text1"/>
          <w:lang w:val="en-ID"/>
        </w:rPr>
        <w:t xml:space="preserve">No </w:t>
      </w:r>
      <w:r w:rsidRPr="00385A5F">
        <w:rPr>
          <w:rFonts w:asciiTheme="minorHAnsi" w:hAnsiTheme="minorHAnsi" w:cstheme="minorHAnsi"/>
          <w:color w:val="000000" w:themeColor="text1"/>
        </w:rPr>
        <w:t>71 Year 2014 on Peat Ecosystem Protection and Management is in place followed by the drafting of relevant ministerial regulations or decrees</w:t>
      </w:r>
      <w:bookmarkEnd w:id="6"/>
      <w:r w:rsidR="007100FB">
        <w:rPr>
          <w:rFonts w:asciiTheme="minorHAnsi" w:hAnsiTheme="minorHAnsi" w:cstheme="minorHAnsi"/>
          <w:color w:val="000000" w:themeColor="text1"/>
        </w:rPr>
        <w:t>.</w:t>
      </w:r>
    </w:p>
    <w:p w14:paraId="3735786C" w14:textId="621EA8AC" w:rsidR="00385A5F" w:rsidRPr="00385A5F" w:rsidRDefault="00385A5F" w:rsidP="006C0A4B">
      <w:pPr>
        <w:ind w:left="720"/>
        <w:rPr>
          <w:rFonts w:asciiTheme="minorHAnsi" w:hAnsiTheme="minorHAnsi" w:cstheme="minorHAnsi"/>
          <w:color w:val="000000" w:themeColor="text1"/>
        </w:rPr>
      </w:pPr>
      <w:bookmarkStart w:id="7" w:name="_Toc350180301"/>
      <w:r w:rsidRPr="00385A5F">
        <w:rPr>
          <w:rFonts w:asciiTheme="minorHAnsi" w:hAnsiTheme="minorHAnsi" w:cstheme="minorHAnsi"/>
          <w:color w:val="000000" w:themeColor="text1"/>
        </w:rPr>
        <w:t>Output 3 – The peat restoration implementation models are in place and serve as key reference for peat restoration undertaken by central government, sub-national government</w:t>
      </w:r>
      <w:r w:rsidR="007100FB">
        <w:rPr>
          <w:rFonts w:asciiTheme="minorHAnsi" w:hAnsiTheme="minorHAnsi" w:cstheme="minorHAnsi"/>
          <w:color w:val="000000" w:themeColor="text1"/>
        </w:rPr>
        <w:t>s,</w:t>
      </w:r>
      <w:r w:rsidRPr="00385A5F">
        <w:rPr>
          <w:rFonts w:asciiTheme="minorHAnsi" w:hAnsiTheme="minorHAnsi" w:cstheme="minorHAnsi"/>
          <w:color w:val="000000" w:themeColor="text1"/>
        </w:rPr>
        <w:t xml:space="preserve"> </w:t>
      </w:r>
      <w:r w:rsidR="007100FB">
        <w:rPr>
          <w:rFonts w:asciiTheme="minorHAnsi" w:hAnsiTheme="minorHAnsi" w:cstheme="minorHAnsi"/>
          <w:color w:val="000000" w:themeColor="text1"/>
        </w:rPr>
        <w:t>and</w:t>
      </w:r>
      <w:r w:rsidR="007100FB" w:rsidRPr="00385A5F">
        <w:rPr>
          <w:rFonts w:asciiTheme="minorHAnsi" w:hAnsiTheme="minorHAnsi" w:cstheme="minorHAnsi"/>
          <w:color w:val="000000" w:themeColor="text1"/>
        </w:rPr>
        <w:t xml:space="preserve"> </w:t>
      </w:r>
      <w:r w:rsidR="00C1525C">
        <w:rPr>
          <w:rFonts w:asciiTheme="minorHAnsi" w:hAnsiTheme="minorHAnsi" w:cstheme="minorHAnsi"/>
          <w:color w:val="000000" w:themeColor="text1"/>
          <w:lang w:val="en-ID"/>
        </w:rPr>
        <w:t xml:space="preserve">Civil Society </w:t>
      </w:r>
      <w:r w:rsidRPr="00385A5F">
        <w:rPr>
          <w:rFonts w:asciiTheme="minorHAnsi" w:hAnsiTheme="minorHAnsi" w:cstheme="minorHAnsi"/>
          <w:color w:val="000000" w:themeColor="text1"/>
        </w:rPr>
        <w:t>partners</w:t>
      </w:r>
      <w:bookmarkEnd w:id="7"/>
      <w:r w:rsidR="007100FB">
        <w:rPr>
          <w:rFonts w:asciiTheme="minorHAnsi" w:hAnsiTheme="minorHAnsi" w:cstheme="minorHAnsi"/>
          <w:color w:val="000000" w:themeColor="text1"/>
        </w:rPr>
        <w:t>.</w:t>
      </w:r>
      <w:r w:rsidRPr="00385A5F">
        <w:rPr>
          <w:rFonts w:asciiTheme="minorHAnsi" w:hAnsiTheme="minorHAnsi" w:cstheme="minorHAnsi"/>
          <w:color w:val="000000" w:themeColor="text1"/>
        </w:rPr>
        <w:t xml:space="preserve"> </w:t>
      </w:r>
    </w:p>
    <w:p w14:paraId="19598F05" w14:textId="58441C73" w:rsidR="00A4577A" w:rsidRPr="00385A5F" w:rsidRDefault="00B31FE8" w:rsidP="00385A5F">
      <w:pPr>
        <w:rPr>
          <w:rFonts w:asciiTheme="minorHAnsi" w:hAnsiTheme="minorHAnsi" w:cstheme="minorHAnsi"/>
          <w:lang w:val="en-US"/>
        </w:rPr>
      </w:pPr>
      <w:r w:rsidRPr="00385A5F">
        <w:rPr>
          <w:rFonts w:asciiTheme="minorHAnsi" w:hAnsiTheme="minorHAnsi" w:cstheme="minorHAnsi"/>
          <w:lang w:val="en-US"/>
        </w:rPr>
        <w:t xml:space="preserve">The Project’s Theory of Change </w:t>
      </w:r>
      <w:r w:rsidR="000424B5" w:rsidRPr="00385A5F">
        <w:rPr>
          <w:rFonts w:asciiTheme="minorHAnsi" w:hAnsiTheme="minorHAnsi" w:cstheme="minorHAnsi"/>
          <w:lang w:val="en-US"/>
        </w:rPr>
        <w:t>(</w:t>
      </w:r>
      <w:r w:rsidR="00132B32">
        <w:rPr>
          <w:rFonts w:asciiTheme="minorHAnsi" w:hAnsiTheme="minorHAnsi" w:cstheme="minorHAnsi"/>
          <w:lang w:val="en-US"/>
        </w:rPr>
        <w:t>D</w:t>
      </w:r>
      <w:r w:rsidR="00132B32" w:rsidRPr="00385A5F">
        <w:rPr>
          <w:rFonts w:asciiTheme="minorHAnsi" w:hAnsiTheme="minorHAnsi" w:cstheme="minorHAnsi"/>
          <w:lang w:val="en-US"/>
        </w:rPr>
        <w:t xml:space="preserve">iagram </w:t>
      </w:r>
      <w:r w:rsidR="000424B5" w:rsidRPr="00385A5F">
        <w:rPr>
          <w:rFonts w:asciiTheme="minorHAnsi" w:hAnsiTheme="minorHAnsi" w:cstheme="minorHAnsi"/>
          <w:lang w:val="en-US"/>
        </w:rPr>
        <w:t xml:space="preserve">1) </w:t>
      </w:r>
      <w:r w:rsidRPr="00385A5F">
        <w:rPr>
          <w:rFonts w:asciiTheme="minorHAnsi" w:hAnsiTheme="minorHAnsi" w:cstheme="minorHAnsi"/>
          <w:lang w:val="en-US"/>
        </w:rPr>
        <w:t xml:space="preserve">defines the </w:t>
      </w:r>
      <w:r w:rsidR="00132B32">
        <w:rPr>
          <w:rFonts w:asciiTheme="minorHAnsi" w:hAnsiTheme="minorHAnsi" w:cstheme="minorHAnsi"/>
          <w:lang w:val="en-US"/>
        </w:rPr>
        <w:t>P</w:t>
      </w:r>
      <w:r w:rsidR="00132B32" w:rsidRPr="00385A5F">
        <w:rPr>
          <w:rFonts w:asciiTheme="minorHAnsi" w:hAnsiTheme="minorHAnsi" w:cstheme="minorHAnsi"/>
          <w:lang w:val="en-US"/>
        </w:rPr>
        <w:t xml:space="preserve">roject </w:t>
      </w:r>
      <w:r w:rsidRPr="00385A5F">
        <w:rPr>
          <w:rFonts w:asciiTheme="minorHAnsi" w:hAnsiTheme="minorHAnsi" w:cstheme="minorHAnsi"/>
          <w:lang w:val="en-US"/>
        </w:rPr>
        <w:t xml:space="preserve">logic </w:t>
      </w:r>
      <w:r w:rsidR="00385A5F" w:rsidRPr="00385A5F">
        <w:rPr>
          <w:rFonts w:asciiTheme="minorHAnsi" w:hAnsiTheme="minorHAnsi" w:cstheme="minorHAnsi"/>
          <w:lang w:val="en-US"/>
        </w:rPr>
        <w:t>for Phase II</w:t>
      </w:r>
      <w:r w:rsidR="00A82C5D">
        <w:rPr>
          <w:rFonts w:asciiTheme="minorHAnsi" w:hAnsiTheme="minorHAnsi" w:cstheme="minorHAnsi"/>
          <w:lang w:val="en-US"/>
        </w:rPr>
        <w:t>, 2017 –</w:t>
      </w:r>
      <w:r w:rsidR="00132B32">
        <w:rPr>
          <w:rFonts w:asciiTheme="minorHAnsi" w:hAnsiTheme="minorHAnsi" w:cstheme="minorHAnsi"/>
          <w:lang w:val="en-US"/>
        </w:rPr>
        <w:t xml:space="preserve"> </w:t>
      </w:r>
      <w:r w:rsidR="00A82C5D">
        <w:rPr>
          <w:rFonts w:asciiTheme="minorHAnsi" w:hAnsiTheme="minorHAnsi" w:cstheme="minorHAnsi"/>
          <w:lang w:val="en-US"/>
        </w:rPr>
        <w:t>2018,</w:t>
      </w:r>
      <w:r w:rsidR="00385A5F" w:rsidRPr="00385A5F">
        <w:rPr>
          <w:rFonts w:asciiTheme="minorHAnsi" w:hAnsiTheme="minorHAnsi" w:cstheme="minorHAnsi"/>
          <w:lang w:val="en-US"/>
        </w:rPr>
        <w:t xml:space="preserve"> </w:t>
      </w:r>
      <w:r w:rsidRPr="00385A5F">
        <w:rPr>
          <w:rFonts w:asciiTheme="minorHAnsi" w:hAnsiTheme="minorHAnsi" w:cstheme="minorHAnsi"/>
          <w:lang w:val="en-US"/>
        </w:rPr>
        <w:t xml:space="preserve">based </w:t>
      </w:r>
      <w:r w:rsidR="00132B32">
        <w:rPr>
          <w:rFonts w:asciiTheme="minorHAnsi" w:hAnsiTheme="minorHAnsi" w:cstheme="minorHAnsi"/>
          <w:lang w:val="en-US"/>
        </w:rPr>
        <w:t>upon</w:t>
      </w:r>
      <w:r w:rsidR="00132B32" w:rsidRPr="00385A5F">
        <w:rPr>
          <w:rFonts w:asciiTheme="minorHAnsi" w:hAnsiTheme="minorHAnsi" w:cstheme="minorHAnsi"/>
          <w:lang w:val="en-US"/>
        </w:rPr>
        <w:t xml:space="preserve"> </w:t>
      </w:r>
      <w:r w:rsidRPr="00385A5F">
        <w:rPr>
          <w:rFonts w:asciiTheme="minorHAnsi" w:hAnsiTheme="minorHAnsi" w:cstheme="minorHAnsi"/>
          <w:lang w:val="en-US"/>
        </w:rPr>
        <w:t>the following three</w:t>
      </w:r>
      <w:r w:rsidR="00385A5F" w:rsidRPr="00385A5F">
        <w:rPr>
          <w:rFonts w:asciiTheme="minorHAnsi" w:hAnsiTheme="minorHAnsi" w:cstheme="minorHAnsi"/>
          <w:lang w:val="en-US"/>
        </w:rPr>
        <w:t xml:space="preserve"> outputs</w:t>
      </w:r>
      <w:r w:rsidRPr="00385A5F">
        <w:rPr>
          <w:rFonts w:asciiTheme="minorHAnsi" w:hAnsiTheme="minorHAnsi" w:cstheme="minorHAnsi"/>
          <w:lang w:val="en-US"/>
        </w:rPr>
        <w:t>:</w:t>
      </w:r>
      <w:r w:rsidR="00D05FB3">
        <w:rPr>
          <w:rFonts w:asciiTheme="minorHAnsi" w:hAnsiTheme="minorHAnsi" w:cstheme="minorHAnsi"/>
          <w:lang w:val="en-US"/>
        </w:rPr>
        <w:t xml:space="preserve"> </w:t>
      </w:r>
    </w:p>
    <w:p w14:paraId="1BD066BF" w14:textId="6449DFD5" w:rsidR="00385A5F" w:rsidRPr="00385A5F" w:rsidRDefault="00385A5F" w:rsidP="006C0A4B">
      <w:pPr>
        <w:ind w:left="720"/>
        <w:rPr>
          <w:rFonts w:asciiTheme="minorHAnsi" w:hAnsiTheme="minorHAnsi" w:cstheme="minorHAnsi"/>
          <w:color w:val="000000" w:themeColor="text1"/>
          <w:lang w:eastAsia="en-GB"/>
        </w:rPr>
      </w:pPr>
      <w:r w:rsidRPr="00385A5F">
        <w:rPr>
          <w:rFonts w:asciiTheme="minorHAnsi" w:hAnsiTheme="minorHAnsi" w:cstheme="minorHAnsi"/>
          <w:color w:val="000000" w:themeColor="text1"/>
          <w:lang w:eastAsia="en-GB"/>
        </w:rPr>
        <w:t xml:space="preserve">Output </w:t>
      </w:r>
      <w:r w:rsidR="00322132">
        <w:rPr>
          <w:rFonts w:asciiTheme="minorHAnsi" w:hAnsiTheme="minorHAnsi" w:cstheme="minorHAnsi"/>
          <w:color w:val="000000" w:themeColor="text1"/>
          <w:lang w:val="en-ID" w:eastAsia="en-GB"/>
        </w:rPr>
        <w:t>4</w:t>
      </w:r>
      <w:r w:rsidRPr="00385A5F">
        <w:rPr>
          <w:rFonts w:asciiTheme="minorHAnsi" w:hAnsiTheme="minorHAnsi" w:cstheme="minorHAnsi"/>
          <w:color w:val="000000" w:themeColor="text1"/>
          <w:lang w:eastAsia="en-GB"/>
        </w:rPr>
        <w:t xml:space="preserve"> – BRG’s core institutional support functions and peatland operational equipment is established</w:t>
      </w:r>
      <w:r w:rsidR="007100FB">
        <w:rPr>
          <w:rFonts w:asciiTheme="minorHAnsi" w:hAnsiTheme="minorHAnsi" w:cstheme="minorHAnsi"/>
          <w:color w:val="000000" w:themeColor="text1"/>
          <w:lang w:eastAsia="en-GB"/>
        </w:rPr>
        <w:t>.</w:t>
      </w:r>
    </w:p>
    <w:p w14:paraId="25025C25" w14:textId="011CEB4A" w:rsidR="00385A5F" w:rsidRPr="00385A5F" w:rsidRDefault="00385A5F" w:rsidP="006C0A4B">
      <w:pPr>
        <w:ind w:left="720"/>
        <w:rPr>
          <w:rFonts w:asciiTheme="minorHAnsi" w:hAnsiTheme="minorHAnsi" w:cstheme="minorHAnsi"/>
          <w:color w:val="000000" w:themeColor="text1"/>
          <w:lang w:eastAsia="en-GB"/>
        </w:rPr>
      </w:pPr>
      <w:r w:rsidRPr="00385A5F">
        <w:rPr>
          <w:rFonts w:asciiTheme="minorHAnsi" w:hAnsiTheme="minorHAnsi" w:cstheme="minorHAnsi"/>
          <w:color w:val="000000" w:themeColor="text1"/>
          <w:lang w:eastAsia="en-GB"/>
        </w:rPr>
        <w:t xml:space="preserve">Output </w:t>
      </w:r>
      <w:r w:rsidR="00322132">
        <w:rPr>
          <w:rFonts w:asciiTheme="minorHAnsi" w:hAnsiTheme="minorHAnsi" w:cstheme="minorHAnsi"/>
          <w:color w:val="000000" w:themeColor="text1"/>
          <w:lang w:val="en-ID" w:eastAsia="en-GB"/>
        </w:rPr>
        <w:t>5</w:t>
      </w:r>
      <w:r w:rsidRPr="00385A5F">
        <w:rPr>
          <w:rFonts w:asciiTheme="minorHAnsi" w:hAnsiTheme="minorHAnsi" w:cstheme="minorHAnsi"/>
          <w:color w:val="000000" w:themeColor="text1"/>
          <w:lang w:eastAsia="en-GB"/>
        </w:rPr>
        <w:t xml:space="preserve"> – Strengthen BRG’s engagement with a wide coalition of stakeholders and its implementation of restoration activities</w:t>
      </w:r>
      <w:r w:rsidR="007100FB">
        <w:rPr>
          <w:rFonts w:asciiTheme="minorHAnsi" w:hAnsiTheme="minorHAnsi" w:cstheme="minorHAnsi"/>
          <w:color w:val="000000" w:themeColor="text1"/>
          <w:lang w:eastAsia="en-GB"/>
        </w:rPr>
        <w:t>.</w:t>
      </w:r>
      <w:r w:rsidRPr="00385A5F">
        <w:rPr>
          <w:rFonts w:asciiTheme="minorHAnsi" w:hAnsiTheme="minorHAnsi" w:cstheme="minorHAnsi"/>
          <w:color w:val="000000" w:themeColor="text1"/>
          <w:lang w:eastAsia="en-GB"/>
        </w:rPr>
        <w:t xml:space="preserve"> </w:t>
      </w:r>
    </w:p>
    <w:p w14:paraId="6695B81A" w14:textId="3B3444B5" w:rsidR="00385A5F" w:rsidRDefault="00385A5F">
      <w:pPr>
        <w:ind w:left="720"/>
        <w:rPr>
          <w:rFonts w:asciiTheme="minorHAnsi" w:hAnsiTheme="minorHAnsi" w:cstheme="minorHAnsi"/>
          <w:color w:val="000000" w:themeColor="text1"/>
          <w:lang w:eastAsia="en-GB"/>
        </w:rPr>
      </w:pPr>
      <w:r w:rsidRPr="00385A5F">
        <w:rPr>
          <w:rFonts w:asciiTheme="minorHAnsi" w:hAnsiTheme="minorHAnsi" w:cstheme="minorHAnsi"/>
          <w:color w:val="000000" w:themeColor="text1"/>
          <w:lang w:eastAsia="en-GB"/>
        </w:rPr>
        <w:t xml:space="preserve">Output </w:t>
      </w:r>
      <w:r w:rsidR="00322132">
        <w:rPr>
          <w:rFonts w:asciiTheme="minorHAnsi" w:hAnsiTheme="minorHAnsi" w:cstheme="minorHAnsi"/>
          <w:color w:val="000000" w:themeColor="text1"/>
          <w:lang w:val="en-ID" w:eastAsia="en-GB"/>
        </w:rPr>
        <w:t>6</w:t>
      </w:r>
      <w:r w:rsidRPr="00385A5F">
        <w:rPr>
          <w:rFonts w:asciiTheme="minorHAnsi" w:hAnsiTheme="minorHAnsi" w:cstheme="minorHAnsi"/>
          <w:color w:val="000000" w:themeColor="text1"/>
          <w:lang w:eastAsia="en-GB"/>
        </w:rPr>
        <w:t xml:space="preserve"> – Build capacity through provision of technical staff and guidelines that contribute to BRG’s technical capacity</w:t>
      </w:r>
      <w:r w:rsidR="007100FB">
        <w:rPr>
          <w:rFonts w:asciiTheme="minorHAnsi" w:hAnsiTheme="minorHAnsi" w:cstheme="minorHAnsi"/>
          <w:color w:val="000000" w:themeColor="text1"/>
          <w:lang w:eastAsia="en-GB"/>
        </w:rPr>
        <w:t>.</w:t>
      </w:r>
    </w:p>
    <w:p w14:paraId="5F3CB3A9" w14:textId="36C5476B" w:rsidR="00C1525C" w:rsidRDefault="00C1525C">
      <w:pPr>
        <w:ind w:left="720"/>
        <w:rPr>
          <w:rFonts w:asciiTheme="minorHAnsi" w:hAnsiTheme="minorHAnsi" w:cstheme="minorHAnsi"/>
          <w:lang w:val="en-US"/>
        </w:rPr>
      </w:pPr>
    </w:p>
    <w:p w14:paraId="4951925C" w14:textId="5968BFFE" w:rsidR="00C1525C" w:rsidRDefault="00C1525C">
      <w:pPr>
        <w:ind w:left="720"/>
        <w:rPr>
          <w:rFonts w:asciiTheme="minorHAnsi" w:hAnsiTheme="minorHAnsi" w:cstheme="minorHAnsi"/>
          <w:lang w:val="en-US"/>
        </w:rPr>
      </w:pPr>
    </w:p>
    <w:p w14:paraId="229A54AF" w14:textId="15AF7626" w:rsidR="00C1525C" w:rsidRDefault="00C1525C">
      <w:pPr>
        <w:ind w:left="720"/>
        <w:rPr>
          <w:rFonts w:asciiTheme="minorHAnsi" w:hAnsiTheme="minorHAnsi" w:cstheme="minorHAnsi"/>
          <w:lang w:val="en-US"/>
        </w:rPr>
      </w:pPr>
    </w:p>
    <w:p w14:paraId="0754489B" w14:textId="477209A5" w:rsidR="00C1525C" w:rsidRDefault="00C1525C">
      <w:pPr>
        <w:ind w:left="720"/>
        <w:rPr>
          <w:rFonts w:asciiTheme="minorHAnsi" w:hAnsiTheme="minorHAnsi" w:cstheme="minorHAnsi"/>
          <w:lang w:val="en-US"/>
        </w:rPr>
      </w:pPr>
    </w:p>
    <w:p w14:paraId="7CE8E6A4" w14:textId="0DE50A68" w:rsidR="00C1525C" w:rsidRDefault="00C1525C">
      <w:pPr>
        <w:ind w:left="720"/>
        <w:rPr>
          <w:rFonts w:asciiTheme="minorHAnsi" w:hAnsiTheme="minorHAnsi" w:cstheme="minorHAnsi"/>
          <w:lang w:val="en-US"/>
        </w:rPr>
      </w:pPr>
    </w:p>
    <w:p w14:paraId="26CCEFC1" w14:textId="1F168CE4" w:rsidR="00C1525C" w:rsidRDefault="00C1525C">
      <w:pPr>
        <w:ind w:left="720"/>
        <w:rPr>
          <w:rFonts w:asciiTheme="minorHAnsi" w:hAnsiTheme="minorHAnsi" w:cstheme="minorHAnsi"/>
          <w:lang w:val="en-US"/>
        </w:rPr>
      </w:pPr>
    </w:p>
    <w:p w14:paraId="3F27CF22" w14:textId="7542300D" w:rsidR="00C1525C" w:rsidRDefault="00C1525C">
      <w:pPr>
        <w:ind w:left="720"/>
        <w:rPr>
          <w:rFonts w:asciiTheme="minorHAnsi" w:hAnsiTheme="minorHAnsi" w:cstheme="minorHAnsi"/>
          <w:lang w:val="en-US"/>
        </w:rPr>
      </w:pPr>
    </w:p>
    <w:p w14:paraId="073A67B9" w14:textId="66A9E791" w:rsidR="00C1525C" w:rsidRDefault="00C1525C">
      <w:pPr>
        <w:ind w:left="720"/>
        <w:rPr>
          <w:rFonts w:asciiTheme="minorHAnsi" w:hAnsiTheme="minorHAnsi" w:cstheme="minorHAnsi"/>
          <w:lang w:val="en-US"/>
        </w:rPr>
      </w:pPr>
    </w:p>
    <w:p w14:paraId="1F258AD5" w14:textId="7E4BC918" w:rsidR="00C1525C" w:rsidRDefault="00C1525C">
      <w:pPr>
        <w:ind w:left="720"/>
        <w:rPr>
          <w:rFonts w:asciiTheme="minorHAnsi" w:hAnsiTheme="minorHAnsi" w:cstheme="minorHAnsi"/>
          <w:lang w:val="en-US"/>
        </w:rPr>
      </w:pPr>
    </w:p>
    <w:p w14:paraId="3C6E9501" w14:textId="795727CB" w:rsidR="00C1525C" w:rsidRDefault="00C1525C">
      <w:pPr>
        <w:ind w:left="720"/>
        <w:rPr>
          <w:rFonts w:asciiTheme="minorHAnsi" w:hAnsiTheme="minorHAnsi" w:cstheme="minorHAnsi"/>
          <w:lang w:val="en-US"/>
        </w:rPr>
      </w:pPr>
    </w:p>
    <w:p w14:paraId="1F9E8E2F" w14:textId="20C1693B" w:rsidR="00C1525C" w:rsidRDefault="00C1525C">
      <w:pPr>
        <w:ind w:left="720"/>
        <w:rPr>
          <w:rFonts w:asciiTheme="minorHAnsi" w:hAnsiTheme="minorHAnsi" w:cstheme="minorHAnsi"/>
          <w:lang w:val="en-US"/>
        </w:rPr>
      </w:pPr>
    </w:p>
    <w:p w14:paraId="36EED334" w14:textId="77777777" w:rsidR="00C1525C" w:rsidRPr="00385A5F" w:rsidRDefault="00C1525C" w:rsidP="006C0A4B">
      <w:pPr>
        <w:ind w:left="720"/>
        <w:rPr>
          <w:rFonts w:asciiTheme="minorHAnsi" w:hAnsiTheme="minorHAnsi" w:cstheme="minorHAnsi"/>
          <w:lang w:val="en-US"/>
        </w:rPr>
      </w:pPr>
    </w:p>
    <w:p w14:paraId="6CC94DE0" w14:textId="69E4CF2F" w:rsidR="000424B5" w:rsidRPr="00385A5F" w:rsidRDefault="004B7DCF" w:rsidP="000424B5">
      <w:pPr>
        <w:jc w:val="center"/>
        <w:rPr>
          <w:rFonts w:cs="Arial"/>
          <w:b/>
          <w:i/>
          <w:lang w:val="en-ID"/>
        </w:rPr>
      </w:pPr>
      <w:r w:rsidRPr="00A4577A">
        <w:rPr>
          <w:rFonts w:cs="Arial"/>
          <w:bCs/>
          <w:lang w:val="en-US"/>
        </w:rPr>
        <w:lastRenderedPageBreak/>
        <w:t xml:space="preserve"> </w:t>
      </w:r>
      <w:r w:rsidR="000424B5" w:rsidRPr="00CE37E1">
        <w:rPr>
          <w:rFonts w:cs="Arial"/>
          <w:b/>
          <w:i/>
        </w:rPr>
        <w:t xml:space="preserve">Diagram </w:t>
      </w:r>
      <w:r w:rsidR="000424B5">
        <w:rPr>
          <w:rFonts w:cs="Arial"/>
          <w:b/>
          <w:i/>
          <w:lang w:val="en-ID"/>
        </w:rPr>
        <w:t>1</w:t>
      </w:r>
      <w:r w:rsidR="000424B5" w:rsidRPr="00CE37E1">
        <w:rPr>
          <w:rFonts w:cs="Arial"/>
          <w:b/>
          <w:i/>
        </w:rPr>
        <w:t>. Theory of Change</w:t>
      </w:r>
      <w:r w:rsidR="00385A5F">
        <w:rPr>
          <w:rFonts w:cs="Arial"/>
          <w:b/>
          <w:i/>
          <w:lang w:val="en-ID"/>
        </w:rPr>
        <w:t xml:space="preserve"> Phase II</w:t>
      </w:r>
    </w:p>
    <w:p w14:paraId="01BD7680" w14:textId="77777777" w:rsidR="000424B5" w:rsidRPr="00CE37E1" w:rsidRDefault="000424B5" w:rsidP="000424B5">
      <w:pPr>
        <w:jc w:val="center"/>
        <w:rPr>
          <w:rFonts w:cs="Arial"/>
          <w:b/>
          <w:i/>
        </w:rPr>
      </w:pPr>
      <w:r>
        <w:rPr>
          <w:rFonts w:cs="Arial"/>
          <w:b/>
          <w:i/>
          <w:noProof/>
          <w:lang w:val="en-US"/>
        </w:rPr>
        <w:drawing>
          <wp:inline distT="0" distB="0" distL="0" distR="0" wp14:anchorId="5FD51F21" wp14:editId="41F4B418">
            <wp:extent cx="5587884" cy="3175000"/>
            <wp:effectExtent l="0" t="0" r="0" b="6350"/>
            <wp:docPr id="16" name="Picture 16" descr="Macintosh HD:Users:Ryan:Desktop:Screen Shot 2017-11-08 at 4.03.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yan:Desktop:Screen Shot 2017-11-08 at 4.03.1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14" cy="3176835"/>
                    </a:xfrm>
                    <a:prstGeom prst="rect">
                      <a:avLst/>
                    </a:prstGeom>
                    <a:noFill/>
                    <a:ln>
                      <a:noFill/>
                    </a:ln>
                  </pic:spPr>
                </pic:pic>
              </a:graphicData>
            </a:graphic>
          </wp:inline>
        </w:drawing>
      </w:r>
    </w:p>
    <w:p w14:paraId="5C77C42C" w14:textId="77777777" w:rsidR="000424B5" w:rsidRDefault="000424B5" w:rsidP="004B7DCF">
      <w:pPr>
        <w:spacing w:after="0"/>
        <w:rPr>
          <w:rFonts w:cs="Arial"/>
          <w:bCs/>
          <w:lang w:val="en-US"/>
        </w:rPr>
      </w:pPr>
    </w:p>
    <w:p w14:paraId="79ADA440" w14:textId="76CD3A3D" w:rsidR="00B31FE8" w:rsidRDefault="00B31FE8" w:rsidP="004B7DCF">
      <w:pPr>
        <w:spacing w:after="0"/>
        <w:rPr>
          <w:rFonts w:cs="Arial"/>
          <w:bCs/>
          <w:lang w:val="en-US"/>
        </w:rPr>
      </w:pPr>
      <w:r>
        <w:rPr>
          <w:rFonts w:cs="Arial"/>
          <w:bCs/>
          <w:lang w:val="en-US"/>
        </w:rPr>
        <w:t xml:space="preserve">The Project Results Framework </w:t>
      </w:r>
      <w:r w:rsidRPr="008057D9">
        <w:rPr>
          <w:rFonts w:cs="Arial"/>
          <w:bCs/>
          <w:lang w:val="en-US"/>
        </w:rPr>
        <w:t xml:space="preserve">(Annex </w:t>
      </w:r>
      <w:r w:rsidR="00DC516A" w:rsidRPr="008057D9">
        <w:rPr>
          <w:rFonts w:cs="Arial"/>
          <w:bCs/>
          <w:lang w:val="en-US"/>
        </w:rPr>
        <w:t>1</w:t>
      </w:r>
      <w:r w:rsidRPr="00DC516A">
        <w:rPr>
          <w:rFonts w:cs="Arial"/>
          <w:bCs/>
          <w:lang w:val="en-US"/>
        </w:rPr>
        <w:t>)</w:t>
      </w:r>
      <w:r>
        <w:rPr>
          <w:rFonts w:cs="Arial"/>
          <w:bCs/>
          <w:lang w:val="en-US"/>
        </w:rPr>
        <w:t xml:space="preserve"> defines the scope of activities the Project </w:t>
      </w:r>
      <w:r w:rsidR="00385A5F">
        <w:rPr>
          <w:rFonts w:cs="Arial"/>
          <w:bCs/>
          <w:lang w:val="en-US"/>
        </w:rPr>
        <w:t>of both phases with Components 1-3 covering Phase I and components 4</w:t>
      </w:r>
      <w:r w:rsidR="00132B32">
        <w:rPr>
          <w:rFonts w:cs="Arial"/>
          <w:bCs/>
          <w:lang w:val="en-US"/>
        </w:rPr>
        <w:t>-</w:t>
      </w:r>
      <w:r w:rsidR="00385A5F">
        <w:rPr>
          <w:rFonts w:cs="Arial"/>
          <w:bCs/>
          <w:lang w:val="en-US"/>
        </w:rPr>
        <w:t>6 covering Phase II.</w:t>
      </w:r>
      <w:r w:rsidR="00D05FB3">
        <w:rPr>
          <w:rFonts w:cs="Arial"/>
          <w:bCs/>
          <w:lang w:val="en-US"/>
        </w:rPr>
        <w:t xml:space="preserve"> </w:t>
      </w:r>
    </w:p>
    <w:p w14:paraId="15831B0C" w14:textId="77777777" w:rsidR="00B31FE8" w:rsidRDefault="00B31FE8" w:rsidP="004B7DCF">
      <w:pPr>
        <w:spacing w:after="0"/>
        <w:rPr>
          <w:rFonts w:cs="Arial"/>
          <w:bCs/>
          <w:lang w:val="en-US"/>
        </w:rPr>
      </w:pPr>
    </w:p>
    <w:p w14:paraId="61B14F22" w14:textId="6EB8715E" w:rsidR="00D83CC7" w:rsidRDefault="00B31FE8" w:rsidP="00B31FE8">
      <w:pPr>
        <w:spacing w:after="0"/>
      </w:pPr>
      <w:r>
        <w:rPr>
          <w:rFonts w:cs="Arial"/>
          <w:bCs/>
          <w:lang w:val="en-US"/>
        </w:rPr>
        <w:t xml:space="preserve">The overall Project was </w:t>
      </w:r>
      <w:r w:rsidR="004B7DCF" w:rsidRPr="0011674D">
        <w:rPr>
          <w:rFonts w:cs="Arial"/>
          <w:bCs/>
          <w:lang w:val="en-US"/>
        </w:rPr>
        <w:t xml:space="preserve">designed and implemented as part of </w:t>
      </w:r>
      <w:r w:rsidR="00A4577A">
        <w:rPr>
          <w:rFonts w:cs="Arial"/>
          <w:bCs/>
          <w:lang w:val="en-US"/>
        </w:rPr>
        <w:t xml:space="preserve">the </w:t>
      </w:r>
      <w:r w:rsidR="004B7DCF" w:rsidRPr="0011674D">
        <w:rPr>
          <w:rFonts w:cs="Arial"/>
          <w:bCs/>
          <w:lang w:val="en-US"/>
        </w:rPr>
        <w:t xml:space="preserve">exit strategy </w:t>
      </w:r>
      <w:r w:rsidR="00A4577A">
        <w:rPr>
          <w:rFonts w:cs="Arial"/>
          <w:bCs/>
          <w:lang w:val="en-US"/>
        </w:rPr>
        <w:t xml:space="preserve">for the </w:t>
      </w:r>
      <w:r w:rsidR="004B7DCF" w:rsidRPr="0011674D">
        <w:rPr>
          <w:rFonts w:cs="Arial"/>
          <w:bCs/>
          <w:lang w:val="en-US"/>
        </w:rPr>
        <w:t xml:space="preserve">continuation of peat restoration efforts </w:t>
      </w:r>
      <w:r w:rsidR="00132B32">
        <w:rPr>
          <w:rFonts w:cs="Arial"/>
          <w:bCs/>
          <w:lang w:val="en-US"/>
        </w:rPr>
        <w:t>beyond</w:t>
      </w:r>
      <w:r w:rsidR="00132B32" w:rsidRPr="0011674D">
        <w:rPr>
          <w:rFonts w:cs="Arial"/>
          <w:bCs/>
          <w:lang w:val="en-US"/>
        </w:rPr>
        <w:t xml:space="preserve"> </w:t>
      </w:r>
      <w:r w:rsidR="004B7DCF" w:rsidRPr="0011674D">
        <w:rPr>
          <w:rFonts w:cs="Arial"/>
          <w:bCs/>
          <w:lang w:val="en-US"/>
        </w:rPr>
        <w:t xml:space="preserve">2020. </w:t>
      </w:r>
      <w:r>
        <w:rPr>
          <w:rFonts w:cs="Arial"/>
          <w:bCs/>
          <w:lang w:val="en-US"/>
        </w:rPr>
        <w:t xml:space="preserve">The </w:t>
      </w:r>
      <w:r w:rsidR="007100FB">
        <w:rPr>
          <w:rFonts w:cs="Arial"/>
          <w:bCs/>
          <w:lang w:val="en-US"/>
        </w:rPr>
        <w:t>p</w:t>
      </w:r>
      <w:r>
        <w:rPr>
          <w:rFonts w:cs="Arial"/>
          <w:bCs/>
          <w:lang w:val="en-US"/>
        </w:rPr>
        <w:t xml:space="preserve">roject was designed </w:t>
      </w:r>
      <w:r w:rsidR="007100FB">
        <w:rPr>
          <w:rFonts w:cs="Arial"/>
          <w:bCs/>
          <w:lang w:val="en-US"/>
        </w:rPr>
        <w:t xml:space="preserve">to provide </w:t>
      </w:r>
      <w:r w:rsidR="004B7DCF" w:rsidRPr="0011674D">
        <w:rPr>
          <w:rFonts w:cs="Arial"/>
          <w:bCs/>
          <w:lang w:val="en-US"/>
        </w:rPr>
        <w:t xml:space="preserve">BRG </w:t>
      </w:r>
      <w:r w:rsidR="007100FB">
        <w:rPr>
          <w:rFonts w:cs="Arial"/>
          <w:bCs/>
          <w:lang w:val="en-US"/>
        </w:rPr>
        <w:t>with the resources</w:t>
      </w:r>
      <w:r w:rsidR="007100FB" w:rsidRPr="0011674D">
        <w:rPr>
          <w:rFonts w:cs="Arial"/>
          <w:bCs/>
          <w:lang w:val="en-US"/>
        </w:rPr>
        <w:t xml:space="preserve"> </w:t>
      </w:r>
      <w:r w:rsidR="004B7DCF" w:rsidRPr="0011674D">
        <w:rPr>
          <w:rFonts w:cs="Arial"/>
          <w:bCs/>
          <w:lang w:val="en-US"/>
        </w:rPr>
        <w:t xml:space="preserve">to coordinate and facilitate peat restoration and protection in the </w:t>
      </w:r>
      <w:r w:rsidR="00132B32" w:rsidRPr="0011674D">
        <w:rPr>
          <w:rFonts w:cs="Arial"/>
          <w:bCs/>
          <w:lang w:val="en-US"/>
        </w:rPr>
        <w:t>first</w:t>
      </w:r>
      <w:r w:rsidR="00132B32">
        <w:rPr>
          <w:rFonts w:cs="Arial"/>
          <w:bCs/>
          <w:lang w:val="en-US"/>
        </w:rPr>
        <w:t>-</w:t>
      </w:r>
      <w:r w:rsidR="004B7DCF" w:rsidRPr="0011674D">
        <w:rPr>
          <w:rFonts w:cs="Arial"/>
          <w:bCs/>
          <w:lang w:val="en-US"/>
        </w:rPr>
        <w:t>year priority provinces and move forward to other priority provinces</w:t>
      </w:r>
      <w:r w:rsidR="007100FB">
        <w:rPr>
          <w:rFonts w:cs="Arial"/>
          <w:bCs/>
          <w:lang w:val="en-US"/>
        </w:rPr>
        <w:t xml:space="preserve"> without support from UNDP </w:t>
      </w:r>
      <w:r w:rsidR="00132B32">
        <w:rPr>
          <w:rFonts w:cs="Arial"/>
          <w:bCs/>
          <w:lang w:val="en-US"/>
        </w:rPr>
        <w:t xml:space="preserve">after </w:t>
      </w:r>
      <w:r w:rsidR="007100FB">
        <w:rPr>
          <w:rFonts w:cs="Arial"/>
          <w:bCs/>
          <w:lang w:val="en-US"/>
        </w:rPr>
        <w:t>2018</w:t>
      </w:r>
      <w:r w:rsidR="004B7DCF" w:rsidRPr="0011674D">
        <w:rPr>
          <w:rFonts w:cs="Arial"/>
          <w:bCs/>
          <w:lang w:val="en-US"/>
        </w:rPr>
        <w:t xml:space="preserve">. </w:t>
      </w:r>
      <w:r w:rsidR="00D83CC7" w:rsidRPr="001460AD">
        <w:t xml:space="preserve">BRG will </w:t>
      </w:r>
      <w:r w:rsidR="00132B32">
        <w:rPr>
          <w:lang w:val="en-US"/>
        </w:rPr>
        <w:t>have</w:t>
      </w:r>
      <w:r w:rsidR="00D83CC7" w:rsidRPr="001460AD">
        <w:t xml:space="preserve"> full capacity to carry over the activities under this project through a Project Management Unit or Government Mechanism. </w:t>
      </w:r>
    </w:p>
    <w:p w14:paraId="2A031876" w14:textId="77777777" w:rsidR="00291938" w:rsidRPr="0061157C" w:rsidRDefault="00291938" w:rsidP="00197DDF">
      <w:pPr>
        <w:autoSpaceDE w:val="0"/>
        <w:autoSpaceDN w:val="0"/>
        <w:adjustRightInd w:val="0"/>
        <w:spacing w:after="0" w:line="23" w:lineRule="atLeast"/>
        <w:rPr>
          <w:rFonts w:cs="Calibri,Bold"/>
          <w:bCs/>
          <w:color w:val="000000" w:themeColor="text1"/>
          <w:lang w:val="en-US"/>
        </w:rPr>
      </w:pPr>
    </w:p>
    <w:p w14:paraId="53CE3697" w14:textId="7D3652BA" w:rsidR="00197DDF" w:rsidRDefault="00197DDF" w:rsidP="00291938">
      <w:pPr>
        <w:pStyle w:val="Heading2"/>
        <w:rPr>
          <w:lang w:val="en-US"/>
        </w:rPr>
      </w:pPr>
      <w:bookmarkStart w:id="8" w:name="_Toc528998426"/>
      <w:r w:rsidRPr="0061157C">
        <w:rPr>
          <w:lang w:val="en-US"/>
        </w:rPr>
        <w:t xml:space="preserve">Evaluation Scope </w:t>
      </w:r>
      <w:r w:rsidR="005738DC">
        <w:rPr>
          <w:lang w:val="en-US"/>
        </w:rPr>
        <w:t>a</w:t>
      </w:r>
      <w:r w:rsidRPr="0061157C">
        <w:rPr>
          <w:lang w:val="en-US"/>
        </w:rPr>
        <w:t>nd</w:t>
      </w:r>
      <w:r w:rsidR="00291938">
        <w:rPr>
          <w:lang w:val="en-US"/>
        </w:rPr>
        <w:t xml:space="preserve"> O</w:t>
      </w:r>
      <w:r w:rsidRPr="0061157C">
        <w:rPr>
          <w:lang w:val="en-US"/>
        </w:rPr>
        <w:t>bjectives</w:t>
      </w:r>
      <w:bookmarkEnd w:id="8"/>
    </w:p>
    <w:p w14:paraId="291122E3" w14:textId="77777777" w:rsidR="00291938" w:rsidRDefault="00291938" w:rsidP="00197DDF">
      <w:pPr>
        <w:autoSpaceDE w:val="0"/>
        <w:autoSpaceDN w:val="0"/>
        <w:adjustRightInd w:val="0"/>
        <w:spacing w:after="0" w:line="23" w:lineRule="atLeast"/>
        <w:rPr>
          <w:rFonts w:cs="Calibri,Bold"/>
          <w:bCs/>
          <w:color w:val="000000" w:themeColor="text1"/>
          <w:lang w:val="en-US"/>
        </w:rPr>
      </w:pPr>
    </w:p>
    <w:p w14:paraId="117424C0" w14:textId="117C3700" w:rsidR="00D83CC7" w:rsidRPr="007D4907" w:rsidRDefault="00D83CC7" w:rsidP="007D4907">
      <w:r w:rsidRPr="00E63092">
        <w:t xml:space="preserve">The main purpose of this evaluation </w:t>
      </w:r>
      <w:r w:rsidR="00B42CD1" w:rsidRPr="00E63092">
        <w:rPr>
          <w:lang w:val="en-ID"/>
        </w:rPr>
        <w:t>was</w:t>
      </w:r>
      <w:r w:rsidRPr="00E63092">
        <w:t xml:space="preserve"> to systematically evaluate the relevance, performance</w:t>
      </w:r>
      <w:r w:rsidR="007100FB">
        <w:t>,</w:t>
      </w:r>
      <w:r w:rsidRPr="00E63092">
        <w:t xml:space="preserve"> and success of the activities </w:t>
      </w:r>
      <w:r w:rsidR="00B31FE8" w:rsidRPr="00E63092">
        <w:rPr>
          <w:lang w:val="en-ID"/>
        </w:rPr>
        <w:t xml:space="preserve">of </w:t>
      </w:r>
      <w:r w:rsidRPr="00E63092">
        <w:t>the project</w:t>
      </w:r>
      <w:r w:rsidR="000E06A8" w:rsidRPr="00E63092">
        <w:rPr>
          <w:lang w:val="en-ID"/>
        </w:rPr>
        <w:t xml:space="preserve"> over the two phases. </w:t>
      </w:r>
      <w:r w:rsidR="00B31FE8" w:rsidRPr="00E63092">
        <w:rPr>
          <w:lang w:val="en-ID"/>
        </w:rPr>
        <w:t xml:space="preserve">The evaluation also </w:t>
      </w:r>
      <w:r w:rsidRPr="00E63092">
        <w:t>examine</w:t>
      </w:r>
      <w:r w:rsidR="00B31FE8" w:rsidRPr="00E63092">
        <w:rPr>
          <w:lang w:val="en-ID"/>
        </w:rPr>
        <w:t>d</w:t>
      </w:r>
      <w:r w:rsidRPr="00E63092">
        <w:t xml:space="preserve"> </w:t>
      </w:r>
      <w:r w:rsidR="00B42CD1" w:rsidRPr="00E63092">
        <w:rPr>
          <w:lang w:val="en-ID"/>
        </w:rPr>
        <w:t xml:space="preserve">the </w:t>
      </w:r>
      <w:r w:rsidRPr="00E63092">
        <w:t xml:space="preserve">achievements, </w:t>
      </w:r>
      <w:r w:rsidR="00132B32">
        <w:rPr>
          <w:lang w:val="en-US"/>
        </w:rPr>
        <w:t>best</w:t>
      </w:r>
      <w:r w:rsidR="00132B32" w:rsidRPr="00E63092">
        <w:t xml:space="preserve"> </w:t>
      </w:r>
      <w:r w:rsidRPr="00E63092">
        <w:t>practices</w:t>
      </w:r>
      <w:r w:rsidR="007100FB">
        <w:t>,</w:t>
      </w:r>
      <w:r w:rsidRPr="00E63092">
        <w:t xml:space="preserve"> and lessons learned from the project</w:t>
      </w:r>
      <w:r w:rsidR="00B42CD1" w:rsidRPr="00E63092">
        <w:rPr>
          <w:lang w:val="en-ID"/>
        </w:rPr>
        <w:t>,</w:t>
      </w:r>
      <w:r w:rsidRPr="00E63092">
        <w:t xml:space="preserve"> </w:t>
      </w:r>
      <w:r w:rsidR="00E50BCE" w:rsidRPr="00E63092">
        <w:rPr>
          <w:lang w:val="en-ID"/>
        </w:rPr>
        <w:t>in order t</w:t>
      </w:r>
      <w:r w:rsidRPr="00E63092">
        <w:t>o provide inputs to</w:t>
      </w:r>
      <w:r w:rsidR="007100FB">
        <w:t xml:space="preserve"> </w:t>
      </w:r>
      <w:r w:rsidRPr="00E63092">
        <w:t>improve project performance</w:t>
      </w:r>
      <w:r w:rsidR="00E50BCE" w:rsidRPr="00E63092">
        <w:rPr>
          <w:lang w:val="en-ID"/>
        </w:rPr>
        <w:t>.</w:t>
      </w:r>
      <w:r w:rsidR="00E50BCE">
        <w:rPr>
          <w:lang w:val="en-ID"/>
        </w:rPr>
        <w:t xml:space="preserve"> This will </w:t>
      </w:r>
      <w:r w:rsidR="00132B32">
        <w:rPr>
          <w:lang w:val="en-ID"/>
        </w:rPr>
        <w:t xml:space="preserve">help </w:t>
      </w:r>
      <w:r w:rsidRPr="007D4907">
        <w:t>UNDP,</w:t>
      </w:r>
      <w:r w:rsidRPr="007D4907">
        <w:rPr>
          <w:lang w:val="en-US"/>
        </w:rPr>
        <w:t xml:space="preserve"> BRG,</w:t>
      </w:r>
      <w:r w:rsidRPr="007D4907">
        <w:t xml:space="preserve"> </w:t>
      </w:r>
      <w:r w:rsidR="00E50BCE">
        <w:rPr>
          <w:lang w:val="en-ID"/>
        </w:rPr>
        <w:t>r</w:t>
      </w:r>
      <w:r w:rsidRPr="007D4907">
        <w:t>esponsible parties, and donors learn from the project</w:t>
      </w:r>
      <w:r w:rsidR="00132B32">
        <w:rPr>
          <w:lang w:val="en-US"/>
        </w:rPr>
        <w:t xml:space="preserve">, </w:t>
      </w:r>
      <w:r w:rsidRPr="007D4907">
        <w:t>identify key areas which are replicable</w:t>
      </w:r>
      <w:r w:rsidR="00132B32">
        <w:rPr>
          <w:lang w:val="en-US"/>
        </w:rPr>
        <w:t>,</w:t>
      </w:r>
      <w:r w:rsidRPr="007D4907">
        <w:t xml:space="preserve"> and </w:t>
      </w:r>
      <w:r w:rsidR="00132B32">
        <w:rPr>
          <w:lang w:val="en-ID"/>
        </w:rPr>
        <w:t>highlight</w:t>
      </w:r>
      <w:r w:rsidR="007100FB">
        <w:rPr>
          <w:lang w:val="en-ID"/>
        </w:rPr>
        <w:t xml:space="preserve"> </w:t>
      </w:r>
      <w:r w:rsidRPr="007D4907">
        <w:t xml:space="preserve">the necessary conditions for sustainability. </w:t>
      </w:r>
    </w:p>
    <w:p w14:paraId="2FB29BC3" w14:textId="47B883C7" w:rsidR="00D83CC7" w:rsidRPr="007D4907" w:rsidRDefault="00D83CC7" w:rsidP="007D4907">
      <w:r w:rsidRPr="007D4907">
        <w:t xml:space="preserve">The independent external evaluation </w:t>
      </w:r>
      <w:r w:rsidR="00E50BCE">
        <w:rPr>
          <w:lang w:val="en-ID"/>
        </w:rPr>
        <w:t xml:space="preserve">was </w:t>
      </w:r>
      <w:r w:rsidRPr="007D4907">
        <w:t>conducted by a</w:t>
      </w:r>
      <w:r w:rsidR="00B42CD1">
        <w:rPr>
          <w:lang w:val="en-ID"/>
        </w:rPr>
        <w:t xml:space="preserve">n expert </w:t>
      </w:r>
      <w:r w:rsidRPr="007D4907">
        <w:t>evaluation</w:t>
      </w:r>
      <w:r w:rsidR="00E50BCE">
        <w:rPr>
          <w:lang w:val="en-ID"/>
        </w:rPr>
        <w:t xml:space="preserve"> team</w:t>
      </w:r>
      <w:r w:rsidRPr="007D4907">
        <w:t>. The evaluation</w:t>
      </w:r>
      <w:r w:rsidR="00D05FB3">
        <w:t xml:space="preserve"> </w:t>
      </w:r>
      <w:r w:rsidRPr="007D4907">
        <w:t>asse</w:t>
      </w:r>
      <w:r w:rsidR="00B42CD1">
        <w:rPr>
          <w:lang w:val="en-ID"/>
        </w:rPr>
        <w:t>ssed</w:t>
      </w:r>
      <w:r w:rsidRPr="007D4907">
        <w:t xml:space="preserve"> the relevance, efficiency, and effectiveness of the </w:t>
      </w:r>
      <w:r w:rsidR="007100FB">
        <w:rPr>
          <w:lang w:val="en-ID"/>
        </w:rPr>
        <w:t>p</w:t>
      </w:r>
      <w:r w:rsidRPr="007D4907">
        <w:t>roject and provid</w:t>
      </w:r>
      <w:r w:rsidR="00B42CD1">
        <w:rPr>
          <w:lang w:val="en-ID"/>
        </w:rPr>
        <w:t>ed</w:t>
      </w:r>
      <w:r w:rsidRPr="007D4907">
        <w:t xml:space="preserve"> recommendation</w:t>
      </w:r>
      <w:r w:rsidR="007100FB">
        <w:t>s</w:t>
      </w:r>
      <w:r w:rsidR="00B42CD1">
        <w:rPr>
          <w:lang w:val="en-ID"/>
        </w:rPr>
        <w:t xml:space="preserve"> </w:t>
      </w:r>
      <w:r w:rsidRPr="007D4907">
        <w:t xml:space="preserve">regarding performance and impact. </w:t>
      </w:r>
      <w:r w:rsidR="00B42CD1">
        <w:rPr>
          <w:lang w:val="en-ID"/>
        </w:rPr>
        <w:t>T</w:t>
      </w:r>
      <w:r w:rsidRPr="007D4907">
        <w:t>he main stakeholders an</w:t>
      </w:r>
      <w:r w:rsidR="00B42CD1">
        <w:rPr>
          <w:lang w:val="en-ID"/>
        </w:rPr>
        <w:t>d</w:t>
      </w:r>
      <w:r w:rsidRPr="007D4907">
        <w:t xml:space="preserve"> partners of the project </w:t>
      </w:r>
      <w:r w:rsidR="00B42CD1">
        <w:rPr>
          <w:lang w:val="en-ID"/>
        </w:rPr>
        <w:t xml:space="preserve">were consulted: namely </w:t>
      </w:r>
      <w:r w:rsidRPr="007D4907">
        <w:t>BRG</w:t>
      </w:r>
      <w:r w:rsidR="007100FB">
        <w:t xml:space="preserve"> and </w:t>
      </w:r>
      <w:r w:rsidR="00C1525C">
        <w:rPr>
          <w:lang w:val="en-US"/>
        </w:rPr>
        <w:t>KLKH</w:t>
      </w:r>
      <w:r w:rsidR="00B42CD1">
        <w:rPr>
          <w:lang w:val="en-US"/>
        </w:rPr>
        <w:t>,</w:t>
      </w:r>
      <w:r w:rsidRPr="007D4907">
        <w:rPr>
          <w:lang w:val="en-US"/>
        </w:rPr>
        <w:t xml:space="preserve"> particularly</w:t>
      </w:r>
      <w:r w:rsidR="007100FB">
        <w:rPr>
          <w:lang w:val="en-US"/>
        </w:rPr>
        <w:t xml:space="preserve"> the</w:t>
      </w:r>
      <w:r w:rsidRPr="007D4907">
        <w:rPr>
          <w:lang w:val="en-US"/>
        </w:rPr>
        <w:t xml:space="preserve"> Directorate General for Law Enforcement</w:t>
      </w:r>
      <w:r w:rsidRPr="007D4907">
        <w:t xml:space="preserve">, </w:t>
      </w:r>
      <w:r w:rsidR="007100FB">
        <w:t>and</w:t>
      </w:r>
      <w:r w:rsidR="00132B32">
        <w:rPr>
          <w:lang w:val="en-US"/>
        </w:rPr>
        <w:t xml:space="preserve"> the</w:t>
      </w:r>
      <w:r w:rsidR="007100FB">
        <w:t xml:space="preserve"> </w:t>
      </w:r>
      <w:r w:rsidRPr="007D4907">
        <w:t>communities and</w:t>
      </w:r>
      <w:r w:rsidR="00C1525C">
        <w:rPr>
          <w:lang w:val="en-ID"/>
        </w:rPr>
        <w:t xml:space="preserve">Civil Society Organisations </w:t>
      </w:r>
      <w:r w:rsidRPr="007D4907">
        <w:t xml:space="preserve"> CSO</w:t>
      </w:r>
      <w:r w:rsidR="007100FB">
        <w:t>s</w:t>
      </w:r>
      <w:r w:rsidRPr="007D4907">
        <w:t xml:space="preserve"> involv</w:t>
      </w:r>
      <w:r w:rsidR="007100FB">
        <w:t>ed</w:t>
      </w:r>
      <w:r w:rsidRPr="007D4907">
        <w:t xml:space="preserve"> in peat restoration activities. </w:t>
      </w:r>
    </w:p>
    <w:p w14:paraId="2CEB8034" w14:textId="0CA45365" w:rsidR="00D83CC7" w:rsidRDefault="00D83CC7" w:rsidP="007D4907">
      <w:pPr>
        <w:rPr>
          <w:lang w:val="en-US"/>
        </w:rPr>
      </w:pPr>
      <w:r w:rsidRPr="007D4907">
        <w:lastRenderedPageBreak/>
        <w:t xml:space="preserve">Knowledge and information obtained from the evaluation will be used as </w:t>
      </w:r>
      <w:r w:rsidR="007100FB">
        <w:t xml:space="preserve">the </w:t>
      </w:r>
      <w:r w:rsidRPr="007D4907">
        <w:t xml:space="preserve">basis for </w:t>
      </w:r>
      <w:r w:rsidR="007100FB">
        <w:t>improved</w:t>
      </w:r>
      <w:r w:rsidR="007100FB" w:rsidRPr="007D4907">
        <w:t xml:space="preserve"> </w:t>
      </w:r>
      <w:r w:rsidRPr="007D4907">
        <w:t>design and management</w:t>
      </w:r>
      <w:r w:rsidR="00D05FB3">
        <w:t xml:space="preserve"> </w:t>
      </w:r>
      <w:r w:rsidRPr="007D4907">
        <w:t>of future UNDP activities related to environment</w:t>
      </w:r>
      <w:r w:rsidR="007100FB">
        <w:t>al</w:t>
      </w:r>
      <w:r w:rsidRPr="007D4907">
        <w:t xml:space="preserve"> management and protection. The evaluation</w:t>
      </w:r>
      <w:r w:rsidR="00B42CD1">
        <w:rPr>
          <w:lang w:val="en-ID"/>
        </w:rPr>
        <w:t xml:space="preserve"> will</w:t>
      </w:r>
      <w:r w:rsidRPr="007D4907">
        <w:t xml:space="preserve"> also support public accountability of </w:t>
      </w:r>
      <w:r w:rsidRPr="007D4907">
        <w:rPr>
          <w:lang w:val="en-US"/>
        </w:rPr>
        <w:t>BRG</w:t>
      </w:r>
      <w:r w:rsidRPr="007D4907">
        <w:t xml:space="preserve">, UNDP, and </w:t>
      </w:r>
      <w:r w:rsidR="007100FB">
        <w:t>d</w:t>
      </w:r>
      <w:r w:rsidRPr="007D4907">
        <w:t>onors.</w:t>
      </w:r>
      <w:r w:rsidR="00E50BCE">
        <w:rPr>
          <w:lang w:val="en-ID"/>
        </w:rPr>
        <w:t xml:space="preserve"> </w:t>
      </w:r>
      <w:r w:rsidR="00E50BCE">
        <w:rPr>
          <w:iCs/>
          <w:lang w:val="en-US"/>
        </w:rPr>
        <w:t>T</w:t>
      </w:r>
      <w:r w:rsidRPr="007D4907">
        <w:rPr>
          <w:iCs/>
          <w:lang w:val="en-US"/>
        </w:rPr>
        <w:t xml:space="preserve">he evaluation is expected to analyze the results achieved by the </w:t>
      </w:r>
      <w:r w:rsidR="00E50BCE">
        <w:rPr>
          <w:iCs/>
          <w:lang w:val="en-US"/>
        </w:rPr>
        <w:t>P</w:t>
      </w:r>
      <w:r w:rsidRPr="007D4907">
        <w:rPr>
          <w:iCs/>
          <w:lang w:val="en-US"/>
        </w:rPr>
        <w:t xml:space="preserve">roject </w:t>
      </w:r>
      <w:r w:rsidR="00E50BCE">
        <w:rPr>
          <w:iCs/>
          <w:lang w:val="en-US"/>
        </w:rPr>
        <w:t xml:space="preserve">to inform the future evaluation of </w:t>
      </w:r>
      <w:r w:rsidRPr="007D4907">
        <w:rPr>
          <w:iCs/>
          <w:lang w:val="en-US"/>
        </w:rPr>
        <w:t xml:space="preserve">UNDP’s and </w:t>
      </w:r>
      <w:r w:rsidR="007100FB">
        <w:rPr>
          <w:iCs/>
          <w:lang w:val="en-US"/>
        </w:rPr>
        <w:t xml:space="preserve">the </w:t>
      </w:r>
      <w:r w:rsidRPr="007D4907">
        <w:rPr>
          <w:iCs/>
          <w:lang w:val="en-US"/>
        </w:rPr>
        <w:t xml:space="preserve">GOI’s CPAP 2016-2020. </w:t>
      </w:r>
    </w:p>
    <w:p w14:paraId="61A21525" w14:textId="0AB03248" w:rsidR="007D4907" w:rsidRPr="007D4907" w:rsidRDefault="007D4907" w:rsidP="007D4907">
      <w:pPr>
        <w:pStyle w:val="Heading2"/>
        <w:rPr>
          <w:lang w:val="en-ID"/>
        </w:rPr>
      </w:pPr>
      <w:bookmarkStart w:id="9" w:name="_Toc528998427"/>
      <w:r>
        <w:rPr>
          <w:lang w:val="en-ID"/>
        </w:rPr>
        <w:t xml:space="preserve">Evaluation Methodology </w:t>
      </w:r>
      <w:r w:rsidR="005738DC">
        <w:rPr>
          <w:lang w:val="en-ID"/>
        </w:rPr>
        <w:t>a</w:t>
      </w:r>
      <w:r>
        <w:rPr>
          <w:lang w:val="en-ID"/>
        </w:rPr>
        <w:t>nd Approach</w:t>
      </w:r>
      <w:bookmarkEnd w:id="9"/>
      <w:r>
        <w:rPr>
          <w:lang w:val="en-ID"/>
        </w:rPr>
        <w:t xml:space="preserve"> </w:t>
      </w:r>
    </w:p>
    <w:p w14:paraId="22120682" w14:textId="376AC182" w:rsidR="00D83CC7" w:rsidRPr="007D4907" w:rsidRDefault="00386A5A" w:rsidP="00386A5A">
      <w:pPr>
        <w:rPr>
          <w:rStyle w:val="SubtleEmphasis"/>
          <w:rFonts w:asciiTheme="minorHAnsi" w:hAnsiTheme="minorHAnsi" w:cstheme="minorHAnsi"/>
          <w:i w:val="0"/>
          <w:color w:val="000000" w:themeColor="text1"/>
        </w:rPr>
      </w:pPr>
      <w:r w:rsidRPr="007D4907">
        <w:rPr>
          <w:rFonts w:asciiTheme="minorHAnsi" w:hAnsiTheme="minorHAnsi" w:cstheme="minorHAnsi"/>
        </w:rPr>
        <w:t>The methodological approach for data collection has been primarily qualitative in nature. Quantitative data has been drawn from project documents and reports and incorporated into the analysis. This evaluation complies with the United Nations</w:t>
      </w:r>
      <w:r w:rsidR="00867A8B">
        <w:rPr>
          <w:rFonts w:asciiTheme="minorHAnsi" w:hAnsiTheme="minorHAnsi" w:cstheme="minorHAnsi"/>
          <w:lang w:val="en-US"/>
        </w:rPr>
        <w:t>’</w:t>
      </w:r>
      <w:r w:rsidRPr="007D4907">
        <w:rPr>
          <w:rFonts w:asciiTheme="minorHAnsi" w:hAnsiTheme="minorHAnsi" w:cstheme="minorHAnsi"/>
        </w:rPr>
        <w:t xml:space="preserve"> system of evaluation norms and standards as well as to the OECD/DAC Evaluation Quality Standards</w:t>
      </w:r>
      <w:r w:rsidR="00371484">
        <w:rPr>
          <w:rFonts w:asciiTheme="minorHAnsi" w:hAnsiTheme="minorHAnsi" w:cstheme="minorHAnsi"/>
        </w:rPr>
        <w:t>.</w:t>
      </w:r>
      <w:r w:rsidRPr="007D4907">
        <w:rPr>
          <w:rStyle w:val="SubtleEmphasis"/>
          <w:rFonts w:asciiTheme="minorHAnsi" w:hAnsiTheme="minorHAnsi" w:cstheme="minorHAnsi"/>
          <w:i w:val="0"/>
          <w:color w:val="000000" w:themeColor="text1"/>
        </w:rPr>
        <w:t xml:space="preserve"> </w:t>
      </w:r>
      <w:r w:rsidR="00D83CC7" w:rsidRPr="007D4907">
        <w:rPr>
          <w:rStyle w:val="SubtleEmphasis"/>
          <w:rFonts w:asciiTheme="minorHAnsi" w:hAnsiTheme="minorHAnsi" w:cstheme="minorHAnsi"/>
          <w:i w:val="0"/>
          <w:color w:val="000000" w:themeColor="text1"/>
        </w:rPr>
        <w:t>The overall approach and methodology</w:t>
      </w:r>
      <w:r w:rsidRPr="007D4907">
        <w:rPr>
          <w:rStyle w:val="SubtleEmphasis"/>
          <w:rFonts w:asciiTheme="minorHAnsi" w:hAnsiTheme="minorHAnsi" w:cstheme="minorHAnsi"/>
          <w:i w:val="0"/>
          <w:color w:val="000000" w:themeColor="text1"/>
          <w:lang w:val="en-ID"/>
        </w:rPr>
        <w:t xml:space="preserve"> was based </w:t>
      </w:r>
      <w:r w:rsidR="00371484">
        <w:rPr>
          <w:rStyle w:val="SubtleEmphasis"/>
          <w:rFonts w:asciiTheme="minorHAnsi" w:hAnsiTheme="minorHAnsi" w:cstheme="minorHAnsi"/>
          <w:i w:val="0"/>
          <w:color w:val="000000" w:themeColor="text1"/>
          <w:lang w:val="en-ID"/>
        </w:rPr>
        <w:t>on</w:t>
      </w:r>
      <w:r w:rsidR="00371484" w:rsidRPr="007D4907">
        <w:rPr>
          <w:rStyle w:val="SubtleEmphasis"/>
          <w:rFonts w:asciiTheme="minorHAnsi" w:hAnsiTheme="minorHAnsi" w:cstheme="minorHAnsi"/>
          <w:i w:val="0"/>
          <w:color w:val="000000" w:themeColor="text1"/>
          <w:lang w:val="en-ID"/>
        </w:rPr>
        <w:t xml:space="preserve"> </w:t>
      </w:r>
      <w:r w:rsidRPr="007D4907">
        <w:rPr>
          <w:rStyle w:val="SubtleEmphasis"/>
          <w:rFonts w:asciiTheme="minorHAnsi" w:hAnsiTheme="minorHAnsi" w:cstheme="minorHAnsi"/>
          <w:i w:val="0"/>
          <w:color w:val="000000" w:themeColor="text1"/>
          <w:lang w:val="en-ID"/>
        </w:rPr>
        <w:t xml:space="preserve">the </w:t>
      </w:r>
      <w:r w:rsidR="00D83CC7" w:rsidRPr="007D4907">
        <w:rPr>
          <w:rStyle w:val="SubtleEmphasis"/>
          <w:rFonts w:asciiTheme="minorHAnsi" w:hAnsiTheme="minorHAnsi" w:cstheme="minorHAnsi"/>
          <w:i w:val="0"/>
          <w:color w:val="000000" w:themeColor="text1"/>
        </w:rPr>
        <w:t>Handbook on Planning, Monitoring</w:t>
      </w:r>
      <w:r w:rsidR="00371484">
        <w:rPr>
          <w:rStyle w:val="SubtleEmphasis"/>
          <w:rFonts w:asciiTheme="minorHAnsi" w:hAnsiTheme="minorHAnsi" w:cstheme="minorHAnsi"/>
          <w:i w:val="0"/>
          <w:color w:val="000000" w:themeColor="text1"/>
        </w:rPr>
        <w:t>,</w:t>
      </w:r>
      <w:r w:rsidR="00D83CC7" w:rsidRPr="007D4907">
        <w:rPr>
          <w:rStyle w:val="SubtleEmphasis"/>
          <w:rFonts w:asciiTheme="minorHAnsi" w:hAnsiTheme="minorHAnsi" w:cstheme="minorHAnsi"/>
          <w:i w:val="0"/>
          <w:color w:val="000000" w:themeColor="text1"/>
        </w:rPr>
        <w:t xml:space="preserve"> and Evaluating for Development</w:t>
      </w:r>
      <w:r w:rsidR="00867A8B">
        <w:rPr>
          <w:rStyle w:val="SubtleEmphasis"/>
          <w:rFonts w:asciiTheme="minorHAnsi" w:hAnsiTheme="minorHAnsi" w:cstheme="minorHAnsi"/>
          <w:i w:val="0"/>
          <w:color w:val="000000" w:themeColor="text1"/>
          <w:lang w:val="en-US"/>
        </w:rPr>
        <w:t xml:space="preserve"> (</w:t>
      </w:r>
      <w:hyperlink r:id="rId9" w:history="1">
        <w:r w:rsidRPr="007D4907">
          <w:rPr>
            <w:rStyle w:val="Hyperlink"/>
            <w:rFonts w:asciiTheme="minorHAnsi" w:hAnsiTheme="minorHAnsi" w:cstheme="minorHAnsi"/>
            <w:i/>
          </w:rPr>
          <w:t>http://www</w:t>
        </w:r>
        <w:r w:rsidRPr="007D4907">
          <w:rPr>
            <w:rStyle w:val="Hyperlink"/>
            <w:rFonts w:asciiTheme="minorHAnsi" w:hAnsiTheme="minorHAnsi" w:cstheme="minorHAnsi"/>
          </w:rPr>
          <w:t>.undp.org/evaluation/handbook</w:t>
        </w:r>
      </w:hyperlink>
      <w:r w:rsidR="00867A8B">
        <w:rPr>
          <w:rStyle w:val="SubtleEmphasis"/>
          <w:rFonts w:asciiTheme="minorHAnsi" w:hAnsiTheme="minorHAnsi" w:cstheme="minorHAnsi"/>
          <w:i w:val="0"/>
          <w:color w:val="000000" w:themeColor="text1"/>
          <w:lang w:val="en-ID"/>
        </w:rPr>
        <w:t>, pp.</w:t>
      </w:r>
      <w:r w:rsidR="00867A8B" w:rsidRPr="007D4907">
        <w:rPr>
          <w:rStyle w:val="SubtleEmphasis"/>
          <w:rFonts w:asciiTheme="minorHAnsi" w:hAnsiTheme="minorHAnsi" w:cstheme="minorHAnsi"/>
          <w:i w:val="0"/>
          <w:color w:val="000000" w:themeColor="text1"/>
          <w:lang w:val="en-ID"/>
        </w:rPr>
        <w:t xml:space="preserve"> </w:t>
      </w:r>
      <w:r w:rsidRPr="007D4907">
        <w:rPr>
          <w:rStyle w:val="SubtleEmphasis"/>
          <w:rFonts w:asciiTheme="minorHAnsi" w:hAnsiTheme="minorHAnsi" w:cstheme="minorHAnsi"/>
          <w:i w:val="0"/>
          <w:color w:val="000000" w:themeColor="text1"/>
          <w:lang w:val="en-ID"/>
        </w:rPr>
        <w:t>172-177</w:t>
      </w:r>
      <w:r w:rsidR="00D83CC7" w:rsidRPr="007D4907">
        <w:rPr>
          <w:rStyle w:val="SubtleEmphasis"/>
          <w:rFonts w:asciiTheme="minorHAnsi" w:hAnsiTheme="minorHAnsi" w:cstheme="minorHAnsi"/>
          <w:i w:val="0"/>
          <w:color w:val="000000" w:themeColor="text1"/>
        </w:rPr>
        <w:t xml:space="preserve">). </w:t>
      </w:r>
    </w:p>
    <w:p w14:paraId="28906971" w14:textId="727B686D" w:rsidR="00A267A5" w:rsidRPr="007D4907" w:rsidRDefault="00A267A5" w:rsidP="00A267A5">
      <w:pPr>
        <w:rPr>
          <w:rFonts w:asciiTheme="minorHAnsi" w:eastAsia="Book Antiqua" w:hAnsiTheme="minorHAnsi" w:cstheme="minorHAnsi"/>
        </w:rPr>
      </w:pPr>
      <w:r w:rsidRPr="007D4907">
        <w:rPr>
          <w:rFonts w:asciiTheme="minorHAnsi" w:eastAsia="Book Antiqua" w:hAnsiTheme="minorHAnsi" w:cstheme="minorHAnsi"/>
        </w:rPr>
        <w:t>The terms of reference (ToR)</w:t>
      </w:r>
      <w:r w:rsidR="00D05FB3">
        <w:rPr>
          <w:rFonts w:asciiTheme="minorHAnsi" w:eastAsia="Book Antiqua" w:hAnsiTheme="minorHAnsi" w:cstheme="minorHAnsi"/>
        </w:rPr>
        <w:t xml:space="preserve"> </w:t>
      </w:r>
      <w:r w:rsidRPr="007D4907">
        <w:rPr>
          <w:rFonts w:asciiTheme="minorHAnsi" w:eastAsia="Book Antiqua" w:hAnsiTheme="minorHAnsi" w:cstheme="minorHAnsi"/>
        </w:rPr>
        <w:t xml:space="preserve">include a whole list of questions to be addressed in the evaluation, corresponding to six evaluation criteria: </w:t>
      </w:r>
      <w:r w:rsidRPr="007D4907">
        <w:rPr>
          <w:rFonts w:asciiTheme="minorHAnsi" w:eastAsia="Book Antiqua" w:hAnsiTheme="minorHAnsi" w:cstheme="minorHAnsi"/>
          <w:i/>
        </w:rPr>
        <w:t>Relevance of the</w:t>
      </w:r>
      <w:r w:rsidRPr="007D4907">
        <w:rPr>
          <w:rFonts w:asciiTheme="minorHAnsi" w:eastAsia="Book Antiqua" w:hAnsiTheme="minorHAnsi" w:cstheme="minorHAnsi"/>
        </w:rPr>
        <w:t xml:space="preserve"> </w:t>
      </w:r>
      <w:r w:rsidRPr="007D4907">
        <w:rPr>
          <w:rFonts w:asciiTheme="minorHAnsi" w:eastAsia="Book Antiqua" w:hAnsiTheme="minorHAnsi" w:cstheme="minorHAnsi"/>
          <w:i/>
        </w:rPr>
        <w:t>interventions</w:t>
      </w:r>
      <w:r w:rsidR="00867A8B">
        <w:rPr>
          <w:rFonts w:asciiTheme="minorHAnsi" w:eastAsia="Book Antiqua" w:hAnsiTheme="minorHAnsi" w:cstheme="minorHAnsi"/>
          <w:i/>
          <w:lang w:val="en-US"/>
        </w:rPr>
        <w:t>;</w:t>
      </w:r>
      <w:r w:rsidR="00867A8B" w:rsidRPr="007D4907">
        <w:rPr>
          <w:rFonts w:asciiTheme="minorHAnsi" w:eastAsia="Book Antiqua" w:hAnsiTheme="minorHAnsi" w:cstheme="minorHAnsi"/>
          <w:i/>
        </w:rPr>
        <w:t xml:space="preserve"> </w:t>
      </w:r>
      <w:r w:rsidRPr="007D4907">
        <w:rPr>
          <w:rFonts w:asciiTheme="minorHAnsi" w:eastAsia="Book Antiqua" w:hAnsiTheme="minorHAnsi" w:cstheme="minorHAnsi"/>
          <w:i/>
        </w:rPr>
        <w:t>Validity and logic of the theory of change</w:t>
      </w:r>
      <w:r w:rsidR="00867A8B">
        <w:rPr>
          <w:rFonts w:asciiTheme="minorHAnsi" w:eastAsia="Book Antiqua" w:hAnsiTheme="minorHAnsi" w:cstheme="minorHAnsi"/>
          <w:i/>
          <w:lang w:val="en-US"/>
        </w:rPr>
        <w:t>;</w:t>
      </w:r>
      <w:r w:rsidR="00867A8B" w:rsidRPr="007D4907">
        <w:rPr>
          <w:rFonts w:asciiTheme="minorHAnsi" w:eastAsia="Book Antiqua" w:hAnsiTheme="minorHAnsi" w:cstheme="minorHAnsi"/>
          <w:i/>
        </w:rPr>
        <w:t xml:space="preserve"> </w:t>
      </w:r>
      <w:r w:rsidRPr="007D4907">
        <w:rPr>
          <w:rFonts w:asciiTheme="minorHAnsi" w:eastAsia="Book Antiqua" w:hAnsiTheme="minorHAnsi" w:cstheme="minorHAnsi"/>
          <w:i/>
        </w:rPr>
        <w:t>Effectiveness of implementation</w:t>
      </w:r>
      <w:r w:rsidR="00867A8B">
        <w:rPr>
          <w:rFonts w:asciiTheme="minorHAnsi" w:eastAsia="Book Antiqua" w:hAnsiTheme="minorHAnsi" w:cstheme="minorHAnsi"/>
          <w:i/>
          <w:lang w:val="en-US"/>
        </w:rPr>
        <w:t>;</w:t>
      </w:r>
      <w:r w:rsidR="00867A8B" w:rsidRPr="007D4907">
        <w:rPr>
          <w:rFonts w:asciiTheme="minorHAnsi" w:eastAsia="Book Antiqua" w:hAnsiTheme="minorHAnsi" w:cstheme="minorHAnsi"/>
          <w:i/>
        </w:rPr>
        <w:t xml:space="preserve"> </w:t>
      </w:r>
      <w:r w:rsidRPr="007D4907">
        <w:rPr>
          <w:rFonts w:asciiTheme="minorHAnsi" w:eastAsia="Book Antiqua" w:hAnsiTheme="minorHAnsi" w:cstheme="minorHAnsi"/>
          <w:i/>
        </w:rPr>
        <w:t>Effectiveness of management arrangements</w:t>
      </w:r>
      <w:r w:rsidR="00867A8B">
        <w:rPr>
          <w:rFonts w:asciiTheme="minorHAnsi" w:eastAsia="Book Antiqua" w:hAnsiTheme="minorHAnsi" w:cstheme="minorHAnsi"/>
          <w:i/>
          <w:lang w:val="en-US"/>
        </w:rPr>
        <w:t>;</w:t>
      </w:r>
      <w:r w:rsidR="00867A8B" w:rsidRPr="007D4907">
        <w:rPr>
          <w:rFonts w:asciiTheme="minorHAnsi" w:eastAsia="Book Antiqua" w:hAnsiTheme="minorHAnsi" w:cstheme="minorHAnsi"/>
          <w:i/>
        </w:rPr>
        <w:t xml:space="preserve"> </w:t>
      </w:r>
      <w:r w:rsidRPr="007D4907">
        <w:rPr>
          <w:rFonts w:asciiTheme="minorHAnsi" w:eastAsia="Book Antiqua" w:hAnsiTheme="minorHAnsi" w:cstheme="minorHAnsi"/>
          <w:i/>
        </w:rPr>
        <w:t>Efficiency of resource use</w:t>
      </w:r>
      <w:r w:rsidR="00867A8B">
        <w:rPr>
          <w:rFonts w:asciiTheme="minorHAnsi" w:eastAsia="Book Antiqua" w:hAnsiTheme="minorHAnsi" w:cstheme="minorHAnsi"/>
          <w:i/>
          <w:lang w:val="en-US"/>
        </w:rPr>
        <w:t>;</w:t>
      </w:r>
      <w:r w:rsidR="00867A8B" w:rsidRPr="007D4907">
        <w:rPr>
          <w:rFonts w:asciiTheme="minorHAnsi" w:eastAsia="Book Antiqua" w:hAnsiTheme="minorHAnsi" w:cstheme="minorHAnsi"/>
          <w:i/>
        </w:rPr>
        <w:t xml:space="preserve"> </w:t>
      </w:r>
      <w:r w:rsidRPr="006C0A4B">
        <w:rPr>
          <w:rFonts w:asciiTheme="minorHAnsi" w:eastAsia="Book Antiqua" w:hAnsiTheme="minorHAnsi" w:cstheme="minorHAnsi"/>
        </w:rPr>
        <w:t>and</w:t>
      </w:r>
      <w:r w:rsidRPr="007D4907">
        <w:rPr>
          <w:rFonts w:asciiTheme="minorHAnsi" w:eastAsia="Book Antiqua" w:hAnsiTheme="minorHAnsi" w:cstheme="minorHAnsi"/>
          <w:i/>
        </w:rPr>
        <w:t xml:space="preserve"> Sustainability. </w:t>
      </w:r>
      <w:r w:rsidRPr="007D4907">
        <w:rPr>
          <w:rFonts w:asciiTheme="minorHAnsi" w:eastAsia="Book Antiqua" w:hAnsiTheme="minorHAnsi" w:cstheme="minorHAnsi"/>
        </w:rPr>
        <w:t>The</w:t>
      </w:r>
      <w:r w:rsidRPr="007D4907">
        <w:rPr>
          <w:rFonts w:asciiTheme="minorHAnsi" w:eastAsia="Book Antiqua" w:hAnsiTheme="minorHAnsi" w:cstheme="minorHAnsi"/>
          <w:i/>
        </w:rPr>
        <w:t xml:space="preserve"> </w:t>
      </w:r>
      <w:r w:rsidRPr="007D4907">
        <w:rPr>
          <w:rFonts w:asciiTheme="minorHAnsi" w:eastAsia="Book Antiqua" w:hAnsiTheme="minorHAnsi" w:cstheme="minorHAnsi"/>
        </w:rPr>
        <w:t xml:space="preserve">suggested questions and information needs have been incorporated in an evaluation matrix </w:t>
      </w:r>
      <w:r w:rsidRPr="008057D9">
        <w:rPr>
          <w:rFonts w:asciiTheme="minorHAnsi" w:eastAsia="Book Antiqua" w:hAnsiTheme="minorHAnsi" w:cstheme="minorHAnsi"/>
        </w:rPr>
        <w:t>(see Annex I</w:t>
      </w:r>
      <w:r w:rsidR="00DC516A" w:rsidRPr="008057D9">
        <w:rPr>
          <w:rFonts w:asciiTheme="minorHAnsi" w:eastAsia="Book Antiqua" w:hAnsiTheme="minorHAnsi" w:cstheme="minorHAnsi"/>
          <w:lang w:val="en-ID"/>
        </w:rPr>
        <w:t>I</w:t>
      </w:r>
      <w:r w:rsidRPr="008057D9">
        <w:rPr>
          <w:rFonts w:asciiTheme="minorHAnsi" w:eastAsia="Book Antiqua" w:hAnsiTheme="minorHAnsi" w:cstheme="minorHAnsi"/>
        </w:rPr>
        <w:t>)</w:t>
      </w:r>
      <w:r w:rsidRPr="007D4907">
        <w:rPr>
          <w:rFonts w:asciiTheme="minorHAnsi" w:eastAsia="Book Antiqua" w:hAnsiTheme="minorHAnsi" w:cstheme="minorHAnsi"/>
        </w:rPr>
        <w:t xml:space="preserve"> with indicators to respond to them together with the information sources used for each evaluation question (EQ).</w:t>
      </w:r>
    </w:p>
    <w:p w14:paraId="4729E114" w14:textId="66CD6B41" w:rsidR="00A267A5" w:rsidRPr="007D4907" w:rsidRDefault="00A267A5" w:rsidP="00386A5A">
      <w:pPr>
        <w:rPr>
          <w:rFonts w:asciiTheme="minorHAnsi" w:hAnsiTheme="minorHAnsi" w:cstheme="minorHAnsi"/>
        </w:rPr>
      </w:pPr>
      <w:r w:rsidRPr="007D4907">
        <w:rPr>
          <w:rFonts w:asciiTheme="minorHAnsi" w:hAnsiTheme="minorHAnsi" w:cstheme="minorHAnsi"/>
        </w:rPr>
        <w:t xml:space="preserve">The independent evaluator team consists of a senior evaluator with </w:t>
      </w:r>
      <w:r w:rsidRPr="007D4907">
        <w:rPr>
          <w:rFonts w:asciiTheme="minorHAnsi" w:hAnsiTheme="minorHAnsi" w:cstheme="minorHAnsi"/>
          <w:lang w:val="en-ID"/>
        </w:rPr>
        <w:t xml:space="preserve">over 30 years of experience in Indonesia implementing </w:t>
      </w:r>
      <w:r w:rsidR="00371484">
        <w:rPr>
          <w:rFonts w:asciiTheme="minorHAnsi" w:hAnsiTheme="minorHAnsi" w:cstheme="minorHAnsi"/>
          <w:lang w:val="en-ID"/>
        </w:rPr>
        <w:t>d</w:t>
      </w:r>
      <w:r w:rsidRPr="007D4907">
        <w:rPr>
          <w:rFonts w:asciiTheme="minorHAnsi" w:hAnsiTheme="minorHAnsi" w:cstheme="minorHAnsi"/>
          <w:lang w:val="en-ID"/>
        </w:rPr>
        <w:t>onor</w:t>
      </w:r>
      <w:r w:rsidR="00E63092">
        <w:rPr>
          <w:rFonts w:asciiTheme="minorHAnsi" w:hAnsiTheme="minorHAnsi" w:cstheme="minorHAnsi"/>
          <w:lang w:val="en-ID"/>
        </w:rPr>
        <w:t xml:space="preserve"> programmes</w:t>
      </w:r>
      <w:r w:rsidR="00371484">
        <w:rPr>
          <w:rFonts w:asciiTheme="minorHAnsi" w:hAnsiTheme="minorHAnsi" w:cstheme="minorHAnsi"/>
          <w:lang w:val="en-ID"/>
        </w:rPr>
        <w:t xml:space="preserve">, which </w:t>
      </w:r>
      <w:r w:rsidR="00E63092">
        <w:rPr>
          <w:rFonts w:asciiTheme="minorHAnsi" w:hAnsiTheme="minorHAnsi" w:cstheme="minorHAnsi"/>
          <w:lang w:val="en-ID"/>
        </w:rPr>
        <w:t>includ</w:t>
      </w:r>
      <w:r w:rsidR="00371484">
        <w:rPr>
          <w:rFonts w:asciiTheme="minorHAnsi" w:hAnsiTheme="minorHAnsi" w:cstheme="minorHAnsi"/>
          <w:lang w:val="en-ID"/>
        </w:rPr>
        <w:t>es</w:t>
      </w:r>
      <w:r w:rsidR="00E63092">
        <w:rPr>
          <w:rFonts w:asciiTheme="minorHAnsi" w:hAnsiTheme="minorHAnsi" w:cstheme="minorHAnsi"/>
          <w:lang w:val="en-ID"/>
        </w:rPr>
        <w:t xml:space="preserve"> </w:t>
      </w:r>
      <w:r w:rsidRPr="007D4907">
        <w:rPr>
          <w:rFonts w:asciiTheme="minorHAnsi" w:hAnsiTheme="minorHAnsi" w:cstheme="minorHAnsi"/>
          <w:lang w:val="en-ID"/>
        </w:rPr>
        <w:t>UNDP Institutional support projects and</w:t>
      </w:r>
      <w:r w:rsidR="00D05FB3">
        <w:rPr>
          <w:rFonts w:asciiTheme="minorHAnsi" w:hAnsiTheme="minorHAnsi" w:cstheme="minorHAnsi"/>
          <w:lang w:val="en-ID"/>
        </w:rPr>
        <w:t xml:space="preserve"> </w:t>
      </w:r>
      <w:r w:rsidRPr="007D4907">
        <w:rPr>
          <w:rFonts w:asciiTheme="minorHAnsi" w:hAnsiTheme="minorHAnsi" w:cstheme="minorHAnsi"/>
          <w:lang w:val="en-ID"/>
        </w:rPr>
        <w:t>environmental programmes</w:t>
      </w:r>
      <w:r w:rsidR="00371484">
        <w:rPr>
          <w:rFonts w:asciiTheme="minorHAnsi" w:hAnsiTheme="minorHAnsi" w:cstheme="minorHAnsi"/>
          <w:lang w:val="en-ID"/>
        </w:rPr>
        <w:t xml:space="preserve">. Furthermore, </w:t>
      </w:r>
      <w:r w:rsidR="00DF6732">
        <w:rPr>
          <w:rFonts w:asciiTheme="minorHAnsi" w:hAnsiTheme="minorHAnsi" w:cstheme="minorHAnsi"/>
          <w:lang w:val="en-ID"/>
        </w:rPr>
        <w:t xml:space="preserve">this senior evaluator </w:t>
      </w:r>
      <w:r w:rsidR="00371484">
        <w:rPr>
          <w:rFonts w:asciiTheme="minorHAnsi" w:hAnsiTheme="minorHAnsi" w:cstheme="minorHAnsi"/>
          <w:lang w:val="en-ID"/>
        </w:rPr>
        <w:t>has</w:t>
      </w:r>
      <w:r w:rsidRPr="007D4907">
        <w:rPr>
          <w:rFonts w:asciiTheme="minorHAnsi" w:hAnsiTheme="minorHAnsi" w:cstheme="minorHAnsi"/>
          <w:lang w:val="en-ID"/>
        </w:rPr>
        <w:t xml:space="preserve"> </w:t>
      </w:r>
      <w:r w:rsidR="005738DC" w:rsidRPr="007D4907">
        <w:rPr>
          <w:rFonts w:asciiTheme="minorHAnsi" w:hAnsiTheme="minorHAnsi" w:cstheme="minorHAnsi"/>
          <w:lang w:val="en-ID"/>
        </w:rPr>
        <w:t>twenty</w:t>
      </w:r>
      <w:r w:rsidRPr="007D4907">
        <w:rPr>
          <w:rFonts w:asciiTheme="minorHAnsi" w:hAnsiTheme="minorHAnsi" w:cstheme="minorHAnsi"/>
          <w:lang w:val="en-ID"/>
        </w:rPr>
        <w:t xml:space="preserve"> </w:t>
      </w:r>
      <w:r w:rsidRPr="007D4907">
        <w:rPr>
          <w:rFonts w:asciiTheme="minorHAnsi" w:hAnsiTheme="minorHAnsi" w:cstheme="minorHAnsi"/>
        </w:rPr>
        <w:t>years of experience evaluating technical cooperation projects a</w:t>
      </w:r>
      <w:r w:rsidR="00371484">
        <w:rPr>
          <w:rFonts w:asciiTheme="minorHAnsi" w:hAnsiTheme="minorHAnsi" w:cstheme="minorHAnsi"/>
        </w:rPr>
        <w:t>s a</w:t>
      </w:r>
      <w:r w:rsidRPr="007D4907">
        <w:rPr>
          <w:rFonts w:asciiTheme="minorHAnsi" w:hAnsiTheme="minorHAnsi" w:cstheme="minorHAnsi"/>
        </w:rPr>
        <w:t xml:space="preserve"> national consultant</w:t>
      </w:r>
      <w:r w:rsidR="00371484">
        <w:rPr>
          <w:rFonts w:asciiTheme="minorHAnsi" w:hAnsiTheme="minorHAnsi" w:cstheme="minorHAnsi"/>
        </w:rPr>
        <w:t xml:space="preserve"> and </w:t>
      </w:r>
      <w:r w:rsidR="00DF6732">
        <w:rPr>
          <w:rFonts w:asciiTheme="minorHAnsi" w:hAnsiTheme="minorHAnsi" w:cstheme="minorHAnsi"/>
          <w:lang w:val="en-US"/>
        </w:rPr>
        <w:t xml:space="preserve">as  </w:t>
      </w:r>
      <w:r w:rsidRPr="007D4907">
        <w:rPr>
          <w:rFonts w:asciiTheme="minorHAnsi" w:hAnsiTheme="minorHAnsi" w:cstheme="minorHAnsi"/>
        </w:rPr>
        <w:t xml:space="preserve">a senior expert on </w:t>
      </w:r>
      <w:r w:rsidRPr="007D4907">
        <w:rPr>
          <w:rFonts w:asciiTheme="minorHAnsi" w:hAnsiTheme="minorHAnsi" w:cstheme="minorHAnsi"/>
          <w:lang w:val="en-ID"/>
        </w:rPr>
        <w:t>implementing environmental programmes</w:t>
      </w:r>
      <w:r w:rsidRPr="007D4907">
        <w:rPr>
          <w:rFonts w:asciiTheme="minorHAnsi" w:hAnsiTheme="minorHAnsi" w:cstheme="minorHAnsi"/>
        </w:rPr>
        <w:t xml:space="preserve"> in Indonesia.</w:t>
      </w:r>
    </w:p>
    <w:p w14:paraId="2CAC8B9E" w14:textId="76E1109A" w:rsidR="00A267A5" w:rsidRPr="007D4907" w:rsidRDefault="00A267A5" w:rsidP="00386A5A">
      <w:pPr>
        <w:rPr>
          <w:rFonts w:asciiTheme="minorHAnsi" w:hAnsiTheme="minorHAnsi" w:cstheme="minorHAnsi"/>
        </w:rPr>
      </w:pPr>
      <w:r w:rsidRPr="007D4907">
        <w:rPr>
          <w:rFonts w:asciiTheme="minorHAnsi" w:hAnsiTheme="minorHAnsi" w:cstheme="minorHAnsi"/>
        </w:rPr>
        <w:t>A master list of key evaluation questions contained within the terms of reference ha</w:t>
      </w:r>
      <w:r w:rsidR="00371484">
        <w:rPr>
          <w:rFonts w:asciiTheme="minorHAnsi" w:hAnsiTheme="minorHAnsi" w:cstheme="minorHAnsi"/>
        </w:rPr>
        <w:t>ve</w:t>
      </w:r>
      <w:r w:rsidRPr="007D4907">
        <w:rPr>
          <w:rFonts w:asciiTheme="minorHAnsi" w:hAnsiTheme="minorHAnsi" w:cstheme="minorHAnsi"/>
        </w:rPr>
        <w:t xml:space="preserve"> been included in the Evaluation Matrix</w:t>
      </w:r>
      <w:r w:rsidR="00371484">
        <w:rPr>
          <w:rFonts w:asciiTheme="minorHAnsi" w:hAnsiTheme="minorHAnsi" w:cstheme="minorHAnsi"/>
        </w:rPr>
        <w:t xml:space="preserve">. This will </w:t>
      </w:r>
      <w:r w:rsidRPr="007D4907">
        <w:rPr>
          <w:rFonts w:asciiTheme="minorHAnsi" w:hAnsiTheme="minorHAnsi" w:cstheme="minorHAnsi"/>
        </w:rPr>
        <w:t>serv</w:t>
      </w:r>
      <w:r w:rsidR="00371484">
        <w:rPr>
          <w:rFonts w:asciiTheme="minorHAnsi" w:hAnsiTheme="minorHAnsi" w:cstheme="minorHAnsi"/>
        </w:rPr>
        <w:t>e</w:t>
      </w:r>
      <w:r w:rsidRPr="007D4907">
        <w:rPr>
          <w:rFonts w:asciiTheme="minorHAnsi" w:hAnsiTheme="minorHAnsi" w:cstheme="minorHAnsi"/>
        </w:rPr>
        <w:t xml:space="preserve"> as the basis for the development of the data collection tools. The evaluation matrix contains quantitative indicators coming from the programme’s logical framework (LF) and additional qualitative indicators complemented by the evaluation team.</w:t>
      </w:r>
    </w:p>
    <w:p w14:paraId="7274ED95" w14:textId="3E331F97" w:rsidR="00386A5A" w:rsidRPr="007D4907" w:rsidRDefault="00386A5A" w:rsidP="00386A5A">
      <w:pPr>
        <w:spacing w:line="0" w:lineRule="atLeast"/>
        <w:ind w:left="1"/>
        <w:rPr>
          <w:rFonts w:asciiTheme="minorHAnsi" w:eastAsia="Book Antiqua" w:hAnsiTheme="minorHAnsi" w:cstheme="minorHAnsi"/>
        </w:rPr>
      </w:pPr>
      <w:r w:rsidRPr="007D4907">
        <w:rPr>
          <w:rFonts w:asciiTheme="minorHAnsi" w:eastAsia="Book Antiqua" w:hAnsiTheme="minorHAnsi" w:cstheme="minorHAnsi"/>
        </w:rPr>
        <w:t>The evaluation comprise</w:t>
      </w:r>
      <w:r w:rsidR="00371484">
        <w:rPr>
          <w:rFonts w:asciiTheme="minorHAnsi" w:eastAsia="Book Antiqua" w:hAnsiTheme="minorHAnsi" w:cstheme="minorHAnsi"/>
        </w:rPr>
        <w:t>s</w:t>
      </w:r>
      <w:r w:rsidRPr="007D4907">
        <w:rPr>
          <w:rFonts w:asciiTheme="minorHAnsi" w:eastAsia="Book Antiqua" w:hAnsiTheme="minorHAnsi" w:cstheme="minorHAnsi"/>
        </w:rPr>
        <w:t xml:space="preserve"> the following data collection methods:</w:t>
      </w:r>
    </w:p>
    <w:p w14:paraId="0ACB6E62" w14:textId="49DF6FA5" w:rsidR="00386A5A" w:rsidRPr="006C0A4B" w:rsidRDefault="00DF6732" w:rsidP="00DF6732">
      <w:pPr>
        <w:rPr>
          <w:rFonts w:asciiTheme="minorHAnsi" w:eastAsia="Times New Roman" w:hAnsiTheme="minorHAnsi" w:cstheme="minorHAnsi"/>
        </w:rPr>
      </w:pPr>
      <w:r w:rsidRPr="00DF6732">
        <w:rPr>
          <w:rFonts w:asciiTheme="minorHAnsi" w:hAnsiTheme="minorHAnsi" w:cstheme="minorHAnsi"/>
          <w:i/>
          <w:lang w:val="en-ID"/>
        </w:rPr>
        <w:t>1.</w:t>
      </w:r>
      <w:r>
        <w:rPr>
          <w:rFonts w:asciiTheme="minorHAnsi" w:hAnsiTheme="minorHAnsi" w:cstheme="minorHAnsi"/>
          <w:i/>
          <w:lang w:val="en-ID"/>
        </w:rPr>
        <w:t xml:space="preserve"> </w:t>
      </w:r>
      <w:r w:rsidR="00386A5A" w:rsidRPr="006C0A4B">
        <w:rPr>
          <w:rFonts w:asciiTheme="minorHAnsi" w:hAnsiTheme="minorHAnsi" w:cstheme="minorHAnsi"/>
          <w:i/>
        </w:rPr>
        <w:t xml:space="preserve">Desk review: </w:t>
      </w:r>
      <w:r w:rsidR="00386A5A" w:rsidRPr="006C0A4B">
        <w:rPr>
          <w:rFonts w:asciiTheme="minorHAnsi" w:hAnsiTheme="minorHAnsi" w:cstheme="minorHAnsi"/>
        </w:rPr>
        <w:t xml:space="preserve">Prior to </w:t>
      </w:r>
      <w:r>
        <w:rPr>
          <w:rFonts w:asciiTheme="minorHAnsi" w:hAnsiTheme="minorHAnsi" w:cstheme="minorHAnsi"/>
          <w:lang w:val="en-US"/>
        </w:rPr>
        <w:t>commencing with</w:t>
      </w:r>
      <w:r w:rsidRPr="006C0A4B">
        <w:rPr>
          <w:rFonts w:asciiTheme="minorHAnsi" w:hAnsiTheme="minorHAnsi" w:cstheme="minorHAnsi"/>
        </w:rPr>
        <w:t xml:space="preserve"> </w:t>
      </w:r>
      <w:r w:rsidR="00386A5A" w:rsidRPr="006C0A4B">
        <w:rPr>
          <w:rFonts w:asciiTheme="minorHAnsi" w:hAnsiTheme="minorHAnsi" w:cstheme="minorHAnsi"/>
        </w:rPr>
        <w:t>the interviews, the independent evaluators reviewed</w:t>
      </w:r>
      <w:r w:rsidR="00386A5A" w:rsidRPr="006C0A4B">
        <w:rPr>
          <w:rFonts w:asciiTheme="minorHAnsi" w:hAnsiTheme="minorHAnsi" w:cstheme="minorHAnsi"/>
          <w:i/>
        </w:rPr>
        <w:t xml:space="preserve"> </w:t>
      </w:r>
      <w:r w:rsidR="00386A5A" w:rsidRPr="006C0A4B">
        <w:rPr>
          <w:rFonts w:asciiTheme="minorHAnsi" w:hAnsiTheme="minorHAnsi" w:cstheme="minorHAnsi"/>
        </w:rPr>
        <w:t xml:space="preserve">numerous project-related documents covering </w:t>
      </w:r>
      <w:r w:rsidR="00371484" w:rsidRPr="006C0A4B">
        <w:rPr>
          <w:rFonts w:asciiTheme="minorHAnsi" w:hAnsiTheme="minorHAnsi" w:cstheme="minorHAnsi"/>
        </w:rPr>
        <w:t>the</w:t>
      </w:r>
      <w:r w:rsidR="00386A5A" w:rsidRPr="006C0A4B">
        <w:rPr>
          <w:rFonts w:asciiTheme="minorHAnsi" w:hAnsiTheme="minorHAnsi" w:cstheme="minorHAnsi"/>
        </w:rPr>
        <w:t xml:space="preserve"> project background, design</w:t>
      </w:r>
      <w:r w:rsidR="00371484" w:rsidRPr="006C0A4B">
        <w:rPr>
          <w:rFonts w:asciiTheme="minorHAnsi" w:hAnsiTheme="minorHAnsi" w:cstheme="minorHAnsi"/>
        </w:rPr>
        <w:t>,</w:t>
      </w:r>
      <w:r w:rsidR="00386A5A" w:rsidRPr="006C0A4B">
        <w:rPr>
          <w:rFonts w:asciiTheme="minorHAnsi" w:hAnsiTheme="minorHAnsi" w:cstheme="minorHAnsi"/>
        </w:rPr>
        <w:t xml:space="preserve"> and implementation</w:t>
      </w:r>
      <w:r w:rsidR="00371484" w:rsidRPr="006C0A4B">
        <w:rPr>
          <w:rFonts w:asciiTheme="minorHAnsi" w:hAnsiTheme="minorHAnsi" w:cstheme="minorHAnsi"/>
        </w:rPr>
        <w:t>. Below is a list of the documents</w:t>
      </w:r>
      <w:r w:rsidR="00386A5A" w:rsidRPr="006C0A4B">
        <w:rPr>
          <w:rFonts w:asciiTheme="minorHAnsi" w:hAnsiTheme="minorHAnsi" w:cstheme="minorHAnsi"/>
        </w:rPr>
        <w:t>:</w:t>
      </w:r>
      <w:r w:rsidR="00386A5A" w:rsidRPr="006C0A4B">
        <w:rPr>
          <w:rFonts w:asciiTheme="minorHAnsi" w:eastAsia="Times New Roman" w:hAnsiTheme="minorHAnsi" w:cstheme="minorHAnsi"/>
        </w:rPr>
        <w:t xml:space="preserve"> </w:t>
      </w:r>
    </w:p>
    <w:p w14:paraId="395665D1" w14:textId="1BCAE8F5" w:rsidR="00386A5A" w:rsidRDefault="00386A5A" w:rsidP="00386A5A">
      <w:pPr>
        <w:pStyle w:val="ListParagraph"/>
        <w:numPr>
          <w:ilvl w:val="0"/>
          <w:numId w:val="7"/>
        </w:numPr>
        <w:rPr>
          <w:rFonts w:asciiTheme="minorHAnsi" w:eastAsia="Times New Roman" w:hAnsiTheme="minorHAnsi" w:cstheme="minorHAnsi"/>
          <w:lang w:val="en-ID"/>
        </w:rPr>
      </w:pPr>
      <w:r w:rsidRPr="007D4907">
        <w:rPr>
          <w:rFonts w:asciiTheme="minorHAnsi" w:eastAsia="Times New Roman" w:hAnsiTheme="minorHAnsi" w:cstheme="minorHAnsi"/>
          <w:lang w:val="en-ID"/>
        </w:rPr>
        <w:t>Baseline Reports</w:t>
      </w:r>
    </w:p>
    <w:p w14:paraId="76679D32" w14:textId="5257B494" w:rsidR="00D13352" w:rsidRPr="007D4907" w:rsidRDefault="00D13352" w:rsidP="00386A5A">
      <w:pPr>
        <w:pStyle w:val="ListParagraph"/>
        <w:numPr>
          <w:ilvl w:val="0"/>
          <w:numId w:val="7"/>
        </w:numPr>
        <w:rPr>
          <w:rFonts w:asciiTheme="minorHAnsi" w:eastAsia="Times New Roman" w:hAnsiTheme="minorHAnsi" w:cstheme="minorHAnsi"/>
          <w:lang w:val="en-ID"/>
        </w:rPr>
      </w:pPr>
      <w:r>
        <w:rPr>
          <w:rFonts w:cs="Arial"/>
          <w:lang w:val="en-ID"/>
        </w:rPr>
        <w:t xml:space="preserve">UNPDF 2016 </w:t>
      </w:r>
      <w:r w:rsidR="00DF6732">
        <w:rPr>
          <w:rFonts w:cs="Arial"/>
          <w:lang w:val="en-ID"/>
        </w:rPr>
        <w:t>–</w:t>
      </w:r>
      <w:r>
        <w:rPr>
          <w:rFonts w:cs="Arial"/>
          <w:lang w:val="en-ID"/>
        </w:rPr>
        <w:t xml:space="preserve"> 2020</w:t>
      </w:r>
    </w:p>
    <w:p w14:paraId="2F1292FE" w14:textId="09B766BD" w:rsidR="007D4907" w:rsidRPr="007D4907" w:rsidRDefault="007D4907" w:rsidP="00386A5A">
      <w:pPr>
        <w:pStyle w:val="ListParagraph"/>
        <w:numPr>
          <w:ilvl w:val="0"/>
          <w:numId w:val="7"/>
        </w:numPr>
        <w:rPr>
          <w:rFonts w:asciiTheme="minorHAnsi" w:eastAsia="Times New Roman" w:hAnsiTheme="minorHAnsi" w:cstheme="minorHAnsi"/>
          <w:lang w:val="en-ID"/>
        </w:rPr>
      </w:pPr>
      <w:r w:rsidRPr="007D4907">
        <w:rPr>
          <w:rFonts w:asciiTheme="minorHAnsi" w:hAnsiTheme="minorHAnsi" w:cstheme="minorHAnsi"/>
          <w:lang w:val="en-US"/>
        </w:rPr>
        <w:t>Project Document (Prodoc), Results and Resources Framework (RRF)</w:t>
      </w:r>
    </w:p>
    <w:p w14:paraId="769DDB75" w14:textId="71341072" w:rsidR="00386A5A" w:rsidRPr="007D4907" w:rsidRDefault="00386A5A" w:rsidP="00386A5A">
      <w:pPr>
        <w:pStyle w:val="ListParagraph"/>
        <w:numPr>
          <w:ilvl w:val="0"/>
          <w:numId w:val="7"/>
        </w:numPr>
        <w:rPr>
          <w:rFonts w:asciiTheme="minorHAnsi" w:eastAsia="Times New Roman" w:hAnsiTheme="minorHAnsi" w:cstheme="minorHAnsi"/>
          <w:lang w:val="en-ID"/>
        </w:rPr>
      </w:pPr>
      <w:r w:rsidRPr="007D4907">
        <w:rPr>
          <w:rFonts w:asciiTheme="minorHAnsi" w:eastAsia="Times New Roman" w:hAnsiTheme="minorHAnsi" w:cstheme="minorHAnsi"/>
          <w:lang w:val="en-ID"/>
        </w:rPr>
        <w:t xml:space="preserve">Monitoring </w:t>
      </w:r>
      <w:r w:rsidR="00DF6732">
        <w:rPr>
          <w:rFonts w:asciiTheme="minorHAnsi" w:eastAsia="Times New Roman" w:hAnsiTheme="minorHAnsi" w:cstheme="minorHAnsi"/>
          <w:lang w:val="en-ID"/>
        </w:rPr>
        <w:t>R</w:t>
      </w:r>
      <w:r w:rsidR="00DF6732" w:rsidRPr="007D4907">
        <w:rPr>
          <w:rFonts w:asciiTheme="minorHAnsi" w:eastAsia="Times New Roman" w:hAnsiTheme="minorHAnsi" w:cstheme="minorHAnsi"/>
          <w:lang w:val="en-ID"/>
        </w:rPr>
        <w:t>eports</w:t>
      </w:r>
    </w:p>
    <w:p w14:paraId="20F918C2" w14:textId="2B936ABC" w:rsidR="00386A5A" w:rsidRPr="007D4907" w:rsidRDefault="00386A5A" w:rsidP="00386A5A">
      <w:pPr>
        <w:pStyle w:val="ListParagraph"/>
        <w:numPr>
          <w:ilvl w:val="0"/>
          <w:numId w:val="7"/>
        </w:numPr>
        <w:rPr>
          <w:rFonts w:asciiTheme="minorHAnsi" w:eastAsia="Times New Roman" w:hAnsiTheme="minorHAnsi" w:cstheme="minorHAnsi"/>
          <w:lang w:val="en-ID"/>
        </w:rPr>
      </w:pPr>
      <w:r w:rsidRPr="007D4907">
        <w:rPr>
          <w:rFonts w:asciiTheme="minorHAnsi" w:eastAsia="Times New Roman" w:hAnsiTheme="minorHAnsi" w:cstheme="minorHAnsi"/>
          <w:lang w:val="en-ID"/>
        </w:rPr>
        <w:t xml:space="preserve">Project </w:t>
      </w:r>
      <w:r w:rsidR="00DF6732">
        <w:rPr>
          <w:rFonts w:asciiTheme="minorHAnsi" w:eastAsia="Times New Roman" w:hAnsiTheme="minorHAnsi" w:cstheme="minorHAnsi"/>
          <w:lang w:val="en-ID"/>
        </w:rPr>
        <w:t>S</w:t>
      </w:r>
      <w:r w:rsidR="00DF6732" w:rsidRPr="007D4907">
        <w:rPr>
          <w:rFonts w:asciiTheme="minorHAnsi" w:eastAsia="Times New Roman" w:hAnsiTheme="minorHAnsi" w:cstheme="minorHAnsi"/>
          <w:lang w:val="en-ID"/>
        </w:rPr>
        <w:t xml:space="preserve">tatus </w:t>
      </w:r>
      <w:r w:rsidRPr="007D4907">
        <w:rPr>
          <w:rFonts w:asciiTheme="minorHAnsi" w:eastAsia="Times New Roman" w:hAnsiTheme="minorHAnsi" w:cstheme="minorHAnsi"/>
          <w:lang w:val="en-ID"/>
        </w:rPr>
        <w:t>Report</w:t>
      </w:r>
    </w:p>
    <w:p w14:paraId="0F378AB2" w14:textId="51727028" w:rsidR="00386A5A" w:rsidRPr="007D4907" w:rsidRDefault="00386A5A" w:rsidP="00386A5A">
      <w:pPr>
        <w:pStyle w:val="ListParagraph"/>
        <w:numPr>
          <w:ilvl w:val="0"/>
          <w:numId w:val="7"/>
        </w:numPr>
        <w:rPr>
          <w:rFonts w:asciiTheme="minorHAnsi" w:eastAsia="Times New Roman" w:hAnsiTheme="minorHAnsi" w:cstheme="minorHAnsi"/>
          <w:lang w:val="en-ID"/>
        </w:rPr>
      </w:pPr>
      <w:r w:rsidRPr="007D4907">
        <w:rPr>
          <w:rFonts w:asciiTheme="minorHAnsi" w:eastAsia="Times New Roman" w:hAnsiTheme="minorHAnsi" w:cstheme="minorHAnsi"/>
          <w:lang w:val="en-ID"/>
        </w:rPr>
        <w:t>Stakeholder Reports</w:t>
      </w:r>
    </w:p>
    <w:p w14:paraId="60D07553" w14:textId="179CC60C" w:rsidR="00386A5A" w:rsidRPr="003A69E2" w:rsidRDefault="007D4907" w:rsidP="003A69E2">
      <w:pPr>
        <w:rPr>
          <w:rFonts w:asciiTheme="minorHAnsi" w:hAnsiTheme="minorHAnsi" w:cstheme="minorHAnsi"/>
          <w:iCs/>
          <w:color w:val="000000" w:themeColor="text1"/>
          <w:sz w:val="20"/>
          <w:lang w:val="en-US"/>
        </w:rPr>
      </w:pPr>
      <w:r w:rsidRPr="007D4907">
        <w:rPr>
          <w:rFonts w:asciiTheme="minorHAnsi" w:eastAsia="Book Antiqua" w:hAnsiTheme="minorHAnsi" w:cstheme="minorHAnsi"/>
          <w:i/>
          <w:lang w:val="en-ID"/>
        </w:rPr>
        <w:lastRenderedPageBreak/>
        <w:t xml:space="preserve">2. </w:t>
      </w:r>
      <w:r w:rsidR="00386A5A" w:rsidRPr="007D4907">
        <w:rPr>
          <w:rFonts w:asciiTheme="minorHAnsi" w:eastAsia="Book Antiqua" w:hAnsiTheme="minorHAnsi" w:cstheme="minorHAnsi"/>
          <w:i/>
          <w:lang w:val="en-ID"/>
        </w:rPr>
        <w:t>Sampling</w:t>
      </w:r>
      <w:r w:rsidRPr="007D4907">
        <w:rPr>
          <w:rFonts w:asciiTheme="minorHAnsi" w:eastAsia="Book Antiqua" w:hAnsiTheme="minorHAnsi" w:cstheme="minorHAnsi"/>
          <w:i/>
          <w:lang w:val="en-ID"/>
        </w:rPr>
        <w:t xml:space="preserve">: </w:t>
      </w:r>
      <w:r w:rsidR="00386A5A" w:rsidRPr="007D4907">
        <w:rPr>
          <w:rFonts w:asciiTheme="minorHAnsi" w:hAnsiTheme="minorHAnsi" w:cstheme="minorHAnsi"/>
          <w:lang w:val="en-US"/>
        </w:rPr>
        <w:t>The sample was selected based on a rationale or purpose that is directly related to the evaluation purposes. It was intended to ensure accuracy in the interpretation of findings and usefulness of evaluation results. Stakeholders consulted included principal beneficiaries, UNDP staff and management, BRG, KLHK, Norwegian Embassy</w:t>
      </w:r>
      <w:r w:rsidR="00E924D2">
        <w:rPr>
          <w:rFonts w:asciiTheme="minorHAnsi" w:hAnsiTheme="minorHAnsi" w:cstheme="minorHAnsi"/>
          <w:lang w:val="en-US"/>
        </w:rPr>
        <w:t>, Provincial TRG</w:t>
      </w:r>
      <w:r w:rsidR="00371484">
        <w:rPr>
          <w:rFonts w:asciiTheme="minorHAnsi" w:hAnsiTheme="minorHAnsi" w:cstheme="minorHAnsi"/>
          <w:lang w:val="en-US"/>
        </w:rPr>
        <w:t>,</w:t>
      </w:r>
      <w:r w:rsidR="00E924D2">
        <w:rPr>
          <w:rFonts w:asciiTheme="minorHAnsi" w:hAnsiTheme="minorHAnsi" w:cstheme="minorHAnsi"/>
          <w:lang w:val="en-US"/>
        </w:rPr>
        <w:t xml:space="preserve"> and civil society partners</w:t>
      </w:r>
      <w:r w:rsidR="00386A5A" w:rsidRPr="007D4907">
        <w:rPr>
          <w:rFonts w:asciiTheme="minorHAnsi" w:hAnsiTheme="minorHAnsi" w:cstheme="minorHAnsi"/>
          <w:lang w:val="en-US"/>
        </w:rPr>
        <w:t xml:space="preserve">. </w:t>
      </w:r>
    </w:p>
    <w:p w14:paraId="3831E6DE" w14:textId="2139FB67" w:rsidR="00386A5A" w:rsidRPr="007D4907" w:rsidRDefault="007D4907" w:rsidP="007D4907">
      <w:pPr>
        <w:spacing w:line="241" w:lineRule="auto"/>
        <w:ind w:right="280"/>
        <w:jc w:val="both"/>
        <w:rPr>
          <w:rFonts w:asciiTheme="minorHAnsi" w:hAnsiTheme="minorHAnsi" w:cstheme="minorHAnsi"/>
        </w:rPr>
      </w:pPr>
      <w:r w:rsidRPr="007D4907">
        <w:rPr>
          <w:rFonts w:asciiTheme="minorHAnsi" w:eastAsia="Book Antiqua" w:hAnsiTheme="minorHAnsi" w:cstheme="minorHAnsi"/>
          <w:i/>
          <w:lang w:val="en-ID"/>
        </w:rPr>
        <w:t>3.</w:t>
      </w:r>
      <w:r w:rsidR="001F4299">
        <w:rPr>
          <w:rFonts w:asciiTheme="minorHAnsi" w:eastAsia="Book Antiqua" w:hAnsiTheme="minorHAnsi" w:cstheme="minorHAnsi"/>
          <w:i/>
          <w:lang w:val="en-ID"/>
        </w:rPr>
        <w:t xml:space="preserve"> </w:t>
      </w:r>
      <w:r w:rsidR="00386A5A" w:rsidRPr="007D4907">
        <w:rPr>
          <w:rFonts w:asciiTheme="minorHAnsi" w:eastAsia="Book Antiqua" w:hAnsiTheme="minorHAnsi" w:cstheme="minorHAnsi"/>
          <w:i/>
          <w:lang w:val="en-ID"/>
        </w:rPr>
        <w:t>Interviews</w:t>
      </w:r>
      <w:r w:rsidR="00386A5A" w:rsidRPr="007D4907">
        <w:rPr>
          <w:rFonts w:asciiTheme="minorHAnsi" w:eastAsia="Book Antiqua" w:hAnsiTheme="minorHAnsi" w:cstheme="minorHAnsi"/>
        </w:rPr>
        <w:t xml:space="preserve">: </w:t>
      </w:r>
      <w:r w:rsidR="00386A5A" w:rsidRPr="007D4907">
        <w:rPr>
          <w:rFonts w:asciiTheme="minorHAnsi" w:hAnsiTheme="minorHAnsi" w:cstheme="minorHAnsi"/>
        </w:rPr>
        <w:t xml:space="preserve">The evaluators have based the interviews on the </w:t>
      </w:r>
      <w:r w:rsidR="001F4299">
        <w:rPr>
          <w:rFonts w:asciiTheme="minorHAnsi" w:hAnsiTheme="minorHAnsi" w:cstheme="minorHAnsi"/>
          <w:lang w:val="en-US"/>
        </w:rPr>
        <w:t xml:space="preserve">interview </w:t>
      </w:r>
      <w:r w:rsidR="00386A5A" w:rsidRPr="007D4907">
        <w:rPr>
          <w:rFonts w:asciiTheme="minorHAnsi" w:hAnsiTheme="minorHAnsi" w:cstheme="minorHAnsi"/>
        </w:rPr>
        <w:t xml:space="preserve">template included in </w:t>
      </w:r>
      <w:r w:rsidR="00386A5A" w:rsidRPr="00DC516A">
        <w:rPr>
          <w:rFonts w:asciiTheme="minorHAnsi" w:hAnsiTheme="minorHAnsi" w:cstheme="minorHAnsi"/>
        </w:rPr>
        <w:t xml:space="preserve">Annex </w:t>
      </w:r>
      <w:r w:rsidR="00DC516A" w:rsidRPr="008057D9">
        <w:rPr>
          <w:rFonts w:asciiTheme="minorHAnsi" w:hAnsiTheme="minorHAnsi" w:cstheme="minorHAnsi"/>
          <w:lang w:val="en-ID"/>
        </w:rPr>
        <w:t>II</w:t>
      </w:r>
      <w:r w:rsidR="00386A5A" w:rsidRPr="008057D9">
        <w:rPr>
          <w:rFonts w:asciiTheme="minorHAnsi" w:hAnsiTheme="minorHAnsi" w:cstheme="minorHAnsi"/>
        </w:rPr>
        <w:t>.</w:t>
      </w:r>
      <w:r w:rsidR="00386A5A" w:rsidRPr="007D4907">
        <w:rPr>
          <w:rFonts w:asciiTheme="minorHAnsi" w:hAnsiTheme="minorHAnsi" w:cstheme="minorHAnsi"/>
        </w:rPr>
        <w:t xml:space="preserve"> Although questions look very detailed, </w:t>
      </w:r>
      <w:r w:rsidR="00973C2C">
        <w:rPr>
          <w:rFonts w:asciiTheme="minorHAnsi" w:hAnsiTheme="minorHAnsi" w:cstheme="minorHAnsi"/>
          <w:lang w:val="en-ID"/>
        </w:rPr>
        <w:t xml:space="preserve">the </w:t>
      </w:r>
      <w:r w:rsidR="00386A5A" w:rsidRPr="007D4907">
        <w:rPr>
          <w:rFonts w:asciiTheme="minorHAnsi" w:hAnsiTheme="minorHAnsi" w:cstheme="minorHAnsi"/>
        </w:rPr>
        <w:t>evaluators have adapted them and added additional questions that are consistent with the semi-structured nature of the interviews as appropriate. Emphases have varied and weight has been placed on</w:t>
      </w:r>
      <w:r w:rsidR="001F4299">
        <w:rPr>
          <w:rFonts w:asciiTheme="minorHAnsi" w:hAnsiTheme="minorHAnsi" w:cstheme="minorHAnsi"/>
          <w:lang w:val="en-US"/>
        </w:rPr>
        <w:t xml:space="preserve"> specific</w:t>
      </w:r>
      <w:r w:rsidR="00386A5A" w:rsidRPr="007D4907">
        <w:rPr>
          <w:rFonts w:asciiTheme="minorHAnsi" w:hAnsiTheme="minorHAnsi" w:cstheme="minorHAnsi"/>
        </w:rPr>
        <w:t xml:space="preserve"> questions in order to maximize the use of time. The use of common templates</w:t>
      </w:r>
      <w:r w:rsidR="001F4299">
        <w:rPr>
          <w:rFonts w:asciiTheme="minorHAnsi" w:hAnsiTheme="minorHAnsi" w:cstheme="minorHAnsi"/>
          <w:lang w:val="en-US"/>
        </w:rPr>
        <w:t xml:space="preserve"> </w:t>
      </w:r>
      <w:r w:rsidR="001F4299" w:rsidRPr="007D4907">
        <w:rPr>
          <w:rFonts w:asciiTheme="minorHAnsi" w:hAnsiTheme="minorHAnsi" w:cstheme="minorHAnsi"/>
        </w:rPr>
        <w:t>by both evaluators</w:t>
      </w:r>
      <w:r w:rsidR="00386A5A" w:rsidRPr="007D4907">
        <w:rPr>
          <w:rFonts w:asciiTheme="minorHAnsi" w:hAnsiTheme="minorHAnsi" w:cstheme="minorHAnsi"/>
        </w:rPr>
        <w:t xml:space="preserve"> has ensured smooth coordination, comparability</w:t>
      </w:r>
      <w:r w:rsidR="00371484">
        <w:rPr>
          <w:rFonts w:asciiTheme="minorHAnsi" w:hAnsiTheme="minorHAnsi" w:cstheme="minorHAnsi"/>
        </w:rPr>
        <w:t>,</w:t>
      </w:r>
      <w:r w:rsidR="00386A5A" w:rsidRPr="007D4907">
        <w:rPr>
          <w:rFonts w:asciiTheme="minorHAnsi" w:hAnsiTheme="minorHAnsi" w:cstheme="minorHAnsi"/>
        </w:rPr>
        <w:t xml:space="preserve"> and exchange of information.</w:t>
      </w:r>
    </w:p>
    <w:p w14:paraId="6D7293D5" w14:textId="07A94F0C" w:rsidR="00386A5A" w:rsidRPr="007D4907" w:rsidRDefault="007D4907" w:rsidP="007D4907">
      <w:pPr>
        <w:tabs>
          <w:tab w:val="left" w:pos="234"/>
        </w:tabs>
        <w:spacing w:after="0" w:line="267" w:lineRule="auto"/>
        <w:ind w:right="280"/>
        <w:jc w:val="both"/>
        <w:rPr>
          <w:rFonts w:asciiTheme="minorHAnsi" w:eastAsia="Book Antiqua" w:hAnsiTheme="minorHAnsi" w:cstheme="minorHAnsi"/>
          <w:i/>
        </w:rPr>
      </w:pPr>
      <w:r w:rsidRPr="007D4907">
        <w:rPr>
          <w:rFonts w:asciiTheme="minorHAnsi" w:eastAsia="Book Antiqua" w:hAnsiTheme="minorHAnsi" w:cstheme="minorHAnsi"/>
          <w:i/>
          <w:lang w:val="en-ID"/>
        </w:rPr>
        <w:t>4.</w:t>
      </w:r>
      <w:r w:rsidR="001F4299">
        <w:rPr>
          <w:rFonts w:asciiTheme="minorHAnsi" w:eastAsia="Book Antiqua" w:hAnsiTheme="minorHAnsi" w:cstheme="minorHAnsi"/>
          <w:i/>
          <w:lang w:val="en-ID"/>
        </w:rPr>
        <w:t xml:space="preserve"> </w:t>
      </w:r>
      <w:r w:rsidR="00386A5A" w:rsidRPr="007D4907">
        <w:rPr>
          <w:rFonts w:asciiTheme="minorHAnsi" w:eastAsia="Book Antiqua" w:hAnsiTheme="minorHAnsi" w:cstheme="minorHAnsi"/>
          <w:i/>
        </w:rPr>
        <w:t xml:space="preserve">Triangulation: </w:t>
      </w:r>
      <w:r w:rsidR="00386A5A" w:rsidRPr="007D4907">
        <w:rPr>
          <w:rFonts w:asciiTheme="minorHAnsi" w:eastAsia="Book Antiqua" w:hAnsiTheme="minorHAnsi" w:cstheme="minorHAnsi"/>
        </w:rPr>
        <w:t>Data collection methods have been triangulated. Considering the variety</w:t>
      </w:r>
      <w:r w:rsidR="00386A5A" w:rsidRPr="007D4907">
        <w:rPr>
          <w:rFonts w:asciiTheme="minorHAnsi" w:eastAsia="Book Antiqua" w:hAnsiTheme="minorHAnsi" w:cstheme="minorHAnsi"/>
          <w:i/>
        </w:rPr>
        <w:t xml:space="preserve"> </w:t>
      </w:r>
      <w:r w:rsidR="00386A5A" w:rsidRPr="007D4907">
        <w:rPr>
          <w:rFonts w:asciiTheme="minorHAnsi" w:eastAsia="Book Antiqua" w:hAnsiTheme="minorHAnsi" w:cstheme="minorHAnsi"/>
        </w:rPr>
        <w:t>of views and interests of stakeholders, clients and users of the evaluation, the stakeholders' perspectives have been triangulated for many of the evaluation questions in order to bolster the credibility and validity of the results.</w:t>
      </w:r>
    </w:p>
    <w:p w14:paraId="5F9E53A1" w14:textId="77777777" w:rsidR="00386A5A" w:rsidRPr="007D4907" w:rsidRDefault="00386A5A" w:rsidP="00386A5A">
      <w:pPr>
        <w:spacing w:line="237" w:lineRule="auto"/>
        <w:ind w:left="1"/>
        <w:jc w:val="both"/>
        <w:rPr>
          <w:rFonts w:asciiTheme="minorHAnsi" w:eastAsia="Book Antiqua" w:hAnsiTheme="minorHAnsi" w:cstheme="minorHAnsi"/>
        </w:rPr>
      </w:pPr>
    </w:p>
    <w:p w14:paraId="57FB2E10" w14:textId="0C5EB877" w:rsidR="00386A5A" w:rsidRPr="007D4907" w:rsidRDefault="007D4907" w:rsidP="007D4907">
      <w:pPr>
        <w:spacing w:line="0" w:lineRule="atLeast"/>
        <w:ind w:left="1"/>
        <w:rPr>
          <w:rFonts w:asciiTheme="minorHAnsi" w:eastAsia="Book Antiqua" w:hAnsiTheme="minorHAnsi" w:cstheme="minorHAnsi"/>
          <w:i/>
        </w:rPr>
      </w:pPr>
      <w:r w:rsidRPr="007D4907">
        <w:rPr>
          <w:rFonts w:asciiTheme="minorHAnsi" w:eastAsia="Book Antiqua" w:hAnsiTheme="minorHAnsi" w:cstheme="minorHAnsi"/>
          <w:i/>
          <w:lang w:val="en-ID"/>
        </w:rPr>
        <w:t>5.</w:t>
      </w:r>
      <w:r w:rsidR="001F4299">
        <w:rPr>
          <w:rFonts w:asciiTheme="minorHAnsi" w:eastAsia="Book Antiqua" w:hAnsiTheme="minorHAnsi" w:cstheme="minorHAnsi"/>
          <w:i/>
          <w:lang w:val="en-ID"/>
        </w:rPr>
        <w:t xml:space="preserve"> </w:t>
      </w:r>
      <w:r w:rsidR="00386A5A" w:rsidRPr="007D4907">
        <w:rPr>
          <w:rFonts w:asciiTheme="minorHAnsi" w:eastAsia="Book Antiqua" w:hAnsiTheme="minorHAnsi" w:cstheme="minorHAnsi"/>
          <w:i/>
        </w:rPr>
        <w:t>Field</w:t>
      </w:r>
      <w:r w:rsidR="00386A5A" w:rsidRPr="007D4907">
        <w:rPr>
          <w:rFonts w:asciiTheme="minorHAnsi" w:eastAsia="Book Antiqua" w:hAnsiTheme="minorHAnsi" w:cstheme="minorHAnsi"/>
          <w:i/>
          <w:lang w:val="en-ID"/>
        </w:rPr>
        <w:t xml:space="preserve"> Visits</w:t>
      </w:r>
      <w:r w:rsidR="00386A5A" w:rsidRPr="007D4907">
        <w:rPr>
          <w:rFonts w:asciiTheme="minorHAnsi" w:eastAsia="Book Antiqua" w:hAnsiTheme="minorHAnsi" w:cstheme="minorHAnsi"/>
          <w:i/>
        </w:rPr>
        <w:t>:</w:t>
      </w:r>
      <w:r w:rsidRPr="007D4907">
        <w:rPr>
          <w:rFonts w:asciiTheme="minorHAnsi" w:eastAsia="Book Antiqua" w:hAnsiTheme="minorHAnsi" w:cstheme="minorHAnsi"/>
          <w:i/>
          <w:lang w:val="en-ID"/>
        </w:rPr>
        <w:t xml:space="preserve"> </w:t>
      </w:r>
      <w:r w:rsidR="00386A5A" w:rsidRPr="007D4907">
        <w:rPr>
          <w:rFonts w:asciiTheme="minorHAnsi" w:eastAsia="Book Antiqua" w:hAnsiTheme="minorHAnsi" w:cstheme="minorHAnsi"/>
          <w:lang w:val="en-ID"/>
        </w:rPr>
        <w:t>E</w:t>
      </w:r>
      <w:r w:rsidR="00386A5A" w:rsidRPr="007D4907">
        <w:rPr>
          <w:rFonts w:asciiTheme="minorHAnsi" w:eastAsia="Book Antiqua" w:hAnsiTheme="minorHAnsi" w:cstheme="minorHAnsi"/>
        </w:rPr>
        <w:t xml:space="preserve">valuation team </w:t>
      </w:r>
      <w:r w:rsidR="00386A5A" w:rsidRPr="007D4907">
        <w:rPr>
          <w:rFonts w:asciiTheme="minorHAnsi" w:eastAsia="Book Antiqua" w:hAnsiTheme="minorHAnsi" w:cstheme="minorHAnsi"/>
          <w:lang w:val="en-ID"/>
        </w:rPr>
        <w:t>members, mainly the National Consultant</w:t>
      </w:r>
      <w:r w:rsidR="001F4299">
        <w:rPr>
          <w:rFonts w:asciiTheme="minorHAnsi" w:eastAsia="Book Antiqua" w:hAnsiTheme="minorHAnsi" w:cstheme="minorHAnsi"/>
          <w:lang w:val="en-ID"/>
        </w:rPr>
        <w:t>,</w:t>
      </w:r>
      <w:r w:rsidR="00386A5A" w:rsidRPr="007D4907">
        <w:rPr>
          <w:rFonts w:asciiTheme="minorHAnsi" w:eastAsia="Book Antiqua" w:hAnsiTheme="minorHAnsi" w:cstheme="minorHAnsi"/>
          <w:lang w:val="en-ID"/>
        </w:rPr>
        <w:t xml:space="preserve"> visited Field </w:t>
      </w:r>
      <w:r w:rsidR="00386A5A" w:rsidRPr="00DC516A">
        <w:rPr>
          <w:rFonts w:asciiTheme="minorHAnsi" w:eastAsia="Book Antiqua" w:hAnsiTheme="minorHAnsi" w:cstheme="minorHAnsi"/>
          <w:lang w:val="en-ID"/>
        </w:rPr>
        <w:t>sites</w:t>
      </w:r>
      <w:r w:rsidR="00386A5A" w:rsidRPr="008057D9">
        <w:rPr>
          <w:rFonts w:asciiTheme="minorHAnsi" w:eastAsia="Book Antiqua" w:hAnsiTheme="minorHAnsi" w:cstheme="minorHAnsi"/>
        </w:rPr>
        <w:t xml:space="preserve"> (see Annex II</w:t>
      </w:r>
      <w:r w:rsidR="00DC516A" w:rsidRPr="008057D9">
        <w:rPr>
          <w:rFonts w:asciiTheme="minorHAnsi" w:eastAsia="Book Antiqua" w:hAnsiTheme="minorHAnsi" w:cstheme="minorHAnsi"/>
          <w:lang w:val="en-ID"/>
        </w:rPr>
        <w:t>I</w:t>
      </w:r>
      <w:r w:rsidR="00386A5A" w:rsidRPr="008057D9">
        <w:rPr>
          <w:rFonts w:asciiTheme="minorHAnsi" w:eastAsia="Book Antiqua" w:hAnsiTheme="minorHAnsi" w:cstheme="minorHAnsi"/>
        </w:rPr>
        <w:t>).</w:t>
      </w:r>
    </w:p>
    <w:p w14:paraId="5A230F33" w14:textId="77777777" w:rsidR="00291938" w:rsidRDefault="00291938" w:rsidP="00A267A5">
      <w:pPr>
        <w:rPr>
          <w:rFonts w:cs="Calibri,Bold"/>
          <w:bCs/>
          <w:lang w:val="en-US"/>
        </w:rPr>
      </w:pPr>
    </w:p>
    <w:p w14:paraId="0E0B0D3E" w14:textId="77777777" w:rsidR="00291938" w:rsidRPr="0061157C" w:rsidRDefault="00291938" w:rsidP="00197DDF">
      <w:pPr>
        <w:autoSpaceDE w:val="0"/>
        <w:autoSpaceDN w:val="0"/>
        <w:adjustRightInd w:val="0"/>
        <w:spacing w:after="0" w:line="23" w:lineRule="atLeast"/>
        <w:rPr>
          <w:rFonts w:cs="Calibri,Bold"/>
          <w:bCs/>
          <w:color w:val="000000" w:themeColor="text1"/>
          <w:lang w:val="en-US"/>
        </w:rPr>
      </w:pPr>
    </w:p>
    <w:p w14:paraId="5907C4B6" w14:textId="3CAC3472" w:rsidR="00197DDF" w:rsidRDefault="008057D9" w:rsidP="00291938">
      <w:pPr>
        <w:pStyle w:val="Heading2"/>
        <w:rPr>
          <w:lang w:val="en-US"/>
        </w:rPr>
      </w:pPr>
      <w:bookmarkStart w:id="10" w:name="_Toc528998428"/>
      <w:r>
        <w:rPr>
          <w:lang w:val="en-US"/>
        </w:rPr>
        <w:t>Achievements</w:t>
      </w:r>
      <w:bookmarkEnd w:id="10"/>
      <w:r>
        <w:rPr>
          <w:lang w:val="en-US"/>
        </w:rPr>
        <w:t xml:space="preserve"> </w:t>
      </w:r>
    </w:p>
    <w:p w14:paraId="1A125502" w14:textId="77777777" w:rsidR="00291938" w:rsidRDefault="00291938" w:rsidP="00197DDF">
      <w:pPr>
        <w:autoSpaceDE w:val="0"/>
        <w:autoSpaceDN w:val="0"/>
        <w:adjustRightInd w:val="0"/>
        <w:spacing w:after="0" w:line="23" w:lineRule="atLeast"/>
        <w:rPr>
          <w:rFonts w:cs="Calibri,Bold"/>
          <w:bCs/>
          <w:color w:val="000000" w:themeColor="text1"/>
          <w:lang w:val="en-US"/>
        </w:rPr>
      </w:pPr>
    </w:p>
    <w:p w14:paraId="73441143" w14:textId="1C656D24" w:rsidR="008057D9" w:rsidRPr="008057D9" w:rsidRDefault="008057D9" w:rsidP="008057D9">
      <w:pPr>
        <w:pStyle w:val="Heading3"/>
        <w:rPr>
          <w:lang w:val="en-ID"/>
        </w:rPr>
      </w:pPr>
      <w:bookmarkStart w:id="11" w:name="_Toc528998429"/>
      <w:r>
        <w:rPr>
          <w:lang w:val="en-ID"/>
        </w:rPr>
        <w:t>Outcome</w:t>
      </w:r>
      <w:bookmarkEnd w:id="11"/>
      <w:r>
        <w:rPr>
          <w:lang w:val="en-ID"/>
        </w:rPr>
        <w:t xml:space="preserve"> </w:t>
      </w:r>
    </w:p>
    <w:p w14:paraId="439284D1" w14:textId="393FFDE2" w:rsidR="00F9260B" w:rsidRDefault="00F9260B" w:rsidP="00F9260B">
      <w:pPr>
        <w:autoSpaceDE w:val="0"/>
        <w:autoSpaceDN w:val="0"/>
        <w:adjustRightInd w:val="0"/>
        <w:spacing w:after="0" w:line="240" w:lineRule="auto"/>
        <w:jc w:val="both"/>
        <w:rPr>
          <w:rFonts w:asciiTheme="minorHAnsi" w:hAnsiTheme="minorHAnsi" w:cstheme="minorHAnsi"/>
          <w:lang w:val="en-ID"/>
        </w:rPr>
      </w:pPr>
      <w:r w:rsidRPr="00783169">
        <w:rPr>
          <w:rFonts w:asciiTheme="minorHAnsi" w:hAnsiTheme="minorHAnsi" w:cstheme="minorHAnsi"/>
        </w:rPr>
        <w:t>When BRG was established it was tasked to restore more than two million hectares of damaged peatland. At the time</w:t>
      </w:r>
      <w:r>
        <w:rPr>
          <w:rFonts w:asciiTheme="minorHAnsi" w:hAnsiTheme="minorHAnsi" w:cstheme="minorHAnsi"/>
          <w:lang w:val="en-ID"/>
        </w:rPr>
        <w:t>,</w:t>
      </w:r>
      <w:r w:rsidRPr="00783169">
        <w:rPr>
          <w:rFonts w:asciiTheme="minorHAnsi" w:hAnsiTheme="minorHAnsi" w:cstheme="minorHAnsi"/>
        </w:rPr>
        <w:t xml:space="preserve"> the agency</w:t>
      </w:r>
      <w:r w:rsidR="00371484">
        <w:rPr>
          <w:rFonts w:asciiTheme="minorHAnsi" w:hAnsiTheme="minorHAnsi" w:cstheme="minorHAnsi"/>
        </w:rPr>
        <w:t xml:space="preserve"> </w:t>
      </w:r>
      <w:r w:rsidRPr="00783169">
        <w:rPr>
          <w:rFonts w:asciiTheme="minorHAnsi" w:hAnsiTheme="minorHAnsi" w:cstheme="minorHAnsi"/>
        </w:rPr>
        <w:t>was only provided with one</w:t>
      </w:r>
      <w:r w:rsidR="00371484">
        <w:rPr>
          <w:rFonts w:asciiTheme="minorHAnsi" w:hAnsiTheme="minorHAnsi" w:cstheme="minorHAnsi"/>
        </w:rPr>
        <w:t xml:space="preserve"> </w:t>
      </w:r>
      <w:r w:rsidRPr="00783169">
        <w:rPr>
          <w:rFonts w:asciiTheme="minorHAnsi" w:hAnsiTheme="minorHAnsi" w:cstheme="minorHAnsi"/>
        </w:rPr>
        <w:t xml:space="preserve">Head, one Secretary, and four Deputies. As a result of the limited staff, it was very difficult for BRG to </w:t>
      </w:r>
      <w:r>
        <w:rPr>
          <w:rFonts w:asciiTheme="minorHAnsi" w:hAnsiTheme="minorHAnsi" w:cstheme="minorHAnsi"/>
          <w:lang w:val="en-ID"/>
        </w:rPr>
        <w:t>operate without</w:t>
      </w:r>
      <w:r w:rsidR="001F4299">
        <w:rPr>
          <w:rFonts w:asciiTheme="minorHAnsi" w:hAnsiTheme="minorHAnsi" w:cstheme="minorHAnsi"/>
          <w:lang w:val="en-ID"/>
        </w:rPr>
        <w:t xml:space="preserve"> a</w:t>
      </w:r>
      <w:r>
        <w:rPr>
          <w:rFonts w:asciiTheme="minorHAnsi" w:hAnsiTheme="minorHAnsi" w:cstheme="minorHAnsi"/>
          <w:lang w:val="en-ID"/>
        </w:rPr>
        <w:t xml:space="preserve"> GOI</w:t>
      </w:r>
      <w:r w:rsidR="001F4299">
        <w:rPr>
          <w:rFonts w:asciiTheme="minorHAnsi" w:hAnsiTheme="minorHAnsi" w:cstheme="minorHAnsi"/>
          <w:lang w:val="en-ID"/>
        </w:rPr>
        <w:t>-funded</w:t>
      </w:r>
      <w:r>
        <w:rPr>
          <w:rFonts w:asciiTheme="minorHAnsi" w:hAnsiTheme="minorHAnsi" w:cstheme="minorHAnsi"/>
          <w:lang w:val="en-ID"/>
        </w:rPr>
        <w:t xml:space="preserve"> budget.</w:t>
      </w:r>
      <w:r w:rsidR="00D05FB3">
        <w:rPr>
          <w:rFonts w:asciiTheme="minorHAnsi" w:hAnsiTheme="minorHAnsi" w:cstheme="minorHAnsi"/>
          <w:lang w:val="en-ID"/>
        </w:rPr>
        <w:t xml:space="preserve"> </w:t>
      </w:r>
      <w:r w:rsidR="00371484">
        <w:rPr>
          <w:rFonts w:asciiTheme="minorHAnsi" w:hAnsiTheme="minorHAnsi" w:cstheme="minorHAnsi"/>
          <w:lang w:val="en-ID"/>
        </w:rPr>
        <w:t>Due to this,</w:t>
      </w:r>
      <w:r w:rsidRPr="00783169">
        <w:rPr>
          <w:rFonts w:asciiTheme="minorHAnsi" w:hAnsiTheme="minorHAnsi" w:cstheme="minorHAnsi"/>
        </w:rPr>
        <w:t xml:space="preserve"> UNDP, funded by the Government of Norway, played a significant role in helping the agency </w:t>
      </w:r>
      <w:r>
        <w:rPr>
          <w:rFonts w:asciiTheme="minorHAnsi" w:hAnsiTheme="minorHAnsi" w:cstheme="minorHAnsi"/>
          <w:lang w:val="en-ID"/>
        </w:rPr>
        <w:t xml:space="preserve">evolve </w:t>
      </w:r>
      <w:r w:rsidR="00371484">
        <w:rPr>
          <w:rFonts w:asciiTheme="minorHAnsi" w:hAnsiTheme="minorHAnsi" w:cstheme="minorHAnsi"/>
          <w:lang w:val="en-ID"/>
        </w:rPr>
        <w:t xml:space="preserve">to </w:t>
      </w:r>
      <w:r w:rsidRPr="00783169">
        <w:rPr>
          <w:rFonts w:asciiTheme="minorHAnsi" w:hAnsiTheme="minorHAnsi" w:cstheme="minorHAnsi"/>
        </w:rPr>
        <w:t xml:space="preserve">become institutionally </w:t>
      </w:r>
      <w:r w:rsidR="001F4299">
        <w:rPr>
          <w:rFonts w:asciiTheme="minorHAnsi" w:hAnsiTheme="minorHAnsi" w:cstheme="minorHAnsi"/>
          <w:lang w:val="en-US"/>
        </w:rPr>
        <w:t>cap</w:t>
      </w:r>
      <w:r w:rsidRPr="00783169">
        <w:rPr>
          <w:rFonts w:asciiTheme="minorHAnsi" w:hAnsiTheme="minorHAnsi" w:cstheme="minorHAnsi"/>
        </w:rPr>
        <w:t>able to undertake its</w:t>
      </w:r>
      <w:r>
        <w:rPr>
          <w:rFonts w:asciiTheme="minorHAnsi" w:hAnsiTheme="minorHAnsi" w:cstheme="minorHAnsi"/>
          <w:lang w:val="en-ID"/>
        </w:rPr>
        <w:t xml:space="preserve"> mandate</w:t>
      </w:r>
      <w:r w:rsidRPr="00783169">
        <w:rPr>
          <w:rFonts w:asciiTheme="minorHAnsi" w:hAnsiTheme="minorHAnsi" w:cstheme="minorHAnsi"/>
        </w:rPr>
        <w:t>.</w:t>
      </w:r>
      <w:r w:rsidR="00D05FB3">
        <w:rPr>
          <w:rFonts w:asciiTheme="minorHAnsi" w:hAnsiTheme="minorHAnsi" w:cstheme="minorHAnsi"/>
        </w:rPr>
        <w:t xml:space="preserve"> </w:t>
      </w:r>
    </w:p>
    <w:p w14:paraId="3A81A4AE" w14:textId="1A976DF2" w:rsidR="003107D3" w:rsidRDefault="003107D3" w:rsidP="00F9260B">
      <w:pPr>
        <w:autoSpaceDE w:val="0"/>
        <w:autoSpaceDN w:val="0"/>
        <w:adjustRightInd w:val="0"/>
        <w:spacing w:after="0" w:line="240" w:lineRule="auto"/>
        <w:jc w:val="both"/>
        <w:rPr>
          <w:rFonts w:asciiTheme="minorHAnsi" w:hAnsiTheme="minorHAnsi" w:cstheme="minorHAnsi"/>
          <w:lang w:val="en-ID"/>
        </w:rPr>
      </w:pPr>
    </w:p>
    <w:p w14:paraId="429EFEF6" w14:textId="03293268" w:rsidR="003107D3" w:rsidRDefault="003107D3" w:rsidP="003107D3">
      <w:pPr>
        <w:autoSpaceDE w:val="0"/>
        <w:autoSpaceDN w:val="0"/>
        <w:adjustRightInd w:val="0"/>
        <w:spacing w:after="0" w:line="240" w:lineRule="auto"/>
        <w:jc w:val="both"/>
        <w:rPr>
          <w:rFonts w:asciiTheme="minorHAnsi" w:hAnsiTheme="minorHAnsi" w:cstheme="minorHAnsi"/>
        </w:rPr>
      </w:pPr>
      <w:r w:rsidRPr="00613E3D">
        <w:rPr>
          <w:rFonts w:asciiTheme="minorHAnsi" w:hAnsiTheme="minorHAnsi" w:cstheme="minorHAnsi"/>
        </w:rPr>
        <w:t>The ability of UNDP to fulfil BRG’s basic needs in its first year (2016) allowed the agency to move forward and deliver state budget to provinces, engage</w:t>
      </w:r>
      <w:r>
        <w:rPr>
          <w:rFonts w:asciiTheme="minorHAnsi" w:hAnsiTheme="minorHAnsi" w:cstheme="minorHAnsi"/>
          <w:lang w:val="en-ID"/>
        </w:rPr>
        <w:t xml:space="preserve"> with</w:t>
      </w:r>
      <w:r w:rsidRPr="00613E3D">
        <w:rPr>
          <w:rFonts w:asciiTheme="minorHAnsi" w:hAnsiTheme="minorHAnsi" w:cstheme="minorHAnsi"/>
        </w:rPr>
        <w:t xml:space="preserve"> communities and CSOs, and determine unit cost</w:t>
      </w:r>
      <w:r w:rsidR="00371484">
        <w:rPr>
          <w:rFonts w:asciiTheme="minorHAnsi" w:hAnsiTheme="minorHAnsi" w:cstheme="minorHAnsi"/>
        </w:rPr>
        <w:t>s</w:t>
      </w:r>
      <w:r w:rsidRPr="00613E3D">
        <w:rPr>
          <w:rFonts w:asciiTheme="minorHAnsi" w:hAnsiTheme="minorHAnsi" w:cstheme="minorHAnsi"/>
        </w:rPr>
        <w:t xml:space="preserve"> of peat restoration in 2017. BRG’s pivotal role in peatland restoration was established in 2018</w:t>
      </w:r>
      <w:r>
        <w:rPr>
          <w:rFonts w:asciiTheme="minorHAnsi" w:hAnsiTheme="minorHAnsi" w:cstheme="minorHAnsi"/>
          <w:lang w:val="en-ID"/>
        </w:rPr>
        <w:t>,</w:t>
      </w:r>
      <w:r w:rsidRPr="00613E3D">
        <w:rPr>
          <w:rFonts w:asciiTheme="minorHAnsi" w:hAnsiTheme="minorHAnsi" w:cstheme="minorHAnsi"/>
        </w:rPr>
        <w:t xml:space="preserve"> as it was accepted and supported by communities, and </w:t>
      </w:r>
      <w:r>
        <w:rPr>
          <w:rFonts w:asciiTheme="minorHAnsi" w:hAnsiTheme="minorHAnsi" w:cstheme="minorHAnsi"/>
          <w:lang w:val="en-ID"/>
        </w:rPr>
        <w:t xml:space="preserve">was </w:t>
      </w:r>
      <w:r w:rsidRPr="00613E3D">
        <w:rPr>
          <w:rFonts w:asciiTheme="minorHAnsi" w:hAnsiTheme="minorHAnsi" w:cstheme="minorHAnsi"/>
        </w:rPr>
        <w:t>able to delegate its mandate to provincial governments. After two years</w:t>
      </w:r>
      <w:r>
        <w:rPr>
          <w:rFonts w:asciiTheme="minorHAnsi" w:hAnsiTheme="minorHAnsi" w:cstheme="minorHAnsi"/>
          <w:lang w:val="en-ID"/>
        </w:rPr>
        <w:t>,</w:t>
      </w:r>
      <w:r w:rsidRPr="00613E3D">
        <w:rPr>
          <w:rFonts w:asciiTheme="minorHAnsi" w:hAnsiTheme="minorHAnsi" w:cstheme="minorHAnsi"/>
        </w:rPr>
        <w:t xml:space="preserve"> stakeholders are beginning to witness the impact of BRG. This success indicates that for the rest of BRG’s lifespan (until 2020), peat restoration </w:t>
      </w:r>
      <w:r>
        <w:rPr>
          <w:rFonts w:asciiTheme="minorHAnsi" w:hAnsiTheme="minorHAnsi" w:cstheme="minorHAnsi"/>
          <w:lang w:val="en-ID"/>
        </w:rPr>
        <w:t xml:space="preserve">will have been </w:t>
      </w:r>
      <w:r w:rsidRPr="00613E3D">
        <w:rPr>
          <w:rFonts w:asciiTheme="minorHAnsi" w:hAnsiTheme="minorHAnsi" w:cstheme="minorHAnsi"/>
        </w:rPr>
        <w:t xml:space="preserve">effective in the targeted provinces. </w:t>
      </w:r>
    </w:p>
    <w:p w14:paraId="5E7F8251" w14:textId="5CB742A8" w:rsidR="00C1525C" w:rsidRDefault="00C1525C">
      <w:pPr>
        <w:spacing w:after="160" w:line="259" w:lineRule="auto"/>
        <w:rPr>
          <w:rFonts w:asciiTheme="minorHAnsi" w:hAnsiTheme="minorHAnsi" w:cstheme="minorHAnsi"/>
        </w:rPr>
      </w:pPr>
      <w:r>
        <w:rPr>
          <w:rFonts w:asciiTheme="minorHAnsi" w:hAnsiTheme="minorHAnsi" w:cstheme="minorHAnsi"/>
        </w:rPr>
        <w:br w:type="page"/>
      </w:r>
    </w:p>
    <w:p w14:paraId="7D8500B8" w14:textId="77777777" w:rsidR="00C1525C" w:rsidRPr="00613E3D" w:rsidRDefault="00C1525C" w:rsidP="003107D3">
      <w:pPr>
        <w:autoSpaceDE w:val="0"/>
        <w:autoSpaceDN w:val="0"/>
        <w:adjustRightInd w:val="0"/>
        <w:spacing w:after="0" w:line="240" w:lineRule="auto"/>
        <w:jc w:val="both"/>
        <w:rPr>
          <w:rFonts w:asciiTheme="minorHAnsi" w:hAnsiTheme="minorHAnsi" w:cstheme="minorHAnsi"/>
        </w:rPr>
      </w:pPr>
    </w:p>
    <w:p w14:paraId="4AD923B5" w14:textId="77777777" w:rsidR="003A69E2" w:rsidRDefault="003A69E2" w:rsidP="00197DDF">
      <w:pPr>
        <w:autoSpaceDE w:val="0"/>
        <w:autoSpaceDN w:val="0"/>
        <w:adjustRightInd w:val="0"/>
        <w:spacing w:after="0" w:line="23" w:lineRule="atLeast"/>
        <w:rPr>
          <w:rFonts w:cs="Calibri,Bold"/>
          <w:bCs/>
          <w:color w:val="000000" w:themeColor="text1"/>
          <w:lang w:val="en-US"/>
        </w:rPr>
      </w:pPr>
    </w:p>
    <w:p w14:paraId="073BAA3A" w14:textId="01AC375E" w:rsidR="003A69E2" w:rsidRPr="00842AD9" w:rsidRDefault="00677389" w:rsidP="00842AD9">
      <w:pPr>
        <w:pStyle w:val="Heading3"/>
        <w:rPr>
          <w:lang w:val="en-US"/>
        </w:rPr>
      </w:pPr>
      <w:bookmarkStart w:id="12" w:name="_Toc528998430"/>
      <w:r w:rsidRPr="00842AD9">
        <w:rPr>
          <w:lang w:val="en-US"/>
        </w:rPr>
        <w:t>Phase I</w:t>
      </w:r>
      <w:r w:rsidR="00842AD9">
        <w:rPr>
          <w:lang w:val="en-US"/>
        </w:rPr>
        <w:t xml:space="preserve"> (2016 – 2017)</w:t>
      </w:r>
      <w:bookmarkEnd w:id="12"/>
    </w:p>
    <w:p w14:paraId="16FE33E3" w14:textId="77777777" w:rsidR="00677389" w:rsidRDefault="00677389" w:rsidP="00842AD9">
      <w:pPr>
        <w:pStyle w:val="Heading3"/>
        <w:rPr>
          <w:lang w:val="en-US"/>
        </w:rPr>
      </w:pPr>
    </w:p>
    <w:p w14:paraId="313FCD56" w14:textId="66FBAB21" w:rsidR="00677389" w:rsidRPr="00677389" w:rsidRDefault="00677389" w:rsidP="006C0A4B">
      <w:pPr>
        <w:spacing w:before="120" w:after="0" w:line="240" w:lineRule="auto"/>
        <w:jc w:val="both"/>
        <w:rPr>
          <w:rFonts w:asciiTheme="minorHAnsi" w:hAnsiTheme="minorHAnsi" w:cstheme="minorHAnsi"/>
          <w:bCs/>
          <w:color w:val="000000" w:themeColor="text1"/>
          <w:lang w:val="en-US"/>
        </w:rPr>
      </w:pPr>
      <w:r w:rsidRPr="00677389">
        <w:rPr>
          <w:rFonts w:asciiTheme="minorHAnsi" w:hAnsiTheme="minorHAnsi" w:cstheme="minorHAnsi"/>
          <w:b/>
          <w:color w:val="000000" w:themeColor="text1"/>
        </w:rPr>
        <w:t xml:space="preserve">Output 1 – BRG is equipped with the necessary components that will make </w:t>
      </w:r>
      <w:r w:rsidR="00354CFC">
        <w:rPr>
          <w:rFonts w:asciiTheme="minorHAnsi" w:hAnsiTheme="minorHAnsi" w:cstheme="minorHAnsi"/>
          <w:b/>
          <w:color w:val="000000" w:themeColor="text1"/>
          <w:lang w:val="en-ID"/>
        </w:rPr>
        <w:t xml:space="preserve">it an </w:t>
      </w:r>
      <w:r w:rsidRPr="00677389">
        <w:rPr>
          <w:rFonts w:asciiTheme="minorHAnsi" w:hAnsiTheme="minorHAnsi" w:cstheme="minorHAnsi"/>
          <w:b/>
          <w:color w:val="000000" w:themeColor="text1"/>
        </w:rPr>
        <w:t>effective institution to deliver its mandates</w:t>
      </w:r>
      <w:r w:rsidR="00371484">
        <w:rPr>
          <w:rFonts w:asciiTheme="minorHAnsi" w:hAnsiTheme="minorHAnsi" w:cstheme="minorHAnsi"/>
          <w:b/>
          <w:color w:val="000000" w:themeColor="text1"/>
        </w:rPr>
        <w:t>.</w:t>
      </w:r>
      <w:r w:rsidRPr="00677389">
        <w:rPr>
          <w:rFonts w:asciiTheme="minorHAnsi" w:hAnsiTheme="minorHAnsi" w:cstheme="minorHAnsi"/>
          <w:b/>
          <w:color w:val="000000" w:themeColor="text1"/>
        </w:rPr>
        <w:t xml:space="preserve"> </w:t>
      </w:r>
    </w:p>
    <w:p w14:paraId="77B5206D" w14:textId="74575CF3" w:rsidR="00677389" w:rsidRPr="00677389" w:rsidRDefault="00677389" w:rsidP="00677389">
      <w:pPr>
        <w:pStyle w:val="ListParagraph"/>
        <w:numPr>
          <w:ilvl w:val="0"/>
          <w:numId w:val="14"/>
        </w:numPr>
        <w:spacing w:before="120" w:after="0" w:line="240" w:lineRule="auto"/>
        <w:jc w:val="both"/>
        <w:rPr>
          <w:rFonts w:asciiTheme="minorHAnsi" w:hAnsiTheme="minorHAnsi" w:cstheme="minorHAnsi"/>
          <w:color w:val="000000" w:themeColor="text1"/>
        </w:rPr>
      </w:pPr>
      <w:r w:rsidRPr="00677389">
        <w:rPr>
          <w:rFonts w:asciiTheme="minorHAnsi" w:hAnsiTheme="minorHAnsi" w:cstheme="minorHAnsi"/>
          <w:color w:val="000000" w:themeColor="text1"/>
          <w:lang w:eastAsia="en-GB"/>
        </w:rPr>
        <w:t xml:space="preserve">Adequate staff </w:t>
      </w:r>
      <w:r w:rsidR="004A316B">
        <w:rPr>
          <w:rFonts w:asciiTheme="minorHAnsi" w:hAnsiTheme="minorHAnsi" w:cstheme="minorHAnsi"/>
          <w:color w:val="000000" w:themeColor="text1"/>
          <w:lang w:val="en-ID" w:eastAsia="en-GB"/>
        </w:rPr>
        <w:t xml:space="preserve">were </w:t>
      </w:r>
      <w:r w:rsidRPr="00677389">
        <w:rPr>
          <w:rFonts w:asciiTheme="minorHAnsi" w:hAnsiTheme="minorHAnsi" w:cstheme="minorHAnsi"/>
          <w:color w:val="000000" w:themeColor="text1"/>
          <w:lang w:eastAsia="en-GB"/>
        </w:rPr>
        <w:t xml:space="preserve">provided to support administrative and technical matters for each of </w:t>
      </w:r>
      <w:r w:rsidR="00371484">
        <w:rPr>
          <w:rFonts w:asciiTheme="minorHAnsi" w:hAnsiTheme="minorHAnsi" w:cstheme="minorHAnsi"/>
          <w:color w:val="000000" w:themeColor="text1"/>
          <w:lang w:eastAsia="en-GB"/>
        </w:rPr>
        <w:t xml:space="preserve">the </w:t>
      </w:r>
      <w:r w:rsidRPr="00677389">
        <w:rPr>
          <w:rFonts w:asciiTheme="minorHAnsi" w:hAnsiTheme="minorHAnsi" w:cstheme="minorHAnsi"/>
          <w:color w:val="000000" w:themeColor="text1"/>
          <w:lang w:eastAsia="en-GB"/>
        </w:rPr>
        <w:t>four deputies, head</w:t>
      </w:r>
      <w:r w:rsidR="00371484">
        <w:rPr>
          <w:rFonts w:asciiTheme="minorHAnsi" w:hAnsiTheme="minorHAnsi" w:cstheme="minorHAnsi"/>
          <w:color w:val="000000" w:themeColor="text1"/>
          <w:lang w:eastAsia="en-GB"/>
        </w:rPr>
        <w:t>,</w:t>
      </w:r>
      <w:r w:rsidRPr="00677389">
        <w:rPr>
          <w:rFonts w:asciiTheme="minorHAnsi" w:hAnsiTheme="minorHAnsi" w:cstheme="minorHAnsi"/>
          <w:color w:val="000000" w:themeColor="text1"/>
          <w:lang w:eastAsia="en-GB"/>
        </w:rPr>
        <w:t xml:space="preserve"> and secretary of BRG</w:t>
      </w:r>
      <w:r w:rsidRPr="00677389">
        <w:rPr>
          <w:rFonts w:asciiTheme="minorHAnsi" w:eastAsia="Times New Roman" w:hAnsiTheme="minorHAnsi" w:cstheme="minorHAnsi"/>
          <w:color w:val="000000" w:themeColor="text1"/>
          <w:lang w:eastAsia="id-ID"/>
        </w:rPr>
        <w:t>;</w:t>
      </w:r>
    </w:p>
    <w:p w14:paraId="7AA9DAAC" w14:textId="347A7C7F" w:rsidR="00677389" w:rsidRPr="00677389" w:rsidRDefault="00677389" w:rsidP="00677389">
      <w:pPr>
        <w:pStyle w:val="ListParagraph"/>
        <w:numPr>
          <w:ilvl w:val="0"/>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 xml:space="preserve">Provincial Peat Restoration Team (Tim Restorasi Gambut Daerah – TRGD) </w:t>
      </w:r>
      <w:r w:rsidR="004A316B">
        <w:rPr>
          <w:rFonts w:asciiTheme="minorHAnsi" w:hAnsiTheme="minorHAnsi" w:cstheme="minorHAnsi"/>
          <w:color w:val="000000" w:themeColor="text1"/>
          <w:lang w:val="en-ID" w:eastAsia="en-GB"/>
        </w:rPr>
        <w:t xml:space="preserve">was </w:t>
      </w:r>
      <w:r w:rsidRPr="00677389">
        <w:rPr>
          <w:rFonts w:asciiTheme="minorHAnsi" w:hAnsiTheme="minorHAnsi" w:cstheme="minorHAnsi"/>
          <w:color w:val="000000" w:themeColor="text1"/>
          <w:lang w:eastAsia="en-GB"/>
        </w:rPr>
        <w:t xml:space="preserve">established in seven target provinces and </w:t>
      </w:r>
      <w:r w:rsidR="004A316B">
        <w:rPr>
          <w:rFonts w:asciiTheme="minorHAnsi" w:hAnsiTheme="minorHAnsi" w:cstheme="minorHAnsi"/>
          <w:color w:val="000000" w:themeColor="text1"/>
          <w:lang w:val="en-ID" w:eastAsia="en-GB"/>
        </w:rPr>
        <w:t xml:space="preserve">began </w:t>
      </w:r>
      <w:r w:rsidRPr="00677389">
        <w:rPr>
          <w:rFonts w:asciiTheme="minorHAnsi" w:hAnsiTheme="minorHAnsi" w:cstheme="minorHAnsi"/>
          <w:color w:val="000000" w:themeColor="text1"/>
          <w:lang w:eastAsia="en-GB"/>
        </w:rPr>
        <w:t xml:space="preserve">to plan peat restoration in the target provinces; </w:t>
      </w:r>
    </w:p>
    <w:p w14:paraId="6136FA09" w14:textId="220143E3" w:rsidR="00677389" w:rsidRPr="00677389" w:rsidRDefault="00677389" w:rsidP="00677389">
      <w:pPr>
        <w:pStyle w:val="ListParagraph"/>
        <w:numPr>
          <w:ilvl w:val="0"/>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 xml:space="preserve">BRG expert group (comprising 24 experts in peat restoration, water management, </w:t>
      </w:r>
      <w:r w:rsidR="001F4299">
        <w:rPr>
          <w:rFonts w:asciiTheme="minorHAnsi" w:hAnsiTheme="minorHAnsi" w:cstheme="minorHAnsi"/>
          <w:color w:val="000000" w:themeColor="text1"/>
          <w:lang w:val="en-US" w:eastAsia="en-GB"/>
        </w:rPr>
        <w:t>humanities</w:t>
      </w:r>
      <w:r w:rsidRPr="00677389">
        <w:rPr>
          <w:rFonts w:asciiTheme="minorHAnsi" w:hAnsiTheme="minorHAnsi" w:cstheme="minorHAnsi"/>
          <w:color w:val="000000" w:themeColor="text1"/>
          <w:lang w:eastAsia="en-GB"/>
        </w:rPr>
        <w:t xml:space="preserve">, social </w:t>
      </w:r>
      <w:r w:rsidR="001F4299">
        <w:rPr>
          <w:rFonts w:asciiTheme="minorHAnsi" w:hAnsiTheme="minorHAnsi" w:cstheme="minorHAnsi"/>
          <w:color w:val="000000" w:themeColor="text1"/>
          <w:lang w:val="en-US" w:eastAsia="en-GB"/>
        </w:rPr>
        <w:t xml:space="preserve">work, </w:t>
      </w:r>
      <w:r w:rsidRPr="00677389">
        <w:rPr>
          <w:rFonts w:asciiTheme="minorHAnsi" w:hAnsiTheme="minorHAnsi" w:cstheme="minorHAnsi"/>
          <w:color w:val="000000" w:themeColor="text1"/>
          <w:lang w:eastAsia="en-GB"/>
        </w:rPr>
        <w:t xml:space="preserve">and economics) </w:t>
      </w:r>
      <w:r w:rsidR="004A316B">
        <w:rPr>
          <w:rFonts w:asciiTheme="minorHAnsi" w:hAnsiTheme="minorHAnsi" w:cstheme="minorHAnsi"/>
          <w:color w:val="000000" w:themeColor="text1"/>
          <w:lang w:val="en-ID" w:eastAsia="en-GB"/>
        </w:rPr>
        <w:t xml:space="preserve">was </w:t>
      </w:r>
      <w:r w:rsidRPr="00677389">
        <w:rPr>
          <w:rFonts w:asciiTheme="minorHAnsi" w:hAnsiTheme="minorHAnsi" w:cstheme="minorHAnsi"/>
          <w:color w:val="000000" w:themeColor="text1"/>
          <w:lang w:eastAsia="en-GB"/>
        </w:rPr>
        <w:t xml:space="preserve">established and operationalized, providing inputs to </w:t>
      </w:r>
      <w:r w:rsidR="006025FC">
        <w:rPr>
          <w:rFonts w:asciiTheme="minorHAnsi" w:hAnsiTheme="minorHAnsi" w:cstheme="minorHAnsi"/>
          <w:color w:val="000000" w:themeColor="text1"/>
          <w:lang w:eastAsia="en-GB"/>
        </w:rPr>
        <w:t xml:space="preserve">KHLK on </w:t>
      </w:r>
      <w:r w:rsidRPr="00677389">
        <w:rPr>
          <w:rFonts w:asciiTheme="minorHAnsi" w:hAnsiTheme="minorHAnsi" w:cstheme="minorHAnsi"/>
          <w:color w:val="000000" w:themeColor="text1"/>
          <w:lang w:eastAsia="en-GB"/>
        </w:rPr>
        <w:t xml:space="preserve">the revision of PP 71/2014 </w:t>
      </w:r>
      <w:r w:rsidR="001F4299">
        <w:rPr>
          <w:rFonts w:asciiTheme="minorHAnsi" w:hAnsiTheme="minorHAnsi" w:cstheme="minorHAnsi"/>
          <w:color w:val="000000" w:themeColor="text1"/>
          <w:lang w:val="en-US" w:eastAsia="en-GB"/>
        </w:rPr>
        <w:t>for</w:t>
      </w:r>
      <w:r w:rsidR="001F4299" w:rsidRPr="00677389">
        <w:rPr>
          <w:rFonts w:asciiTheme="minorHAnsi" w:hAnsiTheme="minorHAnsi" w:cstheme="minorHAnsi"/>
          <w:color w:val="000000" w:themeColor="text1"/>
          <w:lang w:eastAsia="en-GB"/>
        </w:rPr>
        <w:t xml:space="preserve"> </w:t>
      </w:r>
      <w:r w:rsidRPr="00677389">
        <w:rPr>
          <w:rFonts w:asciiTheme="minorHAnsi" w:hAnsiTheme="minorHAnsi" w:cstheme="minorHAnsi"/>
          <w:color w:val="000000" w:themeColor="text1"/>
          <w:lang w:eastAsia="en-GB"/>
        </w:rPr>
        <w:t xml:space="preserve">peat restoration, </w:t>
      </w:r>
      <w:r w:rsidR="001F4299">
        <w:rPr>
          <w:rFonts w:asciiTheme="minorHAnsi" w:hAnsiTheme="minorHAnsi" w:cstheme="minorHAnsi"/>
          <w:color w:val="000000" w:themeColor="text1"/>
          <w:lang w:val="en-US" w:eastAsia="en-GB"/>
        </w:rPr>
        <w:t>as well as</w:t>
      </w:r>
      <w:r w:rsidR="001F4299" w:rsidRPr="00677389">
        <w:rPr>
          <w:rFonts w:asciiTheme="minorHAnsi" w:hAnsiTheme="minorHAnsi" w:cstheme="minorHAnsi"/>
          <w:color w:val="000000" w:themeColor="text1"/>
          <w:lang w:eastAsia="en-GB"/>
        </w:rPr>
        <w:t xml:space="preserve"> </w:t>
      </w:r>
      <w:r w:rsidRPr="00677389">
        <w:rPr>
          <w:rFonts w:asciiTheme="minorHAnsi" w:hAnsiTheme="minorHAnsi" w:cstheme="minorHAnsi"/>
          <w:color w:val="000000" w:themeColor="text1"/>
          <w:lang w:eastAsia="en-GB"/>
        </w:rPr>
        <w:t xml:space="preserve">providing inputs for BRG peat restoration strategy and policy; </w:t>
      </w:r>
    </w:p>
    <w:p w14:paraId="1523075C" w14:textId="77777777" w:rsidR="00677389" w:rsidRPr="00677389" w:rsidRDefault="00677389" w:rsidP="00677389">
      <w:pPr>
        <w:pStyle w:val="ListParagraph"/>
        <w:numPr>
          <w:ilvl w:val="0"/>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 xml:space="preserve">BRG Working Units to manage administration and implementation of state budget </w:t>
      </w:r>
      <w:r w:rsidR="004A316B">
        <w:rPr>
          <w:rFonts w:asciiTheme="minorHAnsi" w:hAnsiTheme="minorHAnsi" w:cstheme="minorHAnsi"/>
          <w:color w:val="000000" w:themeColor="text1"/>
          <w:lang w:val="en-ID" w:eastAsia="en-GB"/>
        </w:rPr>
        <w:t xml:space="preserve">were </w:t>
      </w:r>
      <w:r w:rsidRPr="00677389">
        <w:rPr>
          <w:rFonts w:asciiTheme="minorHAnsi" w:hAnsiTheme="minorHAnsi" w:cstheme="minorHAnsi"/>
          <w:color w:val="000000" w:themeColor="text1"/>
          <w:lang w:eastAsia="en-GB"/>
        </w:rPr>
        <w:t xml:space="preserve">established, with 11 out of 13 units fully staffed during the first phase of the project; </w:t>
      </w:r>
    </w:p>
    <w:p w14:paraId="7BDE10F6" w14:textId="77777777" w:rsidR="00677389" w:rsidRPr="00677389" w:rsidRDefault="00677389" w:rsidP="00677389">
      <w:pPr>
        <w:pStyle w:val="ListParagraph"/>
        <w:numPr>
          <w:ilvl w:val="0"/>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 xml:space="preserve">Equipment </w:t>
      </w:r>
      <w:r w:rsidR="004A316B">
        <w:rPr>
          <w:rFonts w:asciiTheme="minorHAnsi" w:hAnsiTheme="minorHAnsi" w:cstheme="minorHAnsi"/>
          <w:color w:val="000000" w:themeColor="text1"/>
          <w:lang w:val="en-ID" w:eastAsia="en-GB"/>
        </w:rPr>
        <w:t xml:space="preserve">was </w:t>
      </w:r>
      <w:r w:rsidRPr="00677389">
        <w:rPr>
          <w:rFonts w:asciiTheme="minorHAnsi" w:hAnsiTheme="minorHAnsi" w:cstheme="minorHAnsi"/>
          <w:color w:val="000000" w:themeColor="text1"/>
          <w:lang w:eastAsia="en-GB"/>
        </w:rPr>
        <w:t>provided to support daily working of staff;</w:t>
      </w:r>
    </w:p>
    <w:p w14:paraId="113DA495" w14:textId="77777777" w:rsidR="00677389" w:rsidRPr="00677389" w:rsidRDefault="00677389" w:rsidP="00677389">
      <w:pPr>
        <w:pStyle w:val="ListParagraph"/>
        <w:numPr>
          <w:ilvl w:val="0"/>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 xml:space="preserve">Office space </w:t>
      </w:r>
      <w:r w:rsidR="004A316B">
        <w:rPr>
          <w:rFonts w:asciiTheme="minorHAnsi" w:hAnsiTheme="minorHAnsi" w:cstheme="minorHAnsi"/>
          <w:color w:val="000000" w:themeColor="text1"/>
          <w:lang w:val="en-ID" w:eastAsia="en-GB"/>
        </w:rPr>
        <w:t xml:space="preserve">was </w:t>
      </w:r>
      <w:r w:rsidRPr="00677389">
        <w:rPr>
          <w:rFonts w:asciiTheme="minorHAnsi" w:hAnsiTheme="minorHAnsi" w:cstheme="minorHAnsi"/>
          <w:color w:val="000000" w:themeColor="text1"/>
          <w:lang w:eastAsia="en-GB"/>
        </w:rPr>
        <w:t xml:space="preserve">enhanced with additional space to accommodate the increased number of staff; </w:t>
      </w:r>
    </w:p>
    <w:p w14:paraId="04DF9B4F" w14:textId="48262EEB" w:rsidR="00677389" w:rsidRPr="00677389" w:rsidRDefault="00677389" w:rsidP="00677389">
      <w:pPr>
        <w:pStyle w:val="ListParagraph"/>
        <w:numPr>
          <w:ilvl w:val="0"/>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 xml:space="preserve">A five-year strategic plan </w:t>
      </w:r>
      <w:r w:rsidR="004A316B">
        <w:rPr>
          <w:rFonts w:asciiTheme="minorHAnsi" w:hAnsiTheme="minorHAnsi" w:cstheme="minorHAnsi"/>
          <w:color w:val="000000" w:themeColor="text1"/>
          <w:lang w:val="en-ID" w:eastAsia="en-GB"/>
        </w:rPr>
        <w:t xml:space="preserve">was developed to </w:t>
      </w:r>
      <w:r w:rsidRPr="00677389">
        <w:rPr>
          <w:rFonts w:asciiTheme="minorHAnsi" w:hAnsiTheme="minorHAnsi" w:cstheme="minorHAnsi"/>
          <w:color w:val="000000" w:themeColor="text1"/>
          <w:lang w:eastAsia="en-GB"/>
        </w:rPr>
        <w:t xml:space="preserve">guide BRG </w:t>
      </w:r>
      <w:r w:rsidR="004A316B">
        <w:rPr>
          <w:rFonts w:asciiTheme="minorHAnsi" w:hAnsiTheme="minorHAnsi" w:cstheme="minorHAnsi"/>
          <w:color w:val="000000" w:themeColor="text1"/>
          <w:lang w:val="en-ID" w:eastAsia="en-GB"/>
        </w:rPr>
        <w:t xml:space="preserve">in its responsibility to implement </w:t>
      </w:r>
      <w:r w:rsidRPr="00677389">
        <w:rPr>
          <w:rFonts w:asciiTheme="minorHAnsi" w:hAnsiTheme="minorHAnsi" w:cstheme="minorHAnsi"/>
          <w:color w:val="000000" w:themeColor="text1"/>
          <w:lang w:eastAsia="en-GB"/>
        </w:rPr>
        <w:t>peat restoration;</w:t>
      </w:r>
    </w:p>
    <w:p w14:paraId="1155DB80" w14:textId="77777777" w:rsidR="00677389" w:rsidRPr="00677389" w:rsidRDefault="00677389" w:rsidP="00677389">
      <w:pPr>
        <w:pStyle w:val="ListParagraph"/>
        <w:numPr>
          <w:ilvl w:val="0"/>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 xml:space="preserve">Peat ecosystem restoration plans (Rencana Restorasi Ekosistem Gambut – RREG) </w:t>
      </w:r>
      <w:r w:rsidR="004A316B">
        <w:rPr>
          <w:rFonts w:asciiTheme="minorHAnsi" w:hAnsiTheme="minorHAnsi" w:cstheme="minorHAnsi"/>
          <w:color w:val="000000" w:themeColor="text1"/>
          <w:lang w:val="en-ID" w:eastAsia="en-GB"/>
        </w:rPr>
        <w:t xml:space="preserve">were </w:t>
      </w:r>
      <w:r w:rsidRPr="00677389">
        <w:rPr>
          <w:rFonts w:asciiTheme="minorHAnsi" w:hAnsiTheme="minorHAnsi" w:cstheme="minorHAnsi"/>
          <w:color w:val="000000" w:themeColor="text1"/>
          <w:lang w:eastAsia="en-GB"/>
        </w:rPr>
        <w:t>developed. The plans explain</w:t>
      </w:r>
      <w:r w:rsidR="004A316B">
        <w:rPr>
          <w:rFonts w:asciiTheme="minorHAnsi" w:hAnsiTheme="minorHAnsi" w:cstheme="minorHAnsi"/>
          <w:color w:val="000000" w:themeColor="text1"/>
          <w:lang w:val="en-ID" w:eastAsia="en-GB"/>
        </w:rPr>
        <w:t>ed</w:t>
      </w:r>
      <w:r w:rsidRPr="00677389">
        <w:rPr>
          <w:rFonts w:asciiTheme="minorHAnsi" w:hAnsiTheme="minorHAnsi" w:cstheme="minorHAnsi"/>
          <w:color w:val="000000" w:themeColor="text1"/>
          <w:lang w:eastAsia="en-GB"/>
        </w:rPr>
        <w:t xml:space="preserve"> the specific location of peat hydrological units (Kesatuan Hidrologi Gambut – KHG) in all seven targeted provinces, describing their condition and function, and detailing any intervention to be undertaken to restore these KHGs; </w:t>
      </w:r>
    </w:p>
    <w:p w14:paraId="25D28103" w14:textId="259614A3" w:rsidR="00677389" w:rsidRPr="00677389" w:rsidRDefault="004A316B" w:rsidP="00677389">
      <w:pPr>
        <w:pStyle w:val="ListParagraph"/>
        <w:numPr>
          <w:ilvl w:val="0"/>
          <w:numId w:val="14"/>
        </w:numPr>
        <w:spacing w:before="120" w:after="0" w:line="240" w:lineRule="auto"/>
        <w:jc w:val="both"/>
        <w:rPr>
          <w:rFonts w:asciiTheme="minorHAnsi" w:hAnsiTheme="minorHAnsi" w:cstheme="minorHAnsi"/>
          <w:color w:val="000000" w:themeColor="text1"/>
          <w:lang w:eastAsia="en-GB"/>
        </w:rPr>
      </w:pPr>
      <w:r>
        <w:rPr>
          <w:rFonts w:asciiTheme="minorHAnsi" w:hAnsiTheme="minorHAnsi" w:cstheme="minorHAnsi"/>
          <w:color w:val="000000" w:themeColor="text1"/>
          <w:lang w:val="en-ID" w:eastAsia="en-GB"/>
        </w:rPr>
        <w:t xml:space="preserve">By providing </w:t>
      </w:r>
      <w:r w:rsidR="00677389" w:rsidRPr="00677389">
        <w:rPr>
          <w:rFonts w:asciiTheme="minorHAnsi" w:hAnsiTheme="minorHAnsi" w:cstheme="minorHAnsi"/>
          <w:color w:val="000000" w:themeColor="text1"/>
          <w:lang w:eastAsia="en-GB"/>
        </w:rPr>
        <w:t xml:space="preserve">adequate staff and </w:t>
      </w:r>
      <w:r>
        <w:rPr>
          <w:rFonts w:asciiTheme="minorHAnsi" w:hAnsiTheme="minorHAnsi" w:cstheme="minorHAnsi"/>
          <w:color w:val="000000" w:themeColor="text1"/>
          <w:lang w:val="en-ID" w:eastAsia="en-GB"/>
        </w:rPr>
        <w:t>resources</w:t>
      </w:r>
      <w:r w:rsidR="001F4299">
        <w:rPr>
          <w:rFonts w:asciiTheme="minorHAnsi" w:hAnsiTheme="minorHAnsi" w:cstheme="minorHAnsi"/>
          <w:color w:val="000000" w:themeColor="text1"/>
          <w:lang w:val="en-ID" w:eastAsia="en-GB"/>
        </w:rPr>
        <w:t>,</w:t>
      </w:r>
      <w:r>
        <w:rPr>
          <w:rFonts w:asciiTheme="minorHAnsi" w:hAnsiTheme="minorHAnsi" w:cstheme="minorHAnsi"/>
          <w:color w:val="000000" w:themeColor="text1"/>
          <w:lang w:val="en-ID" w:eastAsia="en-GB"/>
        </w:rPr>
        <w:t xml:space="preserve"> </w:t>
      </w:r>
      <w:r w:rsidR="00677389" w:rsidRPr="00677389">
        <w:rPr>
          <w:rFonts w:asciiTheme="minorHAnsi" w:hAnsiTheme="minorHAnsi" w:cstheme="minorHAnsi"/>
          <w:color w:val="000000" w:themeColor="text1"/>
          <w:lang w:eastAsia="en-GB"/>
        </w:rPr>
        <w:t xml:space="preserve">BRG was eligible </w:t>
      </w:r>
      <w:r w:rsidR="00D626A7">
        <w:rPr>
          <w:rFonts w:asciiTheme="minorHAnsi" w:hAnsiTheme="minorHAnsi" w:cstheme="minorHAnsi"/>
          <w:color w:val="000000" w:themeColor="text1"/>
          <w:lang w:eastAsia="en-GB"/>
        </w:rPr>
        <w:t>for</w:t>
      </w:r>
      <w:r w:rsidR="00677389" w:rsidRPr="00677389">
        <w:rPr>
          <w:rFonts w:asciiTheme="minorHAnsi" w:hAnsiTheme="minorHAnsi" w:cstheme="minorHAnsi"/>
          <w:color w:val="000000" w:themeColor="text1"/>
          <w:lang w:eastAsia="en-GB"/>
        </w:rPr>
        <w:t xml:space="preserve"> </w:t>
      </w:r>
      <w:r w:rsidR="001F4299">
        <w:rPr>
          <w:rFonts w:asciiTheme="minorHAnsi" w:hAnsiTheme="minorHAnsi" w:cstheme="minorHAnsi"/>
          <w:color w:val="000000" w:themeColor="text1"/>
          <w:lang w:val="en-US" w:eastAsia="en-GB"/>
        </w:rPr>
        <w:t xml:space="preserve">a </w:t>
      </w:r>
      <w:r w:rsidR="00677389" w:rsidRPr="00677389">
        <w:rPr>
          <w:rFonts w:asciiTheme="minorHAnsi" w:hAnsiTheme="minorHAnsi" w:cstheme="minorHAnsi"/>
          <w:color w:val="000000" w:themeColor="text1"/>
          <w:lang w:eastAsia="en-GB"/>
        </w:rPr>
        <w:t>state</w:t>
      </w:r>
      <w:r w:rsidR="001F4299">
        <w:rPr>
          <w:rFonts w:asciiTheme="minorHAnsi" w:hAnsiTheme="minorHAnsi" w:cstheme="minorHAnsi"/>
          <w:color w:val="000000" w:themeColor="text1"/>
          <w:lang w:val="en-US" w:eastAsia="en-GB"/>
        </w:rPr>
        <w:t>-funded</w:t>
      </w:r>
      <w:r w:rsidR="00677389" w:rsidRPr="00677389">
        <w:rPr>
          <w:rFonts w:asciiTheme="minorHAnsi" w:hAnsiTheme="minorHAnsi" w:cstheme="minorHAnsi"/>
          <w:color w:val="000000" w:themeColor="text1"/>
          <w:lang w:eastAsia="en-GB"/>
        </w:rPr>
        <w:t xml:space="preserve"> budget. By the end of 2016, BRG was granted a total of IDR 24 Billion (USD 1.8 Million) in state funding for the last quarter of 2016. State funding increased </w:t>
      </w:r>
      <w:r>
        <w:rPr>
          <w:rFonts w:asciiTheme="minorHAnsi" w:hAnsiTheme="minorHAnsi" w:cstheme="minorHAnsi"/>
          <w:color w:val="000000" w:themeColor="text1"/>
          <w:lang w:val="en-ID" w:eastAsia="en-GB"/>
        </w:rPr>
        <w:t xml:space="preserve">significantly </w:t>
      </w:r>
      <w:r w:rsidR="00677389" w:rsidRPr="00677389">
        <w:rPr>
          <w:rFonts w:asciiTheme="minorHAnsi" w:hAnsiTheme="minorHAnsi" w:cstheme="minorHAnsi"/>
          <w:color w:val="000000" w:themeColor="text1"/>
          <w:lang w:eastAsia="en-GB"/>
        </w:rPr>
        <w:t>to IDR 865 Billion (USD 64 Million)</w:t>
      </w:r>
      <w:r w:rsidR="001F4299">
        <w:rPr>
          <w:rFonts w:asciiTheme="minorHAnsi" w:hAnsiTheme="minorHAnsi" w:cstheme="minorHAnsi"/>
          <w:color w:val="000000" w:themeColor="text1"/>
          <w:lang w:val="en-US" w:eastAsia="en-GB"/>
        </w:rPr>
        <w:t xml:space="preserve"> in 2017</w:t>
      </w:r>
      <w:r w:rsidR="00677389" w:rsidRPr="00677389">
        <w:rPr>
          <w:rFonts w:asciiTheme="minorHAnsi" w:hAnsiTheme="minorHAnsi" w:cstheme="minorHAnsi"/>
          <w:color w:val="000000" w:themeColor="text1"/>
          <w:lang w:eastAsia="en-GB"/>
        </w:rPr>
        <w:t xml:space="preserve">; </w:t>
      </w:r>
    </w:p>
    <w:p w14:paraId="17AC1CD2" w14:textId="7D3059C6" w:rsidR="00677389" w:rsidRPr="00677389" w:rsidRDefault="00677389" w:rsidP="00677389">
      <w:pPr>
        <w:pStyle w:val="ListParagraph"/>
        <w:numPr>
          <w:ilvl w:val="0"/>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 xml:space="preserve">To implement the strategic plan, BRG developed </w:t>
      </w:r>
      <w:r w:rsidR="005A7ED8">
        <w:rPr>
          <w:rFonts w:asciiTheme="minorHAnsi" w:hAnsiTheme="minorHAnsi" w:cstheme="minorHAnsi"/>
          <w:color w:val="000000" w:themeColor="text1"/>
          <w:lang w:val="en-ID" w:eastAsia="en-GB"/>
        </w:rPr>
        <w:t>six</w:t>
      </w:r>
      <w:r w:rsidRPr="00677389">
        <w:rPr>
          <w:rFonts w:asciiTheme="minorHAnsi" w:hAnsiTheme="minorHAnsi" w:cstheme="minorHAnsi"/>
          <w:color w:val="000000" w:themeColor="text1"/>
          <w:lang w:eastAsia="en-GB"/>
        </w:rPr>
        <w:t xml:space="preserve"> technical and policy guidelines that </w:t>
      </w:r>
      <w:r w:rsidR="004A316B">
        <w:rPr>
          <w:rFonts w:asciiTheme="minorHAnsi" w:hAnsiTheme="minorHAnsi" w:cstheme="minorHAnsi"/>
          <w:color w:val="000000" w:themeColor="text1"/>
          <w:lang w:val="en-ID" w:eastAsia="en-GB"/>
        </w:rPr>
        <w:t xml:space="preserve">were used as a </w:t>
      </w:r>
      <w:r w:rsidRPr="00677389">
        <w:rPr>
          <w:rFonts w:asciiTheme="minorHAnsi" w:hAnsiTheme="minorHAnsi" w:cstheme="minorHAnsi"/>
          <w:color w:val="000000" w:themeColor="text1"/>
          <w:lang w:eastAsia="en-GB"/>
        </w:rPr>
        <w:t>reference for peatland rehabilitation activities on the ground</w:t>
      </w:r>
      <w:r w:rsidR="005A7ED8">
        <w:rPr>
          <w:rFonts w:asciiTheme="minorHAnsi" w:hAnsiTheme="minorHAnsi" w:cstheme="minorHAnsi"/>
          <w:color w:val="000000" w:themeColor="text1"/>
          <w:lang w:val="en-ID" w:eastAsia="en-GB"/>
        </w:rPr>
        <w:t>. They were as follows:</w:t>
      </w:r>
    </w:p>
    <w:p w14:paraId="40DA57C4" w14:textId="09A27B66" w:rsidR="00677389" w:rsidRPr="00677389" w:rsidRDefault="00677389" w:rsidP="005A7ED8">
      <w:pPr>
        <w:pStyle w:val="ListParagraph"/>
        <w:numPr>
          <w:ilvl w:val="1"/>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Technical guideline on rewetting</w:t>
      </w:r>
      <w:r w:rsidR="001F4299">
        <w:rPr>
          <w:rFonts w:asciiTheme="minorHAnsi" w:hAnsiTheme="minorHAnsi" w:cstheme="minorHAnsi"/>
          <w:color w:val="000000" w:themeColor="text1"/>
          <w:lang w:val="en-US" w:eastAsia="en-GB"/>
        </w:rPr>
        <w:t xml:space="preserve"> </w:t>
      </w:r>
      <w:r w:rsidR="001F4299">
        <w:rPr>
          <w:rFonts w:asciiTheme="minorHAnsi" w:hAnsiTheme="minorHAnsi" w:cstheme="minorHAnsi"/>
          <w:color w:val="000000" w:themeColor="text1"/>
          <w:lang w:val="en-ID" w:eastAsia="en-GB"/>
        </w:rPr>
        <w:t>developed</w:t>
      </w:r>
      <w:r w:rsidRPr="00677389">
        <w:rPr>
          <w:rFonts w:asciiTheme="minorHAnsi" w:hAnsiTheme="minorHAnsi" w:cstheme="minorHAnsi"/>
          <w:color w:val="000000" w:themeColor="text1"/>
          <w:lang w:eastAsia="en-GB"/>
        </w:rPr>
        <w:t>: construction of deep well</w:t>
      </w:r>
      <w:r w:rsidR="00D626A7">
        <w:rPr>
          <w:rFonts w:asciiTheme="minorHAnsi" w:hAnsiTheme="minorHAnsi" w:cstheme="minorHAnsi"/>
          <w:color w:val="000000" w:themeColor="text1"/>
          <w:lang w:eastAsia="en-GB"/>
        </w:rPr>
        <w:t>s</w:t>
      </w:r>
      <w:r w:rsidRPr="00677389">
        <w:rPr>
          <w:rFonts w:asciiTheme="minorHAnsi" w:hAnsiTheme="minorHAnsi" w:cstheme="minorHAnsi"/>
          <w:color w:val="000000" w:themeColor="text1"/>
          <w:lang w:eastAsia="en-GB"/>
        </w:rPr>
        <w:t>, construction of canal blocking;</w:t>
      </w:r>
    </w:p>
    <w:p w14:paraId="1365CBE1" w14:textId="3964A4CA" w:rsidR="00677389" w:rsidRPr="00677389" w:rsidRDefault="00677389" w:rsidP="005A7ED8">
      <w:pPr>
        <w:pStyle w:val="ListParagraph"/>
        <w:numPr>
          <w:ilvl w:val="1"/>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Technical guideline on re-vegetation</w:t>
      </w:r>
      <w:r w:rsidR="001F4299">
        <w:rPr>
          <w:rFonts w:asciiTheme="minorHAnsi" w:hAnsiTheme="minorHAnsi" w:cstheme="minorHAnsi"/>
          <w:color w:val="000000" w:themeColor="text1"/>
          <w:lang w:val="en-US" w:eastAsia="en-GB"/>
        </w:rPr>
        <w:t xml:space="preserve"> </w:t>
      </w:r>
      <w:r w:rsidR="001F4299">
        <w:rPr>
          <w:rFonts w:asciiTheme="minorHAnsi" w:hAnsiTheme="minorHAnsi" w:cstheme="minorHAnsi"/>
          <w:color w:val="000000" w:themeColor="text1"/>
          <w:lang w:val="en-ID" w:eastAsia="en-GB"/>
        </w:rPr>
        <w:t>developed</w:t>
      </w:r>
      <w:r w:rsidRPr="00677389">
        <w:rPr>
          <w:rFonts w:asciiTheme="minorHAnsi" w:hAnsiTheme="minorHAnsi" w:cstheme="minorHAnsi"/>
          <w:color w:val="000000" w:themeColor="text1"/>
          <w:lang w:eastAsia="en-GB"/>
        </w:rPr>
        <w:t>: seeding, nursery, and plantation;</w:t>
      </w:r>
    </w:p>
    <w:p w14:paraId="434B29C4" w14:textId="3EA296D3" w:rsidR="00677389" w:rsidRPr="00677389" w:rsidRDefault="00677389" w:rsidP="005A7ED8">
      <w:pPr>
        <w:pStyle w:val="ListParagraph"/>
        <w:numPr>
          <w:ilvl w:val="1"/>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Technical guideline on revitalization of community livelihood</w:t>
      </w:r>
      <w:r w:rsidR="004A316B">
        <w:rPr>
          <w:rFonts w:asciiTheme="minorHAnsi" w:hAnsiTheme="minorHAnsi" w:cstheme="minorHAnsi"/>
          <w:color w:val="000000" w:themeColor="text1"/>
          <w:lang w:val="en-ID" w:eastAsia="en-GB"/>
        </w:rPr>
        <w:t xml:space="preserve"> developed</w:t>
      </w:r>
      <w:r w:rsidRPr="00677389">
        <w:rPr>
          <w:rFonts w:asciiTheme="minorHAnsi" w:hAnsiTheme="minorHAnsi" w:cstheme="minorHAnsi"/>
          <w:color w:val="000000" w:themeColor="text1"/>
          <w:lang w:eastAsia="en-GB"/>
        </w:rPr>
        <w:t>;</w:t>
      </w:r>
    </w:p>
    <w:p w14:paraId="358E126E" w14:textId="16396880" w:rsidR="00677389" w:rsidRPr="00677389" w:rsidRDefault="00677389" w:rsidP="005A7ED8">
      <w:pPr>
        <w:pStyle w:val="ListParagraph"/>
        <w:numPr>
          <w:ilvl w:val="1"/>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Policy guide</w:t>
      </w:r>
      <w:r w:rsidR="004A316B">
        <w:rPr>
          <w:rFonts w:asciiTheme="minorHAnsi" w:hAnsiTheme="minorHAnsi" w:cstheme="minorHAnsi"/>
          <w:color w:val="000000" w:themeColor="text1"/>
          <w:lang w:val="en-ID" w:eastAsia="en-GB"/>
        </w:rPr>
        <w:t>line</w:t>
      </w:r>
      <w:r w:rsidR="00D05FB3">
        <w:rPr>
          <w:rFonts w:asciiTheme="minorHAnsi" w:hAnsiTheme="minorHAnsi" w:cstheme="minorHAnsi"/>
          <w:color w:val="000000" w:themeColor="text1"/>
          <w:lang w:val="en-ID" w:eastAsia="en-GB"/>
        </w:rPr>
        <w:t xml:space="preserve"> </w:t>
      </w:r>
      <w:r w:rsidRPr="00677389">
        <w:rPr>
          <w:rFonts w:asciiTheme="minorHAnsi" w:hAnsiTheme="minorHAnsi" w:cstheme="minorHAnsi"/>
          <w:color w:val="000000" w:themeColor="text1"/>
          <w:lang w:eastAsia="en-GB"/>
        </w:rPr>
        <w:t>on social safeguard</w:t>
      </w:r>
      <w:r w:rsidR="004A316B">
        <w:rPr>
          <w:rFonts w:asciiTheme="minorHAnsi" w:hAnsiTheme="minorHAnsi" w:cstheme="minorHAnsi"/>
          <w:color w:val="000000" w:themeColor="text1"/>
          <w:lang w:val="en-ID" w:eastAsia="en-GB"/>
        </w:rPr>
        <w:t xml:space="preserve"> developed</w:t>
      </w:r>
      <w:r w:rsidRPr="00677389">
        <w:rPr>
          <w:rFonts w:asciiTheme="minorHAnsi" w:hAnsiTheme="minorHAnsi" w:cstheme="minorHAnsi"/>
          <w:color w:val="000000" w:themeColor="text1"/>
          <w:lang w:eastAsia="en-GB"/>
        </w:rPr>
        <w:t>;</w:t>
      </w:r>
    </w:p>
    <w:p w14:paraId="2665D1B7" w14:textId="5035CBAF" w:rsidR="00677389" w:rsidRPr="00677389" w:rsidRDefault="00677389" w:rsidP="005A7ED8">
      <w:pPr>
        <w:pStyle w:val="ListParagraph"/>
        <w:numPr>
          <w:ilvl w:val="1"/>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Technical guideline on monitoring the peat damage through the movement of water levels</w:t>
      </w:r>
      <w:r w:rsidR="004A316B">
        <w:rPr>
          <w:rFonts w:asciiTheme="minorHAnsi" w:hAnsiTheme="minorHAnsi" w:cstheme="minorHAnsi"/>
          <w:color w:val="000000" w:themeColor="text1"/>
          <w:lang w:val="en-ID" w:eastAsia="en-GB"/>
        </w:rPr>
        <w:t xml:space="preserve"> developed</w:t>
      </w:r>
      <w:r w:rsidRPr="00677389">
        <w:rPr>
          <w:rFonts w:asciiTheme="minorHAnsi" w:hAnsiTheme="minorHAnsi" w:cstheme="minorHAnsi"/>
          <w:color w:val="000000" w:themeColor="text1"/>
          <w:lang w:eastAsia="en-GB"/>
        </w:rPr>
        <w:t>;</w:t>
      </w:r>
    </w:p>
    <w:p w14:paraId="2B2B2576" w14:textId="30B17F1A" w:rsidR="00677389" w:rsidRPr="00677389" w:rsidRDefault="00677389" w:rsidP="005A7ED8">
      <w:pPr>
        <w:pStyle w:val="ListParagraph"/>
        <w:numPr>
          <w:ilvl w:val="1"/>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Technical guideline on student field work (Kuliah Kerja Nyata – KKN) on peat care village (Desa peduli gambut – DGS)</w:t>
      </w:r>
      <w:r w:rsidR="004A316B">
        <w:rPr>
          <w:rFonts w:asciiTheme="minorHAnsi" w:hAnsiTheme="minorHAnsi" w:cstheme="minorHAnsi"/>
          <w:color w:val="000000" w:themeColor="text1"/>
          <w:lang w:val="en-ID" w:eastAsia="en-GB"/>
        </w:rPr>
        <w:t xml:space="preserve"> developed;</w:t>
      </w:r>
    </w:p>
    <w:p w14:paraId="3148DA63" w14:textId="5FAB49D2" w:rsidR="00677389" w:rsidRPr="00677389" w:rsidRDefault="00677389" w:rsidP="00677389">
      <w:pPr>
        <w:pStyle w:val="ListParagraph"/>
        <w:numPr>
          <w:ilvl w:val="0"/>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 xml:space="preserve">To ensure transparency and accountability </w:t>
      </w:r>
      <w:r w:rsidR="00D626A7">
        <w:rPr>
          <w:rFonts w:asciiTheme="minorHAnsi" w:hAnsiTheme="minorHAnsi" w:cstheme="minorHAnsi"/>
          <w:color w:val="000000" w:themeColor="text1"/>
          <w:lang w:eastAsia="en-GB"/>
        </w:rPr>
        <w:t>of</w:t>
      </w:r>
      <w:r w:rsidR="00D626A7" w:rsidRPr="00677389">
        <w:rPr>
          <w:rFonts w:asciiTheme="minorHAnsi" w:hAnsiTheme="minorHAnsi" w:cstheme="minorHAnsi"/>
          <w:color w:val="000000" w:themeColor="text1"/>
          <w:lang w:eastAsia="en-GB"/>
        </w:rPr>
        <w:t xml:space="preserve"> </w:t>
      </w:r>
      <w:r w:rsidRPr="00677389">
        <w:rPr>
          <w:rFonts w:asciiTheme="minorHAnsi" w:hAnsiTheme="minorHAnsi" w:cstheme="minorHAnsi"/>
          <w:color w:val="000000" w:themeColor="text1"/>
          <w:lang w:eastAsia="en-GB"/>
        </w:rPr>
        <w:t xml:space="preserve">its actions, BRG established a website and social media platforms to enable people to access information about BRG’s activities and achievements; </w:t>
      </w:r>
    </w:p>
    <w:p w14:paraId="52EEDC7C" w14:textId="4A62BAA0" w:rsidR="00677389" w:rsidRPr="006C0A4B" w:rsidRDefault="00D626A7" w:rsidP="00677389">
      <w:pPr>
        <w:pStyle w:val="ListParagraph"/>
        <w:numPr>
          <w:ilvl w:val="0"/>
          <w:numId w:val="14"/>
        </w:numPr>
        <w:spacing w:before="120"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lang w:eastAsia="en-GB"/>
        </w:rPr>
        <w:t>A c</w:t>
      </w:r>
      <w:r w:rsidR="00677389" w:rsidRPr="00677389">
        <w:rPr>
          <w:rFonts w:asciiTheme="minorHAnsi" w:hAnsiTheme="minorHAnsi" w:cstheme="minorHAnsi"/>
          <w:color w:val="000000" w:themeColor="text1"/>
          <w:lang w:eastAsia="en-GB"/>
        </w:rPr>
        <w:t>omplaint mechanism was</w:t>
      </w:r>
      <w:r w:rsidR="004A316B">
        <w:rPr>
          <w:rFonts w:asciiTheme="minorHAnsi" w:hAnsiTheme="minorHAnsi" w:cstheme="minorHAnsi"/>
          <w:color w:val="000000" w:themeColor="text1"/>
          <w:lang w:val="en-ID" w:eastAsia="en-GB"/>
        </w:rPr>
        <w:t xml:space="preserve"> </w:t>
      </w:r>
      <w:r>
        <w:rPr>
          <w:rFonts w:asciiTheme="minorHAnsi" w:hAnsiTheme="minorHAnsi" w:cstheme="minorHAnsi"/>
          <w:color w:val="000000" w:themeColor="text1"/>
          <w:lang w:eastAsia="en-GB"/>
        </w:rPr>
        <w:t>developed</w:t>
      </w:r>
      <w:r w:rsidRPr="00677389">
        <w:rPr>
          <w:rFonts w:asciiTheme="minorHAnsi" w:hAnsiTheme="minorHAnsi" w:cstheme="minorHAnsi"/>
          <w:color w:val="000000" w:themeColor="text1"/>
          <w:lang w:eastAsia="en-GB"/>
        </w:rPr>
        <w:t xml:space="preserve"> </w:t>
      </w:r>
      <w:r>
        <w:rPr>
          <w:rFonts w:asciiTheme="minorHAnsi" w:hAnsiTheme="minorHAnsi" w:cstheme="minorHAnsi"/>
          <w:color w:val="000000" w:themeColor="text1"/>
          <w:lang w:eastAsia="en-GB"/>
        </w:rPr>
        <w:t>in</w:t>
      </w:r>
      <w:r w:rsidR="00D05FB3">
        <w:rPr>
          <w:rFonts w:asciiTheme="minorHAnsi" w:hAnsiTheme="minorHAnsi" w:cstheme="minorHAnsi"/>
          <w:color w:val="000000" w:themeColor="text1"/>
          <w:lang w:val="en-ID" w:eastAsia="en-GB"/>
        </w:rPr>
        <w:t xml:space="preserve"> </w:t>
      </w:r>
      <w:r w:rsidR="001F4299">
        <w:rPr>
          <w:rFonts w:asciiTheme="minorHAnsi" w:hAnsiTheme="minorHAnsi" w:cstheme="minorHAnsi"/>
          <w:color w:val="000000" w:themeColor="text1"/>
          <w:lang w:val="en-US" w:eastAsia="en-GB"/>
        </w:rPr>
        <w:t>P</w:t>
      </w:r>
      <w:r w:rsidR="001F4299" w:rsidRPr="00677389">
        <w:rPr>
          <w:rFonts w:asciiTheme="minorHAnsi" w:hAnsiTheme="minorHAnsi" w:cstheme="minorHAnsi"/>
          <w:color w:val="000000" w:themeColor="text1"/>
          <w:lang w:eastAsia="en-GB"/>
        </w:rPr>
        <w:t xml:space="preserve">hase </w:t>
      </w:r>
      <w:r w:rsidR="004A316B">
        <w:rPr>
          <w:rFonts w:asciiTheme="minorHAnsi" w:hAnsiTheme="minorHAnsi" w:cstheme="minorHAnsi"/>
          <w:color w:val="000000" w:themeColor="text1"/>
          <w:lang w:val="en-ID" w:eastAsia="en-GB"/>
        </w:rPr>
        <w:t xml:space="preserve">I </w:t>
      </w:r>
      <w:r w:rsidR="00677389" w:rsidRPr="00677389">
        <w:rPr>
          <w:rFonts w:asciiTheme="minorHAnsi" w:hAnsiTheme="minorHAnsi" w:cstheme="minorHAnsi"/>
          <w:color w:val="000000" w:themeColor="text1"/>
          <w:lang w:eastAsia="en-GB"/>
        </w:rPr>
        <w:t>and</w:t>
      </w:r>
      <w:r w:rsidR="004A316B">
        <w:rPr>
          <w:rFonts w:asciiTheme="minorHAnsi" w:hAnsiTheme="minorHAnsi" w:cstheme="minorHAnsi"/>
          <w:color w:val="000000" w:themeColor="text1"/>
          <w:lang w:val="en-ID" w:eastAsia="en-GB"/>
        </w:rPr>
        <w:t xml:space="preserve"> was</w:t>
      </w:r>
      <w:r w:rsidR="00677389" w:rsidRPr="00677389">
        <w:rPr>
          <w:rFonts w:asciiTheme="minorHAnsi" w:hAnsiTheme="minorHAnsi" w:cstheme="minorHAnsi"/>
          <w:color w:val="000000" w:themeColor="text1"/>
          <w:lang w:eastAsia="en-GB"/>
        </w:rPr>
        <w:t xml:space="preserve"> </w:t>
      </w:r>
      <w:r>
        <w:rPr>
          <w:rFonts w:asciiTheme="minorHAnsi" w:hAnsiTheme="minorHAnsi" w:cstheme="minorHAnsi"/>
          <w:color w:val="000000" w:themeColor="text1"/>
          <w:lang w:eastAsia="en-GB"/>
        </w:rPr>
        <w:t>completed</w:t>
      </w:r>
      <w:r w:rsidRPr="00677389">
        <w:rPr>
          <w:rFonts w:asciiTheme="minorHAnsi" w:hAnsiTheme="minorHAnsi" w:cstheme="minorHAnsi"/>
          <w:color w:val="000000" w:themeColor="text1"/>
          <w:lang w:eastAsia="en-GB"/>
        </w:rPr>
        <w:t xml:space="preserve"> </w:t>
      </w:r>
      <w:r w:rsidR="00677389" w:rsidRPr="00677389">
        <w:rPr>
          <w:rFonts w:asciiTheme="minorHAnsi" w:hAnsiTheme="minorHAnsi" w:cstheme="minorHAnsi"/>
          <w:color w:val="000000" w:themeColor="text1"/>
          <w:lang w:eastAsia="en-GB"/>
        </w:rPr>
        <w:t xml:space="preserve">in </w:t>
      </w:r>
      <w:r w:rsidR="001F4299">
        <w:rPr>
          <w:rFonts w:asciiTheme="minorHAnsi" w:hAnsiTheme="minorHAnsi" w:cstheme="minorHAnsi"/>
          <w:color w:val="000000" w:themeColor="text1"/>
          <w:lang w:val="en-US" w:eastAsia="en-GB"/>
        </w:rPr>
        <w:t>Phase II</w:t>
      </w:r>
      <w:r w:rsidR="00677389" w:rsidRPr="00677389">
        <w:rPr>
          <w:rFonts w:asciiTheme="minorHAnsi" w:hAnsiTheme="minorHAnsi" w:cstheme="minorHAnsi"/>
          <w:color w:val="000000" w:themeColor="text1"/>
          <w:lang w:eastAsia="en-GB"/>
        </w:rPr>
        <w:t xml:space="preserve"> of the Project. </w:t>
      </w:r>
    </w:p>
    <w:p w14:paraId="1261ED5B" w14:textId="77777777" w:rsidR="001F4299" w:rsidRPr="00677389" w:rsidRDefault="001F4299" w:rsidP="006C0A4B">
      <w:pPr>
        <w:pStyle w:val="ListParagraph"/>
        <w:spacing w:before="120" w:after="0" w:line="240" w:lineRule="auto"/>
        <w:jc w:val="both"/>
        <w:rPr>
          <w:rFonts w:asciiTheme="minorHAnsi" w:hAnsiTheme="minorHAnsi" w:cstheme="minorHAnsi"/>
          <w:color w:val="000000" w:themeColor="text1"/>
        </w:rPr>
      </w:pPr>
    </w:p>
    <w:p w14:paraId="308D56B1" w14:textId="05D6DB5B" w:rsidR="00677389" w:rsidRDefault="00677389" w:rsidP="00677389">
      <w:pPr>
        <w:spacing w:before="120" w:after="0" w:line="240" w:lineRule="auto"/>
        <w:jc w:val="both"/>
        <w:rPr>
          <w:rFonts w:asciiTheme="minorHAnsi" w:hAnsiTheme="minorHAnsi" w:cstheme="minorHAnsi"/>
          <w:b/>
          <w:color w:val="000000" w:themeColor="text1"/>
        </w:rPr>
      </w:pPr>
      <w:r w:rsidRPr="00677389">
        <w:rPr>
          <w:rFonts w:asciiTheme="minorHAnsi" w:hAnsiTheme="minorHAnsi" w:cstheme="minorHAnsi"/>
          <w:b/>
          <w:color w:val="000000" w:themeColor="text1"/>
        </w:rPr>
        <w:t xml:space="preserve">Output 2 – BRG’s inputs for the revision of Government Regulation </w:t>
      </w:r>
      <w:r w:rsidR="00124A05">
        <w:rPr>
          <w:rFonts w:asciiTheme="minorHAnsi" w:hAnsiTheme="minorHAnsi" w:cstheme="minorHAnsi"/>
          <w:b/>
          <w:color w:val="000000" w:themeColor="text1"/>
          <w:lang w:val="en-ID"/>
        </w:rPr>
        <w:t>No</w:t>
      </w:r>
      <w:r w:rsidRPr="00677389">
        <w:rPr>
          <w:rFonts w:asciiTheme="minorHAnsi" w:hAnsiTheme="minorHAnsi" w:cstheme="minorHAnsi"/>
          <w:b/>
          <w:color w:val="000000" w:themeColor="text1"/>
        </w:rPr>
        <w:t xml:space="preserve"> 71 Year 2014 on Peat Ecosystem Protection and Management is in place followed by the drafting of relevant ministerial regulations or decrees</w:t>
      </w:r>
      <w:r w:rsidR="00D626A7">
        <w:rPr>
          <w:rFonts w:asciiTheme="minorHAnsi" w:hAnsiTheme="minorHAnsi" w:cstheme="minorHAnsi"/>
          <w:b/>
          <w:color w:val="000000" w:themeColor="text1"/>
        </w:rPr>
        <w:t>.</w:t>
      </w:r>
    </w:p>
    <w:p w14:paraId="39438F61" w14:textId="00B49B28" w:rsidR="00677389" w:rsidRPr="00677389" w:rsidRDefault="006025FC" w:rsidP="00677389">
      <w:pPr>
        <w:pStyle w:val="ListParagraph"/>
        <w:numPr>
          <w:ilvl w:val="0"/>
          <w:numId w:val="14"/>
        </w:numPr>
        <w:spacing w:before="120" w:after="0" w:line="240" w:lineRule="auto"/>
        <w:jc w:val="both"/>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lastRenderedPageBreak/>
        <w:t xml:space="preserve">In cooperation with the Ministry of Environment and Forestry, </w:t>
      </w:r>
      <w:r w:rsidR="00677389" w:rsidRPr="00677389">
        <w:rPr>
          <w:rFonts w:asciiTheme="minorHAnsi" w:hAnsiTheme="minorHAnsi" w:cstheme="minorHAnsi"/>
          <w:color w:val="000000" w:themeColor="text1"/>
          <w:lang w:eastAsia="en-GB"/>
        </w:rPr>
        <w:t xml:space="preserve">The </w:t>
      </w:r>
      <w:r w:rsidR="004A316B">
        <w:rPr>
          <w:rFonts w:asciiTheme="minorHAnsi" w:hAnsiTheme="minorHAnsi" w:cstheme="minorHAnsi"/>
          <w:color w:val="000000" w:themeColor="text1"/>
          <w:lang w:val="en-ID" w:eastAsia="en-GB"/>
        </w:rPr>
        <w:t>G</w:t>
      </w:r>
      <w:r w:rsidR="00677389" w:rsidRPr="00677389">
        <w:rPr>
          <w:rFonts w:asciiTheme="minorHAnsi" w:hAnsiTheme="minorHAnsi" w:cstheme="minorHAnsi"/>
          <w:color w:val="000000" w:themeColor="text1"/>
          <w:lang w:eastAsia="en-GB"/>
        </w:rPr>
        <w:t xml:space="preserve">overnment </w:t>
      </w:r>
      <w:r w:rsidR="004A316B">
        <w:rPr>
          <w:rFonts w:asciiTheme="minorHAnsi" w:hAnsiTheme="minorHAnsi" w:cstheme="minorHAnsi"/>
          <w:color w:val="000000" w:themeColor="text1"/>
          <w:lang w:val="en-ID" w:eastAsia="en-GB"/>
        </w:rPr>
        <w:t>R</w:t>
      </w:r>
      <w:r w:rsidR="00677389" w:rsidRPr="00677389">
        <w:rPr>
          <w:rFonts w:asciiTheme="minorHAnsi" w:hAnsiTheme="minorHAnsi" w:cstheme="minorHAnsi"/>
          <w:color w:val="000000" w:themeColor="text1"/>
          <w:lang w:eastAsia="en-GB"/>
        </w:rPr>
        <w:t xml:space="preserve">egulation </w:t>
      </w:r>
      <w:r w:rsidR="004A316B">
        <w:rPr>
          <w:rFonts w:asciiTheme="minorHAnsi" w:hAnsiTheme="minorHAnsi" w:cstheme="minorHAnsi"/>
          <w:color w:val="000000" w:themeColor="text1"/>
          <w:lang w:val="en-ID" w:eastAsia="en-GB"/>
        </w:rPr>
        <w:t>N</w:t>
      </w:r>
      <w:r w:rsidR="00677389" w:rsidRPr="00677389">
        <w:rPr>
          <w:rFonts w:asciiTheme="minorHAnsi" w:hAnsiTheme="minorHAnsi" w:cstheme="minorHAnsi"/>
          <w:color w:val="000000" w:themeColor="text1"/>
          <w:lang w:eastAsia="en-GB"/>
        </w:rPr>
        <w:t>o 71</w:t>
      </w:r>
      <w:r w:rsidR="004A316B">
        <w:rPr>
          <w:rFonts w:asciiTheme="minorHAnsi" w:hAnsiTheme="minorHAnsi" w:cstheme="minorHAnsi"/>
          <w:color w:val="000000" w:themeColor="text1"/>
          <w:lang w:val="en-ID" w:eastAsia="en-GB"/>
        </w:rPr>
        <w:t>,</w:t>
      </w:r>
      <w:r w:rsidR="00677389" w:rsidRPr="00677389">
        <w:rPr>
          <w:rFonts w:asciiTheme="minorHAnsi" w:hAnsiTheme="minorHAnsi" w:cstheme="minorHAnsi"/>
          <w:color w:val="000000" w:themeColor="text1"/>
          <w:lang w:eastAsia="en-GB"/>
        </w:rPr>
        <w:t xml:space="preserve"> Year 2014</w:t>
      </w:r>
      <w:r w:rsidR="001F4299">
        <w:rPr>
          <w:rFonts w:asciiTheme="minorHAnsi" w:hAnsiTheme="minorHAnsi" w:cstheme="minorHAnsi"/>
          <w:color w:val="000000" w:themeColor="text1"/>
          <w:lang w:val="en-US" w:eastAsia="en-GB"/>
        </w:rPr>
        <w:t>,</w:t>
      </w:r>
      <w:r w:rsidR="00677389" w:rsidRPr="00677389">
        <w:rPr>
          <w:rFonts w:asciiTheme="minorHAnsi" w:hAnsiTheme="minorHAnsi" w:cstheme="minorHAnsi"/>
          <w:color w:val="000000" w:themeColor="text1"/>
          <w:lang w:eastAsia="en-GB"/>
        </w:rPr>
        <w:t xml:space="preserve"> </w:t>
      </w:r>
      <w:r w:rsidR="004A316B">
        <w:rPr>
          <w:rFonts w:asciiTheme="minorHAnsi" w:hAnsiTheme="minorHAnsi" w:cstheme="minorHAnsi"/>
          <w:color w:val="000000" w:themeColor="text1"/>
          <w:lang w:val="en-ID" w:eastAsia="en-GB"/>
        </w:rPr>
        <w:t xml:space="preserve">was </w:t>
      </w:r>
      <w:r w:rsidR="00677389" w:rsidRPr="00677389">
        <w:rPr>
          <w:rFonts w:asciiTheme="minorHAnsi" w:hAnsiTheme="minorHAnsi" w:cstheme="minorHAnsi"/>
          <w:color w:val="000000" w:themeColor="text1"/>
          <w:lang w:eastAsia="en-GB"/>
        </w:rPr>
        <w:t xml:space="preserve">revised </w:t>
      </w:r>
      <w:r w:rsidR="004A316B">
        <w:rPr>
          <w:rFonts w:asciiTheme="minorHAnsi" w:hAnsiTheme="minorHAnsi" w:cstheme="minorHAnsi"/>
          <w:color w:val="000000" w:themeColor="text1"/>
          <w:lang w:val="en-ID" w:eastAsia="en-GB"/>
        </w:rPr>
        <w:t>to form</w:t>
      </w:r>
      <w:r w:rsidR="00677389" w:rsidRPr="00677389">
        <w:rPr>
          <w:rFonts w:asciiTheme="minorHAnsi" w:hAnsiTheme="minorHAnsi" w:cstheme="minorHAnsi"/>
          <w:color w:val="000000" w:themeColor="text1"/>
          <w:lang w:eastAsia="en-GB"/>
        </w:rPr>
        <w:t xml:space="preserve"> </w:t>
      </w:r>
      <w:r w:rsidR="004A316B">
        <w:rPr>
          <w:rFonts w:asciiTheme="minorHAnsi" w:hAnsiTheme="minorHAnsi" w:cstheme="minorHAnsi"/>
          <w:color w:val="000000" w:themeColor="text1"/>
          <w:lang w:val="en-ID" w:eastAsia="en-GB"/>
        </w:rPr>
        <w:t>G</w:t>
      </w:r>
      <w:r w:rsidR="00677389" w:rsidRPr="00677389">
        <w:rPr>
          <w:rFonts w:asciiTheme="minorHAnsi" w:hAnsiTheme="minorHAnsi" w:cstheme="minorHAnsi"/>
          <w:color w:val="000000" w:themeColor="text1"/>
          <w:lang w:eastAsia="en-GB"/>
        </w:rPr>
        <w:t xml:space="preserve">overnment </w:t>
      </w:r>
      <w:r w:rsidR="004A316B">
        <w:rPr>
          <w:rFonts w:asciiTheme="minorHAnsi" w:hAnsiTheme="minorHAnsi" w:cstheme="minorHAnsi"/>
          <w:color w:val="000000" w:themeColor="text1"/>
          <w:lang w:val="en-ID" w:eastAsia="en-GB"/>
        </w:rPr>
        <w:t>R</w:t>
      </w:r>
      <w:r w:rsidR="00677389" w:rsidRPr="00677389">
        <w:rPr>
          <w:rFonts w:asciiTheme="minorHAnsi" w:hAnsiTheme="minorHAnsi" w:cstheme="minorHAnsi"/>
          <w:color w:val="000000" w:themeColor="text1"/>
          <w:lang w:eastAsia="en-GB"/>
        </w:rPr>
        <w:t xml:space="preserve">egulation </w:t>
      </w:r>
      <w:r w:rsidR="004A316B">
        <w:rPr>
          <w:rFonts w:asciiTheme="minorHAnsi" w:hAnsiTheme="minorHAnsi" w:cstheme="minorHAnsi"/>
          <w:color w:val="000000" w:themeColor="text1"/>
          <w:lang w:val="en-ID" w:eastAsia="en-GB"/>
        </w:rPr>
        <w:t>N</w:t>
      </w:r>
      <w:r w:rsidR="00677389" w:rsidRPr="00677389">
        <w:rPr>
          <w:rFonts w:asciiTheme="minorHAnsi" w:hAnsiTheme="minorHAnsi" w:cstheme="minorHAnsi"/>
          <w:color w:val="000000" w:themeColor="text1"/>
          <w:lang w:eastAsia="en-GB"/>
        </w:rPr>
        <w:t xml:space="preserve">o 57 Year 2016. The new regulation emphasizes </w:t>
      </w:r>
      <w:r w:rsidR="00D626A7">
        <w:rPr>
          <w:rFonts w:asciiTheme="minorHAnsi" w:hAnsiTheme="minorHAnsi" w:cstheme="minorHAnsi"/>
          <w:color w:val="000000" w:themeColor="text1"/>
          <w:lang w:eastAsia="en-GB"/>
        </w:rPr>
        <w:t>a</w:t>
      </w:r>
      <w:r w:rsidR="00D626A7" w:rsidRPr="00677389">
        <w:rPr>
          <w:rFonts w:asciiTheme="minorHAnsi" w:hAnsiTheme="minorHAnsi" w:cstheme="minorHAnsi"/>
          <w:color w:val="000000" w:themeColor="text1"/>
          <w:lang w:eastAsia="en-GB"/>
        </w:rPr>
        <w:t xml:space="preserve"> </w:t>
      </w:r>
      <w:r w:rsidR="00677389" w:rsidRPr="00677389">
        <w:rPr>
          <w:rFonts w:asciiTheme="minorHAnsi" w:hAnsiTheme="minorHAnsi" w:cstheme="minorHAnsi"/>
          <w:color w:val="000000" w:themeColor="text1"/>
          <w:lang w:eastAsia="en-GB"/>
        </w:rPr>
        <w:t xml:space="preserve">moratorium </w:t>
      </w:r>
      <w:r w:rsidR="00D626A7">
        <w:rPr>
          <w:rFonts w:asciiTheme="minorHAnsi" w:hAnsiTheme="minorHAnsi" w:cstheme="minorHAnsi"/>
          <w:color w:val="000000" w:themeColor="text1"/>
          <w:lang w:eastAsia="en-GB"/>
        </w:rPr>
        <w:t>on</w:t>
      </w:r>
      <w:r w:rsidR="00D626A7" w:rsidRPr="00677389">
        <w:rPr>
          <w:rFonts w:asciiTheme="minorHAnsi" w:hAnsiTheme="minorHAnsi" w:cstheme="minorHAnsi"/>
          <w:color w:val="000000" w:themeColor="text1"/>
          <w:lang w:eastAsia="en-GB"/>
        </w:rPr>
        <w:t xml:space="preserve"> </w:t>
      </w:r>
      <w:r w:rsidR="00677389" w:rsidRPr="00677389">
        <w:rPr>
          <w:rFonts w:asciiTheme="minorHAnsi" w:hAnsiTheme="minorHAnsi" w:cstheme="minorHAnsi"/>
          <w:color w:val="000000" w:themeColor="text1"/>
          <w:lang w:eastAsia="en-GB"/>
        </w:rPr>
        <w:t>a</w:t>
      </w:r>
      <w:r w:rsidR="00D626A7">
        <w:rPr>
          <w:rFonts w:asciiTheme="minorHAnsi" w:hAnsiTheme="minorHAnsi" w:cstheme="minorHAnsi"/>
          <w:color w:val="000000" w:themeColor="text1"/>
          <w:lang w:eastAsia="en-GB"/>
        </w:rPr>
        <w:t>ll</w:t>
      </w:r>
      <w:r w:rsidR="00677389" w:rsidRPr="00677389">
        <w:rPr>
          <w:rFonts w:asciiTheme="minorHAnsi" w:hAnsiTheme="minorHAnsi" w:cstheme="minorHAnsi"/>
          <w:color w:val="000000" w:themeColor="text1"/>
          <w:lang w:eastAsia="en-GB"/>
        </w:rPr>
        <w:t xml:space="preserve"> land clearing in peatlands until the government</w:t>
      </w:r>
      <w:r w:rsidR="00D626A7">
        <w:rPr>
          <w:rFonts w:asciiTheme="minorHAnsi" w:hAnsiTheme="minorHAnsi" w:cstheme="minorHAnsi"/>
          <w:color w:val="000000" w:themeColor="text1"/>
          <w:lang w:eastAsia="en-GB"/>
        </w:rPr>
        <w:t xml:space="preserve"> </w:t>
      </w:r>
      <w:r w:rsidR="00677389" w:rsidRPr="00677389">
        <w:rPr>
          <w:rFonts w:asciiTheme="minorHAnsi" w:hAnsiTheme="minorHAnsi" w:cstheme="minorHAnsi"/>
          <w:color w:val="000000" w:themeColor="text1"/>
          <w:lang w:eastAsia="en-GB"/>
        </w:rPr>
        <w:t>stipulates protection and cultivation zone</w:t>
      </w:r>
      <w:r w:rsidR="004A316B">
        <w:rPr>
          <w:rFonts w:asciiTheme="minorHAnsi" w:hAnsiTheme="minorHAnsi" w:cstheme="minorHAnsi"/>
          <w:color w:val="000000" w:themeColor="text1"/>
          <w:lang w:val="en-ID" w:eastAsia="en-GB"/>
        </w:rPr>
        <w:t>s</w:t>
      </w:r>
      <w:r w:rsidR="00677389" w:rsidRPr="00677389">
        <w:rPr>
          <w:rFonts w:asciiTheme="minorHAnsi" w:hAnsiTheme="minorHAnsi" w:cstheme="minorHAnsi"/>
          <w:color w:val="000000" w:themeColor="text1"/>
          <w:lang w:eastAsia="en-GB"/>
        </w:rPr>
        <w:t xml:space="preserve"> in peat ecosystems for certain plants. The stipulation will be detail</w:t>
      </w:r>
      <w:r w:rsidR="004A316B">
        <w:rPr>
          <w:rFonts w:asciiTheme="minorHAnsi" w:hAnsiTheme="minorHAnsi" w:cstheme="minorHAnsi"/>
          <w:color w:val="000000" w:themeColor="text1"/>
          <w:lang w:val="en-ID" w:eastAsia="en-GB"/>
        </w:rPr>
        <w:t>ed</w:t>
      </w:r>
      <w:r w:rsidR="00677389" w:rsidRPr="00677389">
        <w:rPr>
          <w:rFonts w:asciiTheme="minorHAnsi" w:hAnsiTheme="minorHAnsi" w:cstheme="minorHAnsi"/>
          <w:color w:val="000000" w:themeColor="text1"/>
          <w:lang w:eastAsia="en-GB"/>
        </w:rPr>
        <w:t xml:space="preserve"> in </w:t>
      </w:r>
      <w:r w:rsidR="004A316B">
        <w:rPr>
          <w:rFonts w:asciiTheme="minorHAnsi" w:hAnsiTheme="minorHAnsi" w:cstheme="minorHAnsi"/>
          <w:color w:val="000000" w:themeColor="text1"/>
          <w:lang w:val="en-ID" w:eastAsia="en-GB"/>
        </w:rPr>
        <w:t>a future</w:t>
      </w:r>
      <w:r w:rsidR="00677389" w:rsidRPr="00677389">
        <w:rPr>
          <w:rFonts w:asciiTheme="minorHAnsi" w:hAnsiTheme="minorHAnsi" w:cstheme="minorHAnsi"/>
          <w:color w:val="000000" w:themeColor="text1"/>
          <w:lang w:eastAsia="en-GB"/>
        </w:rPr>
        <w:t xml:space="preserve"> </w:t>
      </w:r>
      <w:r w:rsidR="004A316B">
        <w:rPr>
          <w:rFonts w:asciiTheme="minorHAnsi" w:hAnsiTheme="minorHAnsi" w:cstheme="minorHAnsi"/>
          <w:color w:val="000000" w:themeColor="text1"/>
          <w:lang w:val="en-ID" w:eastAsia="en-GB"/>
        </w:rPr>
        <w:t>M</w:t>
      </w:r>
      <w:r w:rsidR="00677389" w:rsidRPr="00677389">
        <w:rPr>
          <w:rFonts w:asciiTheme="minorHAnsi" w:hAnsiTheme="minorHAnsi" w:cstheme="minorHAnsi"/>
          <w:color w:val="000000" w:themeColor="text1"/>
          <w:lang w:eastAsia="en-GB"/>
        </w:rPr>
        <w:t>inister</w:t>
      </w:r>
      <w:r w:rsidR="004A316B">
        <w:rPr>
          <w:rFonts w:asciiTheme="minorHAnsi" w:hAnsiTheme="minorHAnsi" w:cstheme="minorHAnsi"/>
          <w:color w:val="000000" w:themeColor="text1"/>
          <w:lang w:val="en-ID" w:eastAsia="en-GB"/>
        </w:rPr>
        <w:t>ial</w:t>
      </w:r>
      <w:r w:rsidR="00677389" w:rsidRPr="00677389">
        <w:rPr>
          <w:rFonts w:asciiTheme="minorHAnsi" w:hAnsiTheme="minorHAnsi" w:cstheme="minorHAnsi"/>
          <w:color w:val="000000" w:themeColor="text1"/>
          <w:lang w:eastAsia="en-GB"/>
        </w:rPr>
        <w:t xml:space="preserve"> </w:t>
      </w:r>
      <w:r w:rsidR="004A316B">
        <w:rPr>
          <w:rFonts w:asciiTheme="minorHAnsi" w:hAnsiTheme="minorHAnsi" w:cstheme="minorHAnsi"/>
          <w:color w:val="000000" w:themeColor="text1"/>
          <w:lang w:val="en-ID" w:eastAsia="en-GB"/>
        </w:rPr>
        <w:t>D</w:t>
      </w:r>
      <w:r w:rsidR="00677389" w:rsidRPr="00677389">
        <w:rPr>
          <w:rFonts w:asciiTheme="minorHAnsi" w:hAnsiTheme="minorHAnsi" w:cstheme="minorHAnsi"/>
          <w:color w:val="000000" w:themeColor="text1"/>
          <w:lang w:eastAsia="en-GB"/>
        </w:rPr>
        <w:t>ecree. The revised regulation also emphasizes inclusive peat restoration that involve</w:t>
      </w:r>
      <w:r w:rsidR="004A316B">
        <w:rPr>
          <w:rFonts w:asciiTheme="minorHAnsi" w:hAnsiTheme="minorHAnsi" w:cstheme="minorHAnsi"/>
          <w:color w:val="000000" w:themeColor="text1"/>
          <w:lang w:val="en-ID" w:eastAsia="en-GB"/>
        </w:rPr>
        <w:t>s</w:t>
      </w:r>
      <w:r w:rsidR="00677389" w:rsidRPr="00677389">
        <w:rPr>
          <w:rFonts w:asciiTheme="minorHAnsi" w:hAnsiTheme="minorHAnsi" w:cstheme="minorHAnsi"/>
          <w:color w:val="000000" w:themeColor="text1"/>
          <w:lang w:eastAsia="en-GB"/>
        </w:rPr>
        <w:t xml:space="preserve"> all stakeholders, particularly the community</w:t>
      </w:r>
      <w:r w:rsidR="00D05FB3">
        <w:rPr>
          <w:rFonts w:asciiTheme="minorHAnsi" w:hAnsiTheme="minorHAnsi" w:cstheme="minorHAnsi"/>
          <w:color w:val="000000" w:themeColor="text1"/>
          <w:lang w:val="en-ID" w:eastAsia="en-GB"/>
        </w:rPr>
        <w:t xml:space="preserve"> </w:t>
      </w:r>
      <w:r w:rsidR="00677389" w:rsidRPr="00677389">
        <w:rPr>
          <w:rFonts w:asciiTheme="minorHAnsi" w:hAnsiTheme="minorHAnsi" w:cstheme="minorHAnsi"/>
          <w:color w:val="000000" w:themeColor="text1"/>
          <w:lang w:eastAsia="en-GB"/>
        </w:rPr>
        <w:t>surrounding</w:t>
      </w:r>
      <w:r w:rsidR="004A316B">
        <w:rPr>
          <w:rFonts w:asciiTheme="minorHAnsi" w:hAnsiTheme="minorHAnsi" w:cstheme="minorHAnsi"/>
          <w:color w:val="000000" w:themeColor="text1"/>
          <w:lang w:val="en-ID" w:eastAsia="en-GB"/>
        </w:rPr>
        <w:t xml:space="preserve"> </w:t>
      </w:r>
      <w:r w:rsidR="00677389" w:rsidRPr="00677389">
        <w:rPr>
          <w:rFonts w:asciiTheme="minorHAnsi" w:hAnsiTheme="minorHAnsi" w:cstheme="minorHAnsi"/>
          <w:color w:val="000000" w:themeColor="text1"/>
          <w:lang w:eastAsia="en-GB"/>
        </w:rPr>
        <w:t xml:space="preserve">peatlands; </w:t>
      </w:r>
    </w:p>
    <w:p w14:paraId="6FE05639" w14:textId="3E727311" w:rsidR="00677389" w:rsidRPr="00677389" w:rsidRDefault="00677389" w:rsidP="00677389">
      <w:pPr>
        <w:pStyle w:val="ListParagraph"/>
        <w:numPr>
          <w:ilvl w:val="0"/>
          <w:numId w:val="14"/>
        </w:numPr>
        <w:spacing w:before="120" w:after="0" w:line="240" w:lineRule="auto"/>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 xml:space="preserve">Following the revision, BRG </w:t>
      </w:r>
      <w:r w:rsidR="000B5EEA">
        <w:rPr>
          <w:rFonts w:asciiTheme="minorHAnsi" w:hAnsiTheme="minorHAnsi" w:cstheme="minorHAnsi"/>
          <w:color w:val="000000" w:themeColor="text1"/>
          <w:lang w:val="en-ID" w:eastAsia="en-GB"/>
        </w:rPr>
        <w:t xml:space="preserve">has </w:t>
      </w:r>
      <w:r w:rsidRPr="00677389">
        <w:rPr>
          <w:rFonts w:asciiTheme="minorHAnsi" w:hAnsiTheme="minorHAnsi" w:cstheme="minorHAnsi"/>
          <w:color w:val="000000" w:themeColor="text1"/>
          <w:lang w:eastAsia="en-GB"/>
        </w:rPr>
        <w:t xml:space="preserve">set up a legal team </w:t>
      </w:r>
      <w:r w:rsidR="004A316B">
        <w:rPr>
          <w:rFonts w:asciiTheme="minorHAnsi" w:hAnsiTheme="minorHAnsi" w:cstheme="minorHAnsi"/>
          <w:color w:val="000000" w:themeColor="text1"/>
          <w:lang w:val="en-ID" w:eastAsia="en-GB"/>
        </w:rPr>
        <w:t xml:space="preserve">to </w:t>
      </w:r>
      <w:r w:rsidRPr="00677389">
        <w:rPr>
          <w:rFonts w:asciiTheme="minorHAnsi" w:hAnsiTheme="minorHAnsi" w:cstheme="minorHAnsi"/>
          <w:color w:val="000000" w:themeColor="text1"/>
          <w:lang w:eastAsia="en-GB"/>
        </w:rPr>
        <w:t>analys</w:t>
      </w:r>
      <w:r w:rsidR="004A316B">
        <w:rPr>
          <w:rFonts w:asciiTheme="minorHAnsi" w:hAnsiTheme="minorHAnsi" w:cstheme="minorHAnsi"/>
          <w:color w:val="000000" w:themeColor="text1"/>
          <w:lang w:val="en-ID" w:eastAsia="en-GB"/>
        </w:rPr>
        <w:t>e</w:t>
      </w:r>
      <w:r w:rsidRPr="00677389">
        <w:rPr>
          <w:rFonts w:asciiTheme="minorHAnsi" w:hAnsiTheme="minorHAnsi" w:cstheme="minorHAnsi"/>
          <w:color w:val="000000" w:themeColor="text1"/>
          <w:lang w:eastAsia="en-GB"/>
        </w:rPr>
        <w:t xml:space="preserve"> existing regulations that may prove contradictory to Regulation </w:t>
      </w:r>
      <w:r w:rsidR="00124A05">
        <w:rPr>
          <w:rFonts w:asciiTheme="minorHAnsi" w:hAnsiTheme="minorHAnsi" w:cstheme="minorHAnsi"/>
          <w:color w:val="000000" w:themeColor="text1"/>
          <w:lang w:val="en-ID" w:eastAsia="en-GB"/>
        </w:rPr>
        <w:t>No</w:t>
      </w:r>
      <w:r w:rsidRPr="00677389">
        <w:rPr>
          <w:rFonts w:asciiTheme="minorHAnsi" w:hAnsiTheme="minorHAnsi" w:cstheme="minorHAnsi"/>
          <w:color w:val="000000" w:themeColor="text1"/>
          <w:lang w:eastAsia="en-GB"/>
        </w:rPr>
        <w:t xml:space="preserve">. 57/2016 and </w:t>
      </w:r>
      <w:r w:rsidR="001F4299">
        <w:rPr>
          <w:rFonts w:asciiTheme="minorHAnsi" w:hAnsiTheme="minorHAnsi" w:cstheme="minorHAnsi"/>
          <w:color w:val="000000" w:themeColor="text1"/>
          <w:lang w:val="en-US" w:eastAsia="en-GB"/>
        </w:rPr>
        <w:t xml:space="preserve">are currently </w:t>
      </w:r>
      <w:r w:rsidRPr="00677389">
        <w:rPr>
          <w:rFonts w:asciiTheme="minorHAnsi" w:hAnsiTheme="minorHAnsi" w:cstheme="minorHAnsi"/>
          <w:color w:val="000000" w:themeColor="text1"/>
          <w:lang w:eastAsia="en-GB"/>
        </w:rPr>
        <w:t xml:space="preserve">formulating recommendations on how to </w:t>
      </w:r>
      <w:r w:rsidR="004A316B">
        <w:rPr>
          <w:rFonts w:asciiTheme="minorHAnsi" w:hAnsiTheme="minorHAnsi" w:cstheme="minorHAnsi"/>
          <w:color w:val="000000" w:themeColor="text1"/>
          <w:lang w:val="en-ID" w:eastAsia="en-GB"/>
        </w:rPr>
        <w:t>amend these</w:t>
      </w:r>
      <w:r w:rsidR="00D05FB3">
        <w:rPr>
          <w:rFonts w:asciiTheme="minorHAnsi" w:hAnsiTheme="minorHAnsi" w:cstheme="minorHAnsi"/>
          <w:color w:val="000000" w:themeColor="text1"/>
          <w:lang w:val="en-ID" w:eastAsia="en-GB"/>
        </w:rPr>
        <w:t xml:space="preserve"> </w:t>
      </w:r>
      <w:r w:rsidRPr="00677389">
        <w:rPr>
          <w:rFonts w:asciiTheme="minorHAnsi" w:hAnsiTheme="minorHAnsi" w:cstheme="minorHAnsi"/>
          <w:color w:val="000000" w:themeColor="text1"/>
          <w:lang w:eastAsia="en-GB"/>
        </w:rPr>
        <w:t xml:space="preserve">regulations; </w:t>
      </w:r>
    </w:p>
    <w:p w14:paraId="7D393081" w14:textId="77777777" w:rsidR="00677389" w:rsidRPr="00677389" w:rsidRDefault="00677389" w:rsidP="00677389">
      <w:pPr>
        <w:pStyle w:val="ListParagraph"/>
        <w:numPr>
          <w:ilvl w:val="0"/>
          <w:numId w:val="14"/>
        </w:numPr>
        <w:spacing w:before="120" w:after="0" w:line="240" w:lineRule="auto"/>
        <w:jc w:val="both"/>
        <w:rPr>
          <w:rFonts w:asciiTheme="minorHAnsi" w:hAnsiTheme="minorHAnsi" w:cstheme="minorHAnsi"/>
          <w:color w:val="000000" w:themeColor="text1"/>
        </w:rPr>
      </w:pPr>
      <w:r w:rsidRPr="00677389">
        <w:rPr>
          <w:rFonts w:asciiTheme="minorHAnsi" w:hAnsiTheme="minorHAnsi" w:cstheme="minorHAnsi"/>
          <w:color w:val="000000" w:themeColor="text1"/>
          <w:lang w:eastAsia="en-GB"/>
        </w:rPr>
        <w:t xml:space="preserve">BRG also conducted legal analyses and provided legal options to license holders that contribute to fire outbreaks in BRG targeted peatland restoration locations. </w:t>
      </w:r>
    </w:p>
    <w:p w14:paraId="1C6F92C0" w14:textId="36BB0916" w:rsidR="00677389" w:rsidRPr="001C3B3C" w:rsidRDefault="00677389" w:rsidP="006C0A4B">
      <w:pPr>
        <w:spacing w:before="120" w:after="0" w:line="240" w:lineRule="auto"/>
        <w:jc w:val="both"/>
        <w:rPr>
          <w:rFonts w:asciiTheme="minorHAnsi" w:hAnsiTheme="minorHAnsi" w:cstheme="minorHAnsi"/>
          <w:color w:val="000000" w:themeColor="text1"/>
          <w:lang w:val="en-ID"/>
        </w:rPr>
      </w:pPr>
      <w:r w:rsidRPr="00677389">
        <w:rPr>
          <w:rFonts w:asciiTheme="minorHAnsi" w:hAnsiTheme="minorHAnsi" w:cstheme="minorHAnsi"/>
          <w:b/>
          <w:color w:val="000000" w:themeColor="text1"/>
        </w:rPr>
        <w:t>Output 3 – The peat restoration implementation models are in place and serve as key reference for peat restoration undertaken by central government, sub-national government</w:t>
      </w:r>
      <w:r w:rsidR="00D626A7">
        <w:rPr>
          <w:rFonts w:asciiTheme="minorHAnsi" w:hAnsiTheme="minorHAnsi" w:cstheme="minorHAnsi"/>
          <w:b/>
          <w:color w:val="000000" w:themeColor="text1"/>
        </w:rPr>
        <w:t>s</w:t>
      </w:r>
      <w:r w:rsidR="00992F2D">
        <w:rPr>
          <w:rFonts w:asciiTheme="minorHAnsi" w:hAnsiTheme="minorHAnsi" w:cstheme="minorHAnsi"/>
          <w:b/>
          <w:color w:val="000000" w:themeColor="text1"/>
          <w:lang w:val="en-US"/>
        </w:rPr>
        <w:t>,</w:t>
      </w:r>
      <w:r w:rsidRPr="00677389">
        <w:rPr>
          <w:rFonts w:asciiTheme="minorHAnsi" w:hAnsiTheme="minorHAnsi" w:cstheme="minorHAnsi"/>
          <w:b/>
          <w:color w:val="000000" w:themeColor="text1"/>
        </w:rPr>
        <w:t xml:space="preserve"> or partners</w:t>
      </w:r>
      <w:r w:rsidR="00D626A7">
        <w:rPr>
          <w:rFonts w:asciiTheme="minorHAnsi" w:hAnsiTheme="minorHAnsi" w:cstheme="minorHAnsi"/>
          <w:b/>
          <w:color w:val="000000" w:themeColor="text1"/>
        </w:rPr>
        <w:t>.</w:t>
      </w:r>
    </w:p>
    <w:p w14:paraId="7F5D9521" w14:textId="77777777" w:rsidR="00677389" w:rsidRPr="00677389" w:rsidRDefault="00677389" w:rsidP="006C0A4B">
      <w:pPr>
        <w:pStyle w:val="ListParagraph"/>
        <w:numPr>
          <w:ilvl w:val="0"/>
          <w:numId w:val="14"/>
        </w:numPr>
        <w:spacing w:before="120" w:after="0"/>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 xml:space="preserve">BRG contributed to drafting ministerial decree on peat hydrological areas; </w:t>
      </w:r>
    </w:p>
    <w:p w14:paraId="442F1AD5" w14:textId="40586A28" w:rsidR="00677389" w:rsidRPr="00677389" w:rsidRDefault="00677389" w:rsidP="00677389">
      <w:pPr>
        <w:pStyle w:val="ListParagraph"/>
        <w:numPr>
          <w:ilvl w:val="0"/>
          <w:numId w:val="14"/>
        </w:numPr>
        <w:jc w:val="both"/>
        <w:rPr>
          <w:rFonts w:asciiTheme="minorHAnsi" w:hAnsiTheme="minorHAnsi" w:cstheme="minorHAnsi"/>
          <w:color w:val="000000" w:themeColor="text1"/>
        </w:rPr>
      </w:pPr>
      <w:r w:rsidRPr="00677389">
        <w:rPr>
          <w:rFonts w:asciiTheme="minorHAnsi" w:hAnsiTheme="minorHAnsi" w:cstheme="minorHAnsi"/>
          <w:color w:val="000000" w:themeColor="text1"/>
          <w:lang w:eastAsia="en-GB"/>
        </w:rPr>
        <w:t xml:space="preserve">Five pilot activities </w:t>
      </w:r>
      <w:r w:rsidR="001F4299">
        <w:rPr>
          <w:rFonts w:asciiTheme="minorHAnsi" w:hAnsiTheme="minorHAnsi" w:cstheme="minorHAnsi"/>
          <w:color w:val="000000" w:themeColor="text1"/>
          <w:lang w:val="en-US" w:eastAsia="en-GB"/>
        </w:rPr>
        <w:t>were undertaken at</w:t>
      </w:r>
      <w:r w:rsidR="001F4299" w:rsidRPr="00677389">
        <w:rPr>
          <w:rFonts w:asciiTheme="minorHAnsi" w:hAnsiTheme="minorHAnsi" w:cstheme="minorHAnsi"/>
          <w:color w:val="000000" w:themeColor="text1"/>
          <w:lang w:eastAsia="en-GB"/>
        </w:rPr>
        <w:t xml:space="preserve"> </w:t>
      </w:r>
      <w:r w:rsidRPr="00677389">
        <w:rPr>
          <w:rFonts w:asciiTheme="minorHAnsi" w:hAnsiTheme="minorHAnsi" w:cstheme="minorHAnsi"/>
          <w:color w:val="000000" w:themeColor="text1"/>
          <w:lang w:eastAsia="en-GB"/>
        </w:rPr>
        <w:t>national level universities (UGM and IPB), local universities (Universitas Riau and Universitas Palangkaraya), and CSOs (WALHI)</w:t>
      </w:r>
      <w:r w:rsidR="001F4299">
        <w:rPr>
          <w:rFonts w:asciiTheme="minorHAnsi" w:hAnsiTheme="minorHAnsi" w:cstheme="minorHAnsi"/>
          <w:color w:val="000000" w:themeColor="text1"/>
          <w:lang w:val="en-US" w:eastAsia="en-GB"/>
        </w:rPr>
        <w:t>, which</w:t>
      </w:r>
      <w:r w:rsidRPr="00677389">
        <w:rPr>
          <w:rFonts w:asciiTheme="minorHAnsi" w:hAnsiTheme="minorHAnsi" w:cstheme="minorHAnsi"/>
          <w:color w:val="000000" w:themeColor="text1"/>
          <w:lang w:eastAsia="en-GB"/>
        </w:rPr>
        <w:t xml:space="preserve"> </w:t>
      </w:r>
      <w:r w:rsidR="001C3B3C">
        <w:rPr>
          <w:rFonts w:asciiTheme="minorHAnsi" w:hAnsiTheme="minorHAnsi" w:cstheme="minorHAnsi"/>
          <w:color w:val="000000" w:themeColor="text1"/>
          <w:lang w:val="en-ID" w:eastAsia="en-GB"/>
        </w:rPr>
        <w:t>included the following</w:t>
      </w:r>
      <w:r w:rsidRPr="00677389">
        <w:rPr>
          <w:rFonts w:asciiTheme="minorHAnsi" w:hAnsiTheme="minorHAnsi" w:cstheme="minorHAnsi"/>
          <w:color w:val="000000" w:themeColor="text1"/>
          <w:lang w:eastAsia="en-GB"/>
        </w:rPr>
        <w:t xml:space="preserve">: </w:t>
      </w:r>
    </w:p>
    <w:p w14:paraId="5E25435B" w14:textId="1F90F619" w:rsidR="00677389" w:rsidRPr="00677389" w:rsidRDefault="00677389" w:rsidP="00677389">
      <w:pPr>
        <w:pStyle w:val="ListParagraph"/>
        <w:numPr>
          <w:ilvl w:val="1"/>
          <w:numId w:val="14"/>
        </w:numPr>
        <w:jc w:val="both"/>
        <w:rPr>
          <w:rFonts w:asciiTheme="minorHAnsi" w:hAnsiTheme="minorHAnsi" w:cstheme="minorHAnsi"/>
          <w:color w:val="000000" w:themeColor="text1"/>
        </w:rPr>
      </w:pPr>
      <w:r w:rsidRPr="00677389">
        <w:rPr>
          <w:rFonts w:asciiTheme="minorHAnsi" w:hAnsiTheme="minorHAnsi" w:cstheme="minorHAnsi"/>
          <w:color w:val="000000" w:themeColor="text1"/>
          <w:lang w:eastAsia="en-GB"/>
        </w:rPr>
        <w:t xml:space="preserve">Mapping of the canals and areas affected by canals in </w:t>
      </w:r>
      <w:r w:rsidR="001F4299">
        <w:rPr>
          <w:rFonts w:asciiTheme="minorHAnsi" w:hAnsiTheme="minorHAnsi" w:cstheme="minorHAnsi"/>
          <w:color w:val="000000" w:themeColor="text1"/>
          <w:lang w:val="en-US" w:eastAsia="en-GB"/>
        </w:rPr>
        <w:t>seven</w:t>
      </w:r>
      <w:r w:rsidR="001F4299" w:rsidRPr="00677389">
        <w:rPr>
          <w:rFonts w:asciiTheme="minorHAnsi" w:hAnsiTheme="minorHAnsi" w:cstheme="minorHAnsi"/>
          <w:color w:val="000000" w:themeColor="text1"/>
          <w:lang w:eastAsia="en-GB"/>
        </w:rPr>
        <w:t xml:space="preserve"> </w:t>
      </w:r>
      <w:r w:rsidRPr="00677389">
        <w:rPr>
          <w:rFonts w:asciiTheme="minorHAnsi" w:hAnsiTheme="minorHAnsi" w:cstheme="minorHAnsi"/>
          <w:color w:val="000000" w:themeColor="text1"/>
          <w:lang w:eastAsia="en-GB"/>
        </w:rPr>
        <w:t xml:space="preserve">provinces, conducted in collaboration with UGM; </w:t>
      </w:r>
    </w:p>
    <w:p w14:paraId="5695DC10" w14:textId="3CF7A746" w:rsidR="00677389" w:rsidRPr="00677389" w:rsidRDefault="00677389" w:rsidP="00677389">
      <w:pPr>
        <w:pStyle w:val="ListParagraph"/>
        <w:numPr>
          <w:ilvl w:val="1"/>
          <w:numId w:val="14"/>
        </w:numPr>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Action research on community-based peat restoration in Tebing Tinggi Timur Sub-district, Riau, conducted in collaboration with the Cent</w:t>
      </w:r>
      <w:r w:rsidR="00C1525C">
        <w:rPr>
          <w:rFonts w:asciiTheme="minorHAnsi" w:hAnsiTheme="minorHAnsi" w:cstheme="minorHAnsi"/>
          <w:color w:val="000000" w:themeColor="text1"/>
          <w:lang w:val="en-ID" w:eastAsia="en-GB"/>
        </w:rPr>
        <w:t>re</w:t>
      </w:r>
      <w:r w:rsidRPr="00677389">
        <w:rPr>
          <w:rFonts w:asciiTheme="minorHAnsi" w:hAnsiTheme="minorHAnsi" w:cstheme="minorHAnsi"/>
          <w:color w:val="000000" w:themeColor="text1"/>
          <w:lang w:eastAsia="en-GB"/>
        </w:rPr>
        <w:t xml:space="preserve"> for Disaster Study (Pusat Studi Bencana – PSB), Riau University; </w:t>
      </w:r>
    </w:p>
    <w:p w14:paraId="4E284221" w14:textId="2EAED13E" w:rsidR="00677389" w:rsidRPr="00677389" w:rsidRDefault="00677389" w:rsidP="00677389">
      <w:pPr>
        <w:pStyle w:val="ListParagraph"/>
        <w:numPr>
          <w:ilvl w:val="1"/>
          <w:numId w:val="14"/>
        </w:numPr>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 xml:space="preserve">Peat-friendly cow cattle assessment in Pulang Pisau District, Central </w:t>
      </w:r>
      <w:r w:rsidR="00124A05">
        <w:rPr>
          <w:rFonts w:asciiTheme="minorHAnsi" w:hAnsiTheme="minorHAnsi" w:cstheme="minorHAnsi"/>
          <w:color w:val="000000" w:themeColor="text1"/>
          <w:lang w:val="en-ID" w:eastAsia="en-GB"/>
        </w:rPr>
        <w:t>Kalimantan</w:t>
      </w:r>
      <w:r w:rsidRPr="00677389">
        <w:rPr>
          <w:rFonts w:asciiTheme="minorHAnsi" w:hAnsiTheme="minorHAnsi" w:cstheme="minorHAnsi"/>
          <w:color w:val="000000" w:themeColor="text1"/>
          <w:lang w:eastAsia="en-GB"/>
        </w:rPr>
        <w:t>, in collaboration with Bogor Agricultural Institute (IPB)</w:t>
      </w:r>
      <w:r w:rsidR="00D626A7">
        <w:rPr>
          <w:rFonts w:asciiTheme="minorHAnsi" w:hAnsiTheme="minorHAnsi" w:cstheme="minorHAnsi"/>
          <w:color w:val="000000" w:themeColor="text1"/>
          <w:lang w:eastAsia="en-GB"/>
        </w:rPr>
        <w:t>,</w:t>
      </w:r>
      <w:r w:rsidRPr="00677389">
        <w:rPr>
          <w:rFonts w:asciiTheme="minorHAnsi" w:hAnsiTheme="minorHAnsi" w:cstheme="minorHAnsi"/>
          <w:color w:val="000000" w:themeColor="text1"/>
          <w:lang w:eastAsia="en-GB"/>
        </w:rPr>
        <w:t xml:space="preserve"> and Palangkaraya University; </w:t>
      </w:r>
    </w:p>
    <w:p w14:paraId="797DD08A" w14:textId="1E743D53" w:rsidR="00677389" w:rsidRPr="00677389" w:rsidRDefault="00677389" w:rsidP="00677389">
      <w:pPr>
        <w:pStyle w:val="ListParagraph"/>
        <w:numPr>
          <w:ilvl w:val="1"/>
          <w:numId w:val="14"/>
        </w:numPr>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Peat-friendly cow cattle</w:t>
      </w:r>
      <w:r w:rsidR="001C3B3C">
        <w:rPr>
          <w:rFonts w:asciiTheme="minorHAnsi" w:hAnsiTheme="minorHAnsi" w:cstheme="minorHAnsi"/>
          <w:color w:val="000000" w:themeColor="text1"/>
          <w:lang w:val="en-ID" w:eastAsia="en-GB"/>
        </w:rPr>
        <w:t xml:space="preserve"> management</w:t>
      </w:r>
      <w:r w:rsidRPr="00677389">
        <w:rPr>
          <w:rFonts w:asciiTheme="minorHAnsi" w:hAnsiTheme="minorHAnsi" w:cstheme="minorHAnsi"/>
          <w:color w:val="000000" w:themeColor="text1"/>
          <w:lang w:eastAsia="en-GB"/>
        </w:rPr>
        <w:t xml:space="preserve"> in Pulang Pisau, a follow-up of the above assessment; </w:t>
      </w:r>
    </w:p>
    <w:p w14:paraId="6AB63531" w14:textId="03D8EE0B" w:rsidR="00677389" w:rsidRPr="00677389" w:rsidRDefault="00677389" w:rsidP="00677389">
      <w:pPr>
        <w:pStyle w:val="ListParagraph"/>
        <w:numPr>
          <w:ilvl w:val="1"/>
          <w:numId w:val="14"/>
        </w:numPr>
        <w:jc w:val="both"/>
        <w:rPr>
          <w:rFonts w:asciiTheme="minorHAnsi" w:hAnsiTheme="minorHAnsi" w:cstheme="minorHAnsi"/>
          <w:color w:val="000000" w:themeColor="text1"/>
          <w:lang w:eastAsia="en-GB"/>
        </w:rPr>
      </w:pPr>
      <w:r w:rsidRPr="00677389">
        <w:rPr>
          <w:rFonts w:asciiTheme="minorHAnsi" w:hAnsiTheme="minorHAnsi" w:cstheme="minorHAnsi"/>
          <w:color w:val="000000" w:themeColor="text1"/>
          <w:lang w:eastAsia="en-GB"/>
        </w:rPr>
        <w:t>Comprehensive Peat Restoration Modeling in Pulau Padang Sub-district, Riau, in collaboration with UGM.</w:t>
      </w:r>
      <w:r w:rsidR="00D05FB3">
        <w:rPr>
          <w:rFonts w:asciiTheme="minorHAnsi" w:hAnsiTheme="minorHAnsi" w:cstheme="minorHAnsi"/>
          <w:color w:val="000000" w:themeColor="text1"/>
          <w:lang w:eastAsia="en-GB"/>
        </w:rPr>
        <w:t xml:space="preserve"> </w:t>
      </w:r>
    </w:p>
    <w:p w14:paraId="6B238AC4" w14:textId="77777777" w:rsidR="00677389" w:rsidRPr="00677389" w:rsidRDefault="00677389" w:rsidP="00197DDF">
      <w:pPr>
        <w:autoSpaceDE w:val="0"/>
        <w:autoSpaceDN w:val="0"/>
        <w:adjustRightInd w:val="0"/>
        <w:spacing w:after="0" w:line="23" w:lineRule="atLeast"/>
        <w:rPr>
          <w:rFonts w:asciiTheme="minorHAnsi" w:hAnsiTheme="minorHAnsi" w:cstheme="minorHAnsi"/>
          <w:bCs/>
          <w:color w:val="000000" w:themeColor="text1"/>
          <w:lang w:val="en-US"/>
        </w:rPr>
      </w:pPr>
    </w:p>
    <w:p w14:paraId="4D8F659B" w14:textId="77777777" w:rsidR="003A69E2" w:rsidRDefault="003A69E2" w:rsidP="00197DDF">
      <w:pPr>
        <w:autoSpaceDE w:val="0"/>
        <w:autoSpaceDN w:val="0"/>
        <w:adjustRightInd w:val="0"/>
        <w:spacing w:after="0" w:line="23" w:lineRule="atLeast"/>
        <w:rPr>
          <w:rFonts w:cs="Calibri,Bold"/>
          <w:bCs/>
          <w:color w:val="000000" w:themeColor="text1"/>
          <w:lang w:val="en-US"/>
        </w:rPr>
      </w:pPr>
    </w:p>
    <w:p w14:paraId="1139D470" w14:textId="44C16854" w:rsidR="003A69E2" w:rsidRPr="00842AD9" w:rsidRDefault="00677389" w:rsidP="00842AD9">
      <w:pPr>
        <w:pStyle w:val="Heading3"/>
        <w:rPr>
          <w:lang w:val="en-US"/>
        </w:rPr>
      </w:pPr>
      <w:bookmarkStart w:id="13" w:name="_Toc528998431"/>
      <w:r w:rsidRPr="00842AD9">
        <w:rPr>
          <w:lang w:val="en-US"/>
        </w:rPr>
        <w:t>Phase II</w:t>
      </w:r>
      <w:r w:rsidR="00842AD9">
        <w:rPr>
          <w:lang w:val="en-US"/>
        </w:rPr>
        <w:t xml:space="preserve"> (2017 – 2018)</w:t>
      </w:r>
      <w:bookmarkEnd w:id="13"/>
    </w:p>
    <w:p w14:paraId="4AFE1FBF" w14:textId="77777777" w:rsidR="00842AD9" w:rsidRDefault="00842AD9" w:rsidP="00197DDF">
      <w:pPr>
        <w:autoSpaceDE w:val="0"/>
        <w:autoSpaceDN w:val="0"/>
        <w:adjustRightInd w:val="0"/>
        <w:spacing w:after="0" w:line="23" w:lineRule="atLeast"/>
        <w:rPr>
          <w:rFonts w:asciiTheme="minorHAnsi" w:hAnsiTheme="minorHAnsi" w:cstheme="minorHAnsi"/>
          <w:b/>
          <w:color w:val="000000" w:themeColor="text1"/>
          <w:lang w:eastAsia="en-GB"/>
        </w:rPr>
      </w:pPr>
    </w:p>
    <w:p w14:paraId="3833C768" w14:textId="79E5C666" w:rsidR="003A69E2" w:rsidRPr="006E2136" w:rsidRDefault="00677389" w:rsidP="00197DDF">
      <w:pPr>
        <w:autoSpaceDE w:val="0"/>
        <w:autoSpaceDN w:val="0"/>
        <w:adjustRightInd w:val="0"/>
        <w:spacing w:after="0" w:line="23" w:lineRule="atLeast"/>
        <w:rPr>
          <w:rFonts w:asciiTheme="minorHAnsi" w:hAnsiTheme="minorHAnsi" w:cstheme="minorHAnsi"/>
          <w:bCs/>
          <w:color w:val="000000" w:themeColor="text1"/>
          <w:lang w:val="en-US"/>
        </w:rPr>
      </w:pPr>
      <w:r w:rsidRPr="006E2136">
        <w:rPr>
          <w:rFonts w:asciiTheme="minorHAnsi" w:hAnsiTheme="minorHAnsi" w:cstheme="minorHAnsi"/>
          <w:b/>
          <w:color w:val="000000" w:themeColor="text1"/>
          <w:lang w:eastAsia="en-GB"/>
        </w:rPr>
        <w:t>Output</w:t>
      </w:r>
      <w:r w:rsidR="00D05FB3">
        <w:rPr>
          <w:rFonts w:asciiTheme="minorHAnsi" w:hAnsiTheme="minorHAnsi" w:cstheme="minorHAnsi"/>
          <w:b/>
          <w:color w:val="000000" w:themeColor="text1"/>
          <w:lang w:eastAsia="en-GB"/>
        </w:rPr>
        <w:t xml:space="preserve"> </w:t>
      </w:r>
      <w:r w:rsidRPr="006E2136">
        <w:rPr>
          <w:rFonts w:asciiTheme="minorHAnsi" w:hAnsiTheme="minorHAnsi" w:cstheme="minorHAnsi"/>
          <w:b/>
          <w:color w:val="000000" w:themeColor="text1"/>
          <w:lang w:val="en-ID" w:eastAsia="en-GB"/>
        </w:rPr>
        <w:t xml:space="preserve">4 </w:t>
      </w:r>
      <w:r w:rsidRPr="006E2136">
        <w:rPr>
          <w:rFonts w:asciiTheme="minorHAnsi" w:hAnsiTheme="minorHAnsi" w:cstheme="minorHAnsi"/>
          <w:b/>
          <w:color w:val="000000" w:themeColor="text1"/>
          <w:lang w:eastAsia="en-GB"/>
        </w:rPr>
        <w:t>– BRG’s core institutional support functions and peatland operational equipment is established</w:t>
      </w:r>
      <w:r w:rsidR="00992F2D">
        <w:rPr>
          <w:rFonts w:asciiTheme="minorHAnsi" w:hAnsiTheme="minorHAnsi" w:cstheme="minorHAnsi"/>
          <w:color w:val="000000" w:themeColor="text1"/>
          <w:lang w:val="en-US" w:eastAsia="en-GB"/>
        </w:rPr>
        <w:t>.</w:t>
      </w:r>
    </w:p>
    <w:p w14:paraId="3575AEC8" w14:textId="49C1A8A1" w:rsidR="00677389" w:rsidRPr="006E2136" w:rsidRDefault="00677389" w:rsidP="006C0A4B">
      <w:pPr>
        <w:pStyle w:val="ListParagraph"/>
        <w:numPr>
          <w:ilvl w:val="0"/>
          <w:numId w:val="20"/>
        </w:numPr>
        <w:spacing w:before="120" w:after="0" w:line="240" w:lineRule="auto"/>
        <w:rPr>
          <w:rFonts w:asciiTheme="minorHAnsi" w:hAnsiTheme="minorHAnsi" w:cstheme="minorHAnsi"/>
          <w:color w:val="000000" w:themeColor="text1"/>
        </w:rPr>
      </w:pPr>
      <w:r w:rsidRPr="006E2136">
        <w:rPr>
          <w:rFonts w:asciiTheme="minorHAnsi" w:hAnsiTheme="minorHAnsi" w:cstheme="minorHAnsi"/>
          <w:color w:val="000000" w:themeColor="text1"/>
        </w:rPr>
        <w:t xml:space="preserve">The enactment of Ministry of Environment and Forestry Regulation </w:t>
      </w:r>
      <w:r w:rsidR="00124A05">
        <w:rPr>
          <w:rFonts w:asciiTheme="minorHAnsi" w:hAnsiTheme="minorHAnsi" w:cstheme="minorHAnsi"/>
          <w:color w:val="000000" w:themeColor="text1"/>
          <w:lang w:val="en-ID"/>
        </w:rPr>
        <w:t>No</w:t>
      </w:r>
      <w:r w:rsidRPr="006E2136">
        <w:rPr>
          <w:rFonts w:asciiTheme="minorHAnsi" w:hAnsiTheme="minorHAnsi" w:cstheme="minorHAnsi"/>
          <w:color w:val="000000" w:themeColor="text1"/>
        </w:rPr>
        <w:t xml:space="preserve">. P.61/Menlhk/Setjen/Kum.1/11/2017 on delegation of </w:t>
      </w:r>
      <w:r w:rsidR="002E62A6">
        <w:rPr>
          <w:rFonts w:asciiTheme="minorHAnsi" w:hAnsiTheme="minorHAnsi" w:cstheme="minorHAnsi"/>
          <w:color w:val="000000" w:themeColor="text1"/>
          <w:lang w:val="en-ID"/>
        </w:rPr>
        <w:t xml:space="preserve">several </w:t>
      </w:r>
      <w:r w:rsidRPr="006E2136">
        <w:rPr>
          <w:rFonts w:asciiTheme="minorHAnsi" w:hAnsiTheme="minorHAnsi" w:cstheme="minorHAnsi"/>
          <w:color w:val="000000" w:themeColor="text1"/>
        </w:rPr>
        <w:t>Central Government on Environment and Forestry tasks on Peat Restoration to the Governor</w:t>
      </w:r>
      <w:r w:rsidR="00992F2D">
        <w:rPr>
          <w:rFonts w:asciiTheme="minorHAnsi" w:hAnsiTheme="minorHAnsi" w:cstheme="minorHAnsi"/>
          <w:color w:val="000000" w:themeColor="text1"/>
          <w:lang w:val="en-US"/>
        </w:rPr>
        <w:t>s</w:t>
      </w:r>
      <w:r w:rsidRPr="006E2136">
        <w:rPr>
          <w:rFonts w:asciiTheme="minorHAnsi" w:hAnsiTheme="minorHAnsi" w:cstheme="minorHAnsi"/>
          <w:color w:val="000000" w:themeColor="text1"/>
        </w:rPr>
        <w:t xml:space="preserve"> of Riau, Jambi, South Sumatera, West </w:t>
      </w:r>
      <w:r w:rsidR="00124A05">
        <w:rPr>
          <w:rFonts w:asciiTheme="minorHAnsi" w:hAnsiTheme="minorHAnsi" w:cstheme="minorHAnsi"/>
          <w:color w:val="000000" w:themeColor="text1"/>
          <w:lang w:val="en-ID"/>
        </w:rPr>
        <w:t>Kalimantan</w:t>
      </w:r>
      <w:r w:rsidRPr="006E2136">
        <w:rPr>
          <w:rFonts w:asciiTheme="minorHAnsi" w:hAnsiTheme="minorHAnsi" w:cstheme="minorHAnsi"/>
          <w:color w:val="000000" w:themeColor="text1"/>
        </w:rPr>
        <w:t xml:space="preserve">, Central </w:t>
      </w:r>
      <w:r w:rsidR="00124A05">
        <w:rPr>
          <w:rFonts w:asciiTheme="minorHAnsi" w:hAnsiTheme="minorHAnsi" w:cstheme="minorHAnsi"/>
          <w:color w:val="000000" w:themeColor="text1"/>
          <w:lang w:val="en-ID"/>
        </w:rPr>
        <w:t>Kalimantan</w:t>
      </w:r>
      <w:r w:rsidRPr="006E2136">
        <w:rPr>
          <w:rFonts w:asciiTheme="minorHAnsi" w:hAnsiTheme="minorHAnsi" w:cstheme="minorHAnsi"/>
          <w:color w:val="000000" w:themeColor="text1"/>
        </w:rPr>
        <w:t xml:space="preserve">, South </w:t>
      </w:r>
      <w:r w:rsidR="00124A05">
        <w:rPr>
          <w:rFonts w:asciiTheme="minorHAnsi" w:hAnsiTheme="minorHAnsi" w:cstheme="minorHAnsi"/>
          <w:color w:val="000000" w:themeColor="text1"/>
          <w:lang w:val="en-ID"/>
        </w:rPr>
        <w:t>Kalimantan</w:t>
      </w:r>
      <w:r w:rsidR="00D626A7">
        <w:rPr>
          <w:rFonts w:asciiTheme="minorHAnsi" w:hAnsiTheme="minorHAnsi" w:cstheme="minorHAnsi"/>
          <w:color w:val="000000" w:themeColor="text1"/>
          <w:lang w:val="en-ID"/>
        </w:rPr>
        <w:t>,</w:t>
      </w:r>
      <w:r w:rsidRPr="006E2136">
        <w:rPr>
          <w:rFonts w:asciiTheme="minorHAnsi" w:hAnsiTheme="minorHAnsi" w:cstheme="minorHAnsi"/>
          <w:color w:val="000000" w:themeColor="text1"/>
        </w:rPr>
        <w:t xml:space="preserve"> and Papua</w:t>
      </w:r>
      <w:r w:rsidR="001C3B3C">
        <w:rPr>
          <w:rFonts w:asciiTheme="minorHAnsi" w:hAnsiTheme="minorHAnsi" w:cstheme="minorHAnsi"/>
          <w:color w:val="000000" w:themeColor="text1"/>
          <w:lang w:val="en-ID"/>
        </w:rPr>
        <w:t>. This was</w:t>
      </w:r>
      <w:r w:rsidR="00D05FB3">
        <w:rPr>
          <w:rFonts w:asciiTheme="minorHAnsi" w:hAnsiTheme="minorHAnsi" w:cstheme="minorHAnsi"/>
          <w:color w:val="000000" w:themeColor="text1"/>
          <w:lang w:val="en-ID"/>
        </w:rPr>
        <w:t xml:space="preserve"> </w:t>
      </w:r>
      <w:r w:rsidRPr="006E2136">
        <w:rPr>
          <w:rFonts w:asciiTheme="minorHAnsi" w:hAnsiTheme="minorHAnsi" w:cstheme="minorHAnsi"/>
          <w:color w:val="000000" w:themeColor="text1"/>
        </w:rPr>
        <w:t>followed up by development of technical and implementation guidelines and agreement between BRG and provincial governments</w:t>
      </w:r>
      <w:r w:rsidR="00992F2D">
        <w:rPr>
          <w:rFonts w:asciiTheme="minorHAnsi" w:hAnsiTheme="minorHAnsi" w:cstheme="minorHAnsi"/>
          <w:color w:val="000000" w:themeColor="text1"/>
          <w:lang w:val="en-US"/>
        </w:rPr>
        <w:t xml:space="preserve">, which </w:t>
      </w:r>
      <w:r w:rsidRPr="006E2136">
        <w:rPr>
          <w:rFonts w:asciiTheme="minorHAnsi" w:hAnsiTheme="minorHAnsi" w:cstheme="minorHAnsi"/>
          <w:color w:val="000000" w:themeColor="text1"/>
        </w:rPr>
        <w:t>enable</w:t>
      </w:r>
      <w:r w:rsidR="001C3B3C">
        <w:rPr>
          <w:rFonts w:asciiTheme="minorHAnsi" w:hAnsiTheme="minorHAnsi" w:cstheme="minorHAnsi"/>
          <w:color w:val="000000" w:themeColor="text1"/>
          <w:lang w:val="en-ID"/>
        </w:rPr>
        <w:t>s</w:t>
      </w:r>
      <w:r w:rsidRPr="006E2136">
        <w:rPr>
          <w:rFonts w:asciiTheme="minorHAnsi" w:hAnsiTheme="minorHAnsi" w:cstheme="minorHAnsi"/>
          <w:color w:val="000000" w:themeColor="text1"/>
        </w:rPr>
        <w:t xml:space="preserve"> BRG to disburse IDR 240 </w:t>
      </w:r>
      <w:r w:rsidR="00992F2D">
        <w:rPr>
          <w:rFonts w:asciiTheme="minorHAnsi" w:hAnsiTheme="minorHAnsi" w:cstheme="minorHAnsi"/>
          <w:color w:val="000000" w:themeColor="text1"/>
          <w:lang w:val="en-US"/>
        </w:rPr>
        <w:t>B</w:t>
      </w:r>
      <w:r w:rsidR="00992F2D" w:rsidRPr="006E2136">
        <w:rPr>
          <w:rFonts w:asciiTheme="minorHAnsi" w:hAnsiTheme="minorHAnsi" w:cstheme="minorHAnsi"/>
          <w:color w:val="000000" w:themeColor="text1"/>
        </w:rPr>
        <w:t xml:space="preserve">illion </w:t>
      </w:r>
      <w:r w:rsidRPr="006E2136">
        <w:rPr>
          <w:rFonts w:asciiTheme="minorHAnsi" w:hAnsiTheme="minorHAnsi" w:cstheme="minorHAnsi"/>
          <w:color w:val="000000" w:themeColor="text1"/>
        </w:rPr>
        <w:t xml:space="preserve">(or USD </w:t>
      </w:r>
      <w:r w:rsidR="00992F2D">
        <w:rPr>
          <w:rFonts w:asciiTheme="minorHAnsi" w:hAnsiTheme="minorHAnsi" w:cstheme="minorHAnsi"/>
          <w:color w:val="000000" w:themeColor="text1"/>
          <w:lang w:val="en-US"/>
        </w:rPr>
        <w:t>$</w:t>
      </w:r>
      <w:r w:rsidRPr="006E2136">
        <w:rPr>
          <w:rFonts w:asciiTheme="minorHAnsi" w:hAnsiTheme="minorHAnsi" w:cstheme="minorHAnsi"/>
          <w:color w:val="000000" w:themeColor="text1"/>
        </w:rPr>
        <w:t xml:space="preserve">20 </w:t>
      </w:r>
      <w:r w:rsidR="00992F2D">
        <w:rPr>
          <w:rFonts w:asciiTheme="minorHAnsi" w:hAnsiTheme="minorHAnsi" w:cstheme="minorHAnsi"/>
          <w:color w:val="000000" w:themeColor="text1"/>
          <w:lang w:val="en-US"/>
        </w:rPr>
        <w:t>M</w:t>
      </w:r>
      <w:r w:rsidR="00992F2D" w:rsidRPr="006E2136">
        <w:rPr>
          <w:rFonts w:asciiTheme="minorHAnsi" w:hAnsiTheme="minorHAnsi" w:cstheme="minorHAnsi"/>
          <w:color w:val="000000" w:themeColor="text1"/>
        </w:rPr>
        <w:t>illion</w:t>
      </w:r>
      <w:r w:rsidRPr="006E2136">
        <w:rPr>
          <w:rFonts w:asciiTheme="minorHAnsi" w:hAnsiTheme="minorHAnsi" w:cstheme="minorHAnsi"/>
          <w:color w:val="000000" w:themeColor="text1"/>
        </w:rPr>
        <w:t>) of state budget and</w:t>
      </w:r>
      <w:r w:rsidR="001C3B3C">
        <w:rPr>
          <w:rFonts w:asciiTheme="minorHAnsi" w:hAnsiTheme="minorHAnsi" w:cstheme="minorHAnsi"/>
          <w:color w:val="000000" w:themeColor="text1"/>
          <w:lang w:val="en-ID"/>
        </w:rPr>
        <w:t xml:space="preserve"> significantly increases the</w:t>
      </w:r>
      <w:r w:rsidR="00D05FB3">
        <w:rPr>
          <w:rFonts w:asciiTheme="minorHAnsi" w:hAnsiTheme="minorHAnsi" w:cstheme="minorHAnsi"/>
          <w:color w:val="000000" w:themeColor="text1"/>
          <w:lang w:val="en-ID"/>
        </w:rPr>
        <w:t xml:space="preserve"> </w:t>
      </w:r>
      <w:r w:rsidRPr="006E2136">
        <w:rPr>
          <w:rFonts w:asciiTheme="minorHAnsi" w:hAnsiTheme="minorHAnsi" w:cstheme="minorHAnsi"/>
          <w:color w:val="000000" w:themeColor="text1"/>
        </w:rPr>
        <w:t>participation of sub-national government</w:t>
      </w:r>
      <w:r w:rsidR="001C3B3C">
        <w:rPr>
          <w:rFonts w:asciiTheme="minorHAnsi" w:hAnsiTheme="minorHAnsi" w:cstheme="minorHAnsi"/>
          <w:color w:val="000000" w:themeColor="text1"/>
          <w:lang w:val="en-ID"/>
        </w:rPr>
        <w:t>s in managing</w:t>
      </w:r>
      <w:r w:rsidR="00D05FB3">
        <w:rPr>
          <w:rFonts w:asciiTheme="minorHAnsi" w:hAnsiTheme="minorHAnsi" w:cstheme="minorHAnsi"/>
          <w:color w:val="000000" w:themeColor="text1"/>
          <w:lang w:val="en-ID"/>
        </w:rPr>
        <w:t xml:space="preserve"> </w:t>
      </w:r>
      <w:r w:rsidRPr="006E2136">
        <w:rPr>
          <w:rFonts w:asciiTheme="minorHAnsi" w:hAnsiTheme="minorHAnsi" w:cstheme="minorHAnsi"/>
          <w:color w:val="000000" w:themeColor="text1"/>
        </w:rPr>
        <w:t>peat restoration;</w:t>
      </w:r>
    </w:p>
    <w:p w14:paraId="7EBF0BDD" w14:textId="4C8E0132" w:rsidR="00677389" w:rsidRPr="006E2136" w:rsidRDefault="001C3B3C" w:rsidP="002763ED">
      <w:pPr>
        <w:pStyle w:val="ListParagraph"/>
        <w:numPr>
          <w:ilvl w:val="0"/>
          <w:numId w:val="20"/>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lang w:val="en-ID"/>
        </w:rPr>
        <w:t xml:space="preserve">Facilitated dialogue between the </w:t>
      </w:r>
      <w:r w:rsidR="00677389" w:rsidRPr="006E2136">
        <w:rPr>
          <w:rFonts w:asciiTheme="minorHAnsi" w:hAnsiTheme="minorHAnsi" w:cstheme="minorHAnsi"/>
          <w:color w:val="000000" w:themeColor="text1"/>
        </w:rPr>
        <w:t xml:space="preserve">BRG and Directorate General for Natural Resources Conservation and Ecosystem </w:t>
      </w:r>
      <w:r>
        <w:rPr>
          <w:rFonts w:asciiTheme="minorHAnsi" w:hAnsiTheme="minorHAnsi" w:cstheme="minorHAnsi"/>
          <w:color w:val="000000" w:themeColor="text1"/>
          <w:lang w:val="en-ID"/>
        </w:rPr>
        <w:t xml:space="preserve">to develop an </w:t>
      </w:r>
      <w:r w:rsidR="00677389" w:rsidRPr="006E2136">
        <w:rPr>
          <w:rFonts w:asciiTheme="minorHAnsi" w:hAnsiTheme="minorHAnsi" w:cstheme="minorHAnsi"/>
          <w:color w:val="000000" w:themeColor="text1"/>
        </w:rPr>
        <w:t>agreement on implementation of peat restoration efforts</w:t>
      </w:r>
      <w:r>
        <w:rPr>
          <w:rFonts w:asciiTheme="minorHAnsi" w:hAnsiTheme="minorHAnsi" w:cstheme="minorHAnsi"/>
          <w:color w:val="000000" w:themeColor="text1"/>
          <w:lang w:val="en-ID"/>
        </w:rPr>
        <w:t xml:space="preserve">. This </w:t>
      </w:r>
      <w:r w:rsidR="00992F2D">
        <w:rPr>
          <w:rFonts w:asciiTheme="minorHAnsi" w:hAnsiTheme="minorHAnsi" w:cstheme="minorHAnsi"/>
          <w:color w:val="000000" w:themeColor="text1"/>
          <w:lang w:val="en-ID"/>
        </w:rPr>
        <w:t>led to</w:t>
      </w:r>
      <w:r>
        <w:rPr>
          <w:rFonts w:asciiTheme="minorHAnsi" w:hAnsiTheme="minorHAnsi" w:cstheme="minorHAnsi"/>
          <w:color w:val="000000" w:themeColor="text1"/>
          <w:lang w:val="en-ID"/>
        </w:rPr>
        <w:t xml:space="preserve"> the establishment of</w:t>
      </w:r>
      <w:r w:rsidR="00677389" w:rsidRPr="006E2136">
        <w:rPr>
          <w:rFonts w:asciiTheme="minorHAnsi" w:hAnsiTheme="minorHAnsi" w:cstheme="minorHAnsi"/>
          <w:color w:val="000000" w:themeColor="text1"/>
        </w:rPr>
        <w:t xml:space="preserve"> DG-Natural Resources Conservation and </w:t>
      </w:r>
      <w:r w:rsidR="00677389" w:rsidRPr="006E2136">
        <w:rPr>
          <w:rFonts w:asciiTheme="minorHAnsi" w:hAnsiTheme="minorHAnsi" w:cstheme="minorHAnsi"/>
          <w:color w:val="000000" w:themeColor="text1"/>
        </w:rPr>
        <w:lastRenderedPageBreak/>
        <w:t>Ecosystem Technical Unit Offices in</w:t>
      </w:r>
      <w:r>
        <w:rPr>
          <w:rFonts w:asciiTheme="minorHAnsi" w:hAnsiTheme="minorHAnsi" w:cstheme="minorHAnsi"/>
          <w:color w:val="000000" w:themeColor="text1"/>
          <w:lang w:val="en-ID"/>
        </w:rPr>
        <w:t xml:space="preserve"> each of the</w:t>
      </w:r>
      <w:r w:rsidR="00677389" w:rsidRPr="006E2136">
        <w:rPr>
          <w:rFonts w:asciiTheme="minorHAnsi" w:hAnsiTheme="minorHAnsi" w:cstheme="minorHAnsi"/>
          <w:color w:val="000000" w:themeColor="text1"/>
        </w:rPr>
        <w:t xml:space="preserve"> five location</w:t>
      </w:r>
      <w:r>
        <w:rPr>
          <w:rFonts w:asciiTheme="minorHAnsi" w:hAnsiTheme="minorHAnsi" w:cstheme="minorHAnsi"/>
          <w:color w:val="000000" w:themeColor="text1"/>
          <w:lang w:val="en-ID"/>
        </w:rPr>
        <w:t>s</w:t>
      </w:r>
      <w:r w:rsidR="00992F2D">
        <w:rPr>
          <w:rFonts w:asciiTheme="minorHAnsi" w:hAnsiTheme="minorHAnsi" w:cstheme="minorHAnsi"/>
          <w:color w:val="000000" w:themeColor="text1"/>
          <w:lang w:val="en-ID"/>
        </w:rPr>
        <w:t xml:space="preserve">, thereby enabling </w:t>
      </w:r>
      <w:r w:rsidR="00677389" w:rsidRPr="006E2136">
        <w:rPr>
          <w:rFonts w:asciiTheme="minorHAnsi" w:hAnsiTheme="minorHAnsi" w:cstheme="minorHAnsi"/>
          <w:color w:val="000000" w:themeColor="text1"/>
        </w:rPr>
        <w:t>BRG to disburse its budget through government counterpart</w:t>
      </w:r>
      <w:r>
        <w:rPr>
          <w:rFonts w:asciiTheme="minorHAnsi" w:hAnsiTheme="minorHAnsi" w:cstheme="minorHAnsi"/>
          <w:color w:val="000000" w:themeColor="text1"/>
          <w:lang w:val="en-ID"/>
        </w:rPr>
        <w:t>s</w:t>
      </w:r>
      <w:r w:rsidR="00677389" w:rsidRPr="006E2136">
        <w:rPr>
          <w:rFonts w:asciiTheme="minorHAnsi" w:hAnsiTheme="minorHAnsi" w:cstheme="minorHAnsi"/>
          <w:color w:val="000000" w:themeColor="text1"/>
        </w:rPr>
        <w:t>;</w:t>
      </w:r>
    </w:p>
    <w:p w14:paraId="02371BFE" w14:textId="2B2F2AD1" w:rsidR="00677389" w:rsidRPr="006E2136" w:rsidRDefault="00677389" w:rsidP="002763ED">
      <w:pPr>
        <w:pStyle w:val="ListParagraph"/>
        <w:numPr>
          <w:ilvl w:val="0"/>
          <w:numId w:val="20"/>
        </w:numPr>
        <w:spacing w:after="0" w:line="240" w:lineRule="auto"/>
        <w:rPr>
          <w:rFonts w:asciiTheme="minorHAnsi" w:hAnsiTheme="minorHAnsi" w:cstheme="minorHAnsi"/>
          <w:color w:val="000000" w:themeColor="text1"/>
        </w:rPr>
      </w:pPr>
      <w:r w:rsidRPr="006E2136">
        <w:rPr>
          <w:rFonts w:asciiTheme="minorHAnsi" w:hAnsiTheme="minorHAnsi" w:cstheme="minorHAnsi"/>
          <w:color w:val="000000" w:themeColor="text1"/>
        </w:rPr>
        <w:t>Establis</w:t>
      </w:r>
      <w:r w:rsidR="00EA3052">
        <w:rPr>
          <w:rFonts w:asciiTheme="minorHAnsi" w:hAnsiTheme="minorHAnsi" w:cstheme="minorHAnsi"/>
          <w:color w:val="000000" w:themeColor="text1"/>
          <w:lang w:val="en-ID"/>
        </w:rPr>
        <w:t xml:space="preserve">hed a </w:t>
      </w:r>
      <w:r w:rsidRPr="006E2136">
        <w:rPr>
          <w:rFonts w:asciiTheme="minorHAnsi" w:hAnsiTheme="minorHAnsi" w:cstheme="minorHAnsi"/>
          <w:color w:val="000000" w:themeColor="text1"/>
        </w:rPr>
        <w:t>Command Cent</w:t>
      </w:r>
      <w:r w:rsidR="00C1525C">
        <w:rPr>
          <w:rFonts w:asciiTheme="minorHAnsi" w:hAnsiTheme="minorHAnsi" w:cstheme="minorHAnsi"/>
          <w:color w:val="000000" w:themeColor="text1"/>
          <w:lang w:val="en-ID"/>
        </w:rPr>
        <w:t>e</w:t>
      </w:r>
      <w:r w:rsidRPr="006E2136">
        <w:rPr>
          <w:rFonts w:asciiTheme="minorHAnsi" w:hAnsiTheme="minorHAnsi" w:cstheme="minorHAnsi"/>
          <w:color w:val="000000" w:themeColor="text1"/>
        </w:rPr>
        <w:t>r at BRG Office</w:t>
      </w:r>
      <w:r w:rsidR="00992F2D">
        <w:rPr>
          <w:rFonts w:asciiTheme="minorHAnsi" w:hAnsiTheme="minorHAnsi" w:cstheme="minorHAnsi"/>
          <w:color w:val="000000" w:themeColor="text1"/>
          <w:lang w:val="en-US"/>
        </w:rPr>
        <w:t xml:space="preserve">, which allowed </w:t>
      </w:r>
      <w:r w:rsidRPr="006E2136">
        <w:rPr>
          <w:rFonts w:asciiTheme="minorHAnsi" w:hAnsiTheme="minorHAnsi" w:cstheme="minorHAnsi"/>
          <w:color w:val="000000" w:themeColor="text1"/>
        </w:rPr>
        <w:t>BRG</w:t>
      </w:r>
      <w:r w:rsidR="00EA3052">
        <w:rPr>
          <w:rFonts w:asciiTheme="minorHAnsi" w:hAnsiTheme="minorHAnsi" w:cstheme="minorHAnsi"/>
          <w:color w:val="000000" w:themeColor="text1"/>
          <w:lang w:val="en-ID"/>
        </w:rPr>
        <w:t xml:space="preserve"> to develop </w:t>
      </w:r>
      <w:r w:rsidRPr="006E2136">
        <w:rPr>
          <w:rFonts w:asciiTheme="minorHAnsi" w:hAnsiTheme="minorHAnsi" w:cstheme="minorHAnsi"/>
          <w:iCs/>
          <w:color w:val="000000" w:themeColor="text1"/>
        </w:rPr>
        <w:t>an Information System that support</w:t>
      </w:r>
      <w:r w:rsidR="00D626A7">
        <w:rPr>
          <w:rFonts w:asciiTheme="minorHAnsi" w:hAnsiTheme="minorHAnsi" w:cstheme="minorHAnsi"/>
          <w:iCs/>
          <w:color w:val="000000" w:themeColor="text1"/>
        </w:rPr>
        <w:t>ed</w:t>
      </w:r>
      <w:r w:rsidRPr="006E2136">
        <w:rPr>
          <w:rFonts w:asciiTheme="minorHAnsi" w:hAnsiTheme="minorHAnsi" w:cstheme="minorHAnsi"/>
          <w:iCs/>
          <w:color w:val="000000" w:themeColor="text1"/>
        </w:rPr>
        <w:t xml:space="preserve"> BRG’s internal work activities, coordination functions among stakeholders, monitor progress of peat restoration</w:t>
      </w:r>
      <w:r w:rsidR="00D626A7">
        <w:rPr>
          <w:rFonts w:asciiTheme="minorHAnsi" w:hAnsiTheme="minorHAnsi" w:cstheme="minorHAnsi"/>
          <w:iCs/>
          <w:color w:val="000000" w:themeColor="text1"/>
        </w:rPr>
        <w:t>,</w:t>
      </w:r>
      <w:r w:rsidRPr="006E2136">
        <w:rPr>
          <w:rFonts w:asciiTheme="minorHAnsi" w:hAnsiTheme="minorHAnsi" w:cstheme="minorHAnsi"/>
          <w:iCs/>
          <w:color w:val="000000" w:themeColor="text1"/>
        </w:rPr>
        <w:t xml:space="preserve"> and help senior management</w:t>
      </w:r>
      <w:r w:rsidR="00D626A7">
        <w:rPr>
          <w:rFonts w:asciiTheme="minorHAnsi" w:hAnsiTheme="minorHAnsi" w:cstheme="minorHAnsi"/>
          <w:iCs/>
          <w:color w:val="000000" w:themeColor="text1"/>
        </w:rPr>
        <w:t xml:space="preserve"> in</w:t>
      </w:r>
      <w:r w:rsidRPr="006E2136">
        <w:rPr>
          <w:rFonts w:asciiTheme="minorHAnsi" w:hAnsiTheme="minorHAnsi" w:cstheme="minorHAnsi"/>
          <w:iCs/>
          <w:color w:val="000000" w:themeColor="text1"/>
        </w:rPr>
        <w:t xml:space="preserve"> decision making;</w:t>
      </w:r>
    </w:p>
    <w:p w14:paraId="173998BF" w14:textId="4BAA74FD" w:rsidR="00677389" w:rsidRPr="006E2136" w:rsidRDefault="00677389" w:rsidP="002763ED">
      <w:pPr>
        <w:pStyle w:val="ListParagraph"/>
        <w:numPr>
          <w:ilvl w:val="0"/>
          <w:numId w:val="20"/>
        </w:numPr>
        <w:spacing w:after="0" w:line="240" w:lineRule="auto"/>
        <w:rPr>
          <w:rFonts w:asciiTheme="minorHAnsi" w:hAnsiTheme="minorHAnsi" w:cstheme="minorHAnsi"/>
          <w:color w:val="000000" w:themeColor="text1"/>
        </w:rPr>
      </w:pPr>
      <w:r w:rsidRPr="006E2136">
        <w:rPr>
          <w:rFonts w:asciiTheme="minorHAnsi" w:hAnsiTheme="minorHAnsi" w:cstheme="minorHAnsi"/>
          <w:color w:val="000000" w:themeColor="text1"/>
        </w:rPr>
        <w:t>Establish</w:t>
      </w:r>
      <w:r w:rsidR="00EA3052">
        <w:rPr>
          <w:rFonts w:asciiTheme="minorHAnsi" w:hAnsiTheme="minorHAnsi" w:cstheme="minorHAnsi"/>
          <w:color w:val="000000" w:themeColor="text1"/>
          <w:lang w:val="en-ID"/>
        </w:rPr>
        <w:t>ed</w:t>
      </w:r>
      <w:r w:rsidRPr="006E2136">
        <w:rPr>
          <w:rFonts w:asciiTheme="minorHAnsi" w:hAnsiTheme="minorHAnsi" w:cstheme="minorHAnsi"/>
          <w:color w:val="000000" w:themeColor="text1"/>
        </w:rPr>
        <w:t xml:space="preserve"> </w:t>
      </w:r>
      <w:r w:rsidR="00EA3052">
        <w:rPr>
          <w:rFonts w:asciiTheme="minorHAnsi" w:hAnsiTheme="minorHAnsi" w:cstheme="minorHAnsi"/>
          <w:color w:val="000000" w:themeColor="text1"/>
          <w:lang w:val="en-ID"/>
        </w:rPr>
        <w:t>a</w:t>
      </w:r>
      <w:r w:rsidRPr="006E2136">
        <w:rPr>
          <w:rFonts w:asciiTheme="minorHAnsi" w:hAnsiTheme="minorHAnsi" w:cstheme="minorHAnsi"/>
          <w:color w:val="000000" w:themeColor="text1"/>
        </w:rPr>
        <w:t xml:space="preserve"> Command Cent</w:t>
      </w:r>
      <w:r w:rsidR="00C1525C">
        <w:rPr>
          <w:rFonts w:asciiTheme="minorHAnsi" w:hAnsiTheme="minorHAnsi" w:cstheme="minorHAnsi"/>
          <w:color w:val="000000" w:themeColor="text1"/>
          <w:lang w:val="en-ID"/>
        </w:rPr>
        <w:t>e</w:t>
      </w:r>
      <w:r w:rsidRPr="006E2136">
        <w:rPr>
          <w:rFonts w:asciiTheme="minorHAnsi" w:hAnsiTheme="minorHAnsi" w:cstheme="minorHAnsi"/>
          <w:color w:val="000000" w:themeColor="text1"/>
        </w:rPr>
        <w:t>r at the Directorate General (DG) of Law Enforcement at the Ministry of Environment and Forestry (KLHK) Office</w:t>
      </w:r>
      <w:r w:rsidR="00EA3052">
        <w:rPr>
          <w:rFonts w:asciiTheme="minorHAnsi" w:hAnsiTheme="minorHAnsi" w:cstheme="minorHAnsi"/>
          <w:color w:val="000000" w:themeColor="text1"/>
          <w:lang w:val="en-ID"/>
        </w:rPr>
        <w:t>. The Cent</w:t>
      </w:r>
      <w:r w:rsidR="00C1525C">
        <w:rPr>
          <w:rFonts w:asciiTheme="minorHAnsi" w:hAnsiTheme="minorHAnsi" w:cstheme="minorHAnsi"/>
          <w:color w:val="000000" w:themeColor="text1"/>
          <w:lang w:val="en-ID"/>
        </w:rPr>
        <w:t>e</w:t>
      </w:r>
      <w:r w:rsidR="00EA3052">
        <w:rPr>
          <w:rFonts w:asciiTheme="minorHAnsi" w:hAnsiTheme="minorHAnsi" w:cstheme="minorHAnsi"/>
          <w:color w:val="000000" w:themeColor="text1"/>
          <w:lang w:val="en-ID"/>
        </w:rPr>
        <w:t xml:space="preserve">r </w:t>
      </w:r>
      <w:r w:rsidRPr="006E2136">
        <w:rPr>
          <w:rFonts w:asciiTheme="minorHAnsi" w:hAnsiTheme="minorHAnsi" w:cstheme="minorHAnsi"/>
          <w:color w:val="000000" w:themeColor="text1"/>
        </w:rPr>
        <w:t xml:space="preserve">will become </w:t>
      </w:r>
      <w:r w:rsidR="00EA3052">
        <w:rPr>
          <w:rFonts w:asciiTheme="minorHAnsi" w:hAnsiTheme="minorHAnsi" w:cstheme="minorHAnsi"/>
          <w:color w:val="000000" w:themeColor="text1"/>
          <w:lang w:val="en-ID"/>
        </w:rPr>
        <w:t xml:space="preserve">the </w:t>
      </w:r>
      <w:r w:rsidRPr="006E2136">
        <w:rPr>
          <w:rFonts w:asciiTheme="minorHAnsi" w:hAnsiTheme="minorHAnsi" w:cstheme="minorHAnsi"/>
          <w:color w:val="000000" w:themeColor="text1"/>
        </w:rPr>
        <w:t xml:space="preserve">main </w:t>
      </w:r>
      <w:r w:rsidR="00EA3052">
        <w:rPr>
          <w:rFonts w:asciiTheme="minorHAnsi" w:hAnsiTheme="minorHAnsi" w:cstheme="minorHAnsi"/>
          <w:color w:val="000000" w:themeColor="text1"/>
          <w:lang w:val="en-ID"/>
        </w:rPr>
        <w:t>entry point</w:t>
      </w:r>
      <w:r w:rsidRPr="006E2136">
        <w:rPr>
          <w:rFonts w:asciiTheme="minorHAnsi" w:hAnsiTheme="minorHAnsi" w:cstheme="minorHAnsi"/>
          <w:color w:val="000000" w:themeColor="text1"/>
        </w:rPr>
        <w:t xml:space="preserve"> for coordination between BRG and KLHK</w:t>
      </w:r>
      <w:r w:rsidR="000F4C5F">
        <w:rPr>
          <w:rFonts w:asciiTheme="minorHAnsi" w:hAnsiTheme="minorHAnsi" w:cstheme="minorHAnsi"/>
          <w:color w:val="000000" w:themeColor="text1"/>
          <w:lang w:val="en-ID"/>
        </w:rPr>
        <w:t xml:space="preserve"> and is now operational. SOPs for the Centre were developed and Inspectors will be trained in 2019 using KLKH APBN funding in 2019. Op</w:t>
      </w:r>
      <w:r w:rsidR="00992F2D">
        <w:rPr>
          <w:rFonts w:asciiTheme="minorHAnsi" w:hAnsiTheme="minorHAnsi" w:cstheme="minorHAnsi"/>
          <w:color w:val="000000" w:themeColor="text1"/>
          <w:lang w:val="en-ID"/>
        </w:rPr>
        <w:t xml:space="preserve">erations </w:t>
      </w:r>
      <w:r w:rsidR="000F4C5F">
        <w:rPr>
          <w:rFonts w:asciiTheme="minorHAnsi" w:hAnsiTheme="minorHAnsi" w:cstheme="minorHAnsi"/>
          <w:color w:val="000000" w:themeColor="text1"/>
          <w:lang w:val="en-ID"/>
        </w:rPr>
        <w:t xml:space="preserve">rooms </w:t>
      </w:r>
      <w:r w:rsidR="00992F2D">
        <w:rPr>
          <w:rFonts w:asciiTheme="minorHAnsi" w:hAnsiTheme="minorHAnsi" w:cstheme="minorHAnsi"/>
          <w:color w:val="000000" w:themeColor="text1"/>
          <w:lang w:val="en-ID"/>
        </w:rPr>
        <w:t xml:space="preserve">(opsroom) </w:t>
      </w:r>
      <w:r w:rsidR="000F4C5F">
        <w:rPr>
          <w:rFonts w:asciiTheme="minorHAnsi" w:hAnsiTheme="minorHAnsi" w:cstheme="minorHAnsi"/>
          <w:color w:val="000000" w:themeColor="text1"/>
          <w:lang w:val="en-ID"/>
        </w:rPr>
        <w:t>were requested in Palembang, Pontianik</w:t>
      </w:r>
      <w:r w:rsidR="00D626A7">
        <w:rPr>
          <w:rFonts w:asciiTheme="minorHAnsi" w:hAnsiTheme="minorHAnsi" w:cstheme="minorHAnsi"/>
          <w:color w:val="000000" w:themeColor="text1"/>
          <w:lang w:val="en-ID"/>
        </w:rPr>
        <w:t>,</w:t>
      </w:r>
      <w:r w:rsidR="000F4C5F">
        <w:rPr>
          <w:rFonts w:asciiTheme="minorHAnsi" w:hAnsiTheme="minorHAnsi" w:cstheme="minorHAnsi"/>
          <w:color w:val="000000" w:themeColor="text1"/>
          <w:lang w:val="en-ID"/>
        </w:rPr>
        <w:t xml:space="preserve"> and Manokw</w:t>
      </w:r>
      <w:r w:rsidR="00A0241E">
        <w:rPr>
          <w:rFonts w:asciiTheme="minorHAnsi" w:hAnsiTheme="minorHAnsi" w:cstheme="minorHAnsi"/>
          <w:color w:val="000000" w:themeColor="text1"/>
          <w:lang w:val="en-ID"/>
        </w:rPr>
        <w:t>ar</w:t>
      </w:r>
      <w:r w:rsidR="000F4C5F">
        <w:rPr>
          <w:rFonts w:asciiTheme="minorHAnsi" w:hAnsiTheme="minorHAnsi" w:cstheme="minorHAnsi"/>
          <w:color w:val="000000" w:themeColor="text1"/>
          <w:lang w:val="en-ID"/>
        </w:rPr>
        <w:t xml:space="preserve">i. The </w:t>
      </w:r>
      <w:r w:rsidR="00992F2D">
        <w:rPr>
          <w:rFonts w:asciiTheme="minorHAnsi" w:hAnsiTheme="minorHAnsi" w:cstheme="minorHAnsi"/>
          <w:color w:val="000000" w:themeColor="text1"/>
          <w:lang w:val="en-ID"/>
        </w:rPr>
        <w:t xml:space="preserve">opsroom </w:t>
      </w:r>
      <w:r w:rsidR="000F4C5F">
        <w:rPr>
          <w:rFonts w:asciiTheme="minorHAnsi" w:hAnsiTheme="minorHAnsi" w:cstheme="minorHAnsi"/>
          <w:color w:val="000000" w:themeColor="text1"/>
          <w:lang w:val="en-ID"/>
        </w:rPr>
        <w:t xml:space="preserve">was completed in Palembang and </w:t>
      </w:r>
      <w:r w:rsidR="00D02CCA">
        <w:rPr>
          <w:rFonts w:asciiTheme="minorHAnsi" w:hAnsiTheme="minorHAnsi" w:cstheme="minorHAnsi"/>
          <w:color w:val="000000" w:themeColor="text1"/>
          <w:lang w:val="en-ID"/>
        </w:rPr>
        <w:t xml:space="preserve">was </w:t>
      </w:r>
      <w:r w:rsidR="000F4C5F">
        <w:rPr>
          <w:rFonts w:asciiTheme="minorHAnsi" w:hAnsiTheme="minorHAnsi" w:cstheme="minorHAnsi"/>
          <w:color w:val="000000" w:themeColor="text1"/>
          <w:lang w:val="en-ID"/>
        </w:rPr>
        <w:t xml:space="preserve">supplied </w:t>
      </w:r>
      <w:r w:rsidR="00A0241E">
        <w:rPr>
          <w:rFonts w:asciiTheme="minorHAnsi" w:hAnsiTheme="minorHAnsi" w:cstheme="minorHAnsi"/>
          <w:color w:val="000000" w:themeColor="text1"/>
          <w:lang w:val="en-ID"/>
        </w:rPr>
        <w:t xml:space="preserve">with </w:t>
      </w:r>
      <w:r w:rsidR="000F4C5F">
        <w:rPr>
          <w:rFonts w:asciiTheme="minorHAnsi" w:hAnsiTheme="minorHAnsi" w:cstheme="minorHAnsi"/>
          <w:color w:val="000000" w:themeColor="text1"/>
          <w:lang w:val="en-ID"/>
        </w:rPr>
        <w:t xml:space="preserve">a complete set of equipment, while the Pontianak Opsroom </w:t>
      </w:r>
      <w:r w:rsidR="00992F2D">
        <w:rPr>
          <w:rFonts w:asciiTheme="minorHAnsi" w:hAnsiTheme="minorHAnsi" w:cstheme="minorHAnsi"/>
          <w:color w:val="000000" w:themeColor="text1"/>
          <w:lang w:val="en-ID"/>
        </w:rPr>
        <w:t xml:space="preserve">was </w:t>
      </w:r>
      <w:r w:rsidR="000F4C5F">
        <w:rPr>
          <w:rFonts w:asciiTheme="minorHAnsi" w:hAnsiTheme="minorHAnsi" w:cstheme="minorHAnsi"/>
          <w:color w:val="000000" w:themeColor="text1"/>
          <w:lang w:val="en-ID"/>
        </w:rPr>
        <w:t xml:space="preserve">refurbished </w:t>
      </w:r>
      <w:r w:rsidR="00A0241E">
        <w:rPr>
          <w:rFonts w:asciiTheme="minorHAnsi" w:hAnsiTheme="minorHAnsi" w:cstheme="minorHAnsi"/>
          <w:color w:val="000000" w:themeColor="text1"/>
          <w:lang w:val="en-ID"/>
        </w:rPr>
        <w:t xml:space="preserve">and </w:t>
      </w:r>
      <w:r w:rsidR="000F4C5F">
        <w:rPr>
          <w:rFonts w:asciiTheme="minorHAnsi" w:hAnsiTheme="minorHAnsi" w:cstheme="minorHAnsi"/>
          <w:color w:val="000000" w:themeColor="text1"/>
          <w:lang w:val="en-ID"/>
        </w:rPr>
        <w:t>only partially fitted out. The Manokw</w:t>
      </w:r>
      <w:r w:rsidR="00A0241E">
        <w:rPr>
          <w:rFonts w:asciiTheme="minorHAnsi" w:hAnsiTheme="minorHAnsi" w:cstheme="minorHAnsi"/>
          <w:color w:val="000000" w:themeColor="text1"/>
          <w:lang w:val="en-ID"/>
        </w:rPr>
        <w:t>ar</w:t>
      </w:r>
      <w:r w:rsidR="000F4C5F">
        <w:rPr>
          <w:rFonts w:asciiTheme="minorHAnsi" w:hAnsiTheme="minorHAnsi" w:cstheme="minorHAnsi"/>
          <w:color w:val="000000" w:themeColor="text1"/>
          <w:lang w:val="en-ID"/>
        </w:rPr>
        <w:t>i Opsroom was not developed due to insufficient time to complete within the UNDP contract timeline</w:t>
      </w:r>
      <w:r w:rsidRPr="006E2136">
        <w:rPr>
          <w:rFonts w:asciiTheme="minorHAnsi" w:hAnsiTheme="minorHAnsi" w:cstheme="minorHAnsi"/>
          <w:color w:val="000000" w:themeColor="text1"/>
        </w:rPr>
        <w:t>;</w:t>
      </w:r>
    </w:p>
    <w:p w14:paraId="17A59715" w14:textId="534A53CF" w:rsidR="00677389" w:rsidRPr="006E2136" w:rsidRDefault="00EA3052" w:rsidP="002763ED">
      <w:pPr>
        <w:pStyle w:val="ListParagraph"/>
        <w:numPr>
          <w:ilvl w:val="0"/>
          <w:numId w:val="20"/>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lang w:val="en-ID"/>
        </w:rPr>
        <w:t xml:space="preserve">An </w:t>
      </w:r>
      <w:r w:rsidR="00992F2D">
        <w:rPr>
          <w:rFonts w:asciiTheme="minorHAnsi" w:hAnsiTheme="minorHAnsi" w:cstheme="minorHAnsi"/>
          <w:color w:val="000000" w:themeColor="text1"/>
          <w:lang w:val="en-US"/>
        </w:rPr>
        <w:t>e</w:t>
      </w:r>
      <w:r w:rsidR="00992F2D" w:rsidRPr="006E2136">
        <w:rPr>
          <w:rFonts w:asciiTheme="minorHAnsi" w:hAnsiTheme="minorHAnsi" w:cstheme="minorHAnsi"/>
          <w:color w:val="000000" w:themeColor="text1"/>
        </w:rPr>
        <w:t xml:space="preserve">xpert </w:t>
      </w:r>
      <w:r w:rsidR="00992F2D">
        <w:rPr>
          <w:rFonts w:asciiTheme="minorHAnsi" w:hAnsiTheme="minorHAnsi" w:cstheme="minorHAnsi"/>
          <w:color w:val="000000" w:themeColor="text1"/>
          <w:lang w:val="en-US"/>
        </w:rPr>
        <w:t>t</w:t>
      </w:r>
      <w:r w:rsidR="00992F2D" w:rsidRPr="006E2136">
        <w:rPr>
          <w:rFonts w:asciiTheme="minorHAnsi" w:hAnsiTheme="minorHAnsi" w:cstheme="minorHAnsi"/>
          <w:color w:val="000000" w:themeColor="text1"/>
        </w:rPr>
        <w:t xml:space="preserve">eam </w:t>
      </w:r>
      <w:r>
        <w:rPr>
          <w:rFonts w:asciiTheme="minorHAnsi" w:hAnsiTheme="minorHAnsi" w:cstheme="minorHAnsi"/>
          <w:color w:val="000000" w:themeColor="text1"/>
          <w:lang w:val="en-ID"/>
        </w:rPr>
        <w:t xml:space="preserve">was established to </w:t>
      </w:r>
      <w:r w:rsidR="00677389" w:rsidRPr="006E2136">
        <w:rPr>
          <w:rFonts w:asciiTheme="minorHAnsi" w:hAnsiTheme="minorHAnsi" w:cstheme="minorHAnsi"/>
          <w:color w:val="000000" w:themeColor="text1"/>
        </w:rPr>
        <w:t>review and recommend</w:t>
      </w:r>
      <w:r>
        <w:rPr>
          <w:rFonts w:asciiTheme="minorHAnsi" w:hAnsiTheme="minorHAnsi" w:cstheme="minorHAnsi"/>
          <w:color w:val="000000" w:themeColor="text1"/>
          <w:lang w:val="en-ID"/>
        </w:rPr>
        <w:t xml:space="preserve"> changes in </w:t>
      </w:r>
      <w:r w:rsidR="00677389" w:rsidRPr="006E2136">
        <w:rPr>
          <w:rFonts w:asciiTheme="minorHAnsi" w:hAnsiTheme="minorHAnsi" w:cstheme="minorHAnsi"/>
          <w:color w:val="000000" w:themeColor="text1"/>
        </w:rPr>
        <w:t>government regulation</w:t>
      </w:r>
      <w:r w:rsidR="00A0241E">
        <w:rPr>
          <w:rFonts w:asciiTheme="minorHAnsi" w:hAnsiTheme="minorHAnsi" w:cstheme="minorHAnsi"/>
          <w:color w:val="000000" w:themeColor="text1"/>
        </w:rPr>
        <w:t>s</w:t>
      </w:r>
      <w:r w:rsidR="00677389" w:rsidRPr="006E2136">
        <w:rPr>
          <w:rFonts w:asciiTheme="minorHAnsi" w:hAnsiTheme="minorHAnsi" w:cstheme="minorHAnsi"/>
          <w:color w:val="000000" w:themeColor="text1"/>
        </w:rPr>
        <w:t xml:space="preserve">, state budget utilization, internal and external coordination, partnership and participation. </w:t>
      </w:r>
    </w:p>
    <w:p w14:paraId="46A1B3E1" w14:textId="77777777" w:rsidR="00291938" w:rsidRPr="006E2136" w:rsidRDefault="00291938" w:rsidP="00197DDF">
      <w:pPr>
        <w:autoSpaceDE w:val="0"/>
        <w:autoSpaceDN w:val="0"/>
        <w:adjustRightInd w:val="0"/>
        <w:spacing w:after="0" w:line="23" w:lineRule="atLeast"/>
        <w:rPr>
          <w:rFonts w:asciiTheme="minorHAnsi" w:hAnsiTheme="minorHAnsi" w:cstheme="minorHAnsi"/>
          <w:bCs/>
          <w:color w:val="000000" w:themeColor="text1"/>
          <w:lang w:val="en-US"/>
        </w:rPr>
      </w:pPr>
    </w:p>
    <w:p w14:paraId="4914A767" w14:textId="2DDD2944" w:rsidR="00677389" w:rsidRPr="006E2136" w:rsidRDefault="00677389" w:rsidP="006C0A4B">
      <w:pPr>
        <w:spacing w:before="120" w:after="0" w:line="240" w:lineRule="auto"/>
        <w:jc w:val="both"/>
        <w:rPr>
          <w:rFonts w:asciiTheme="minorHAnsi" w:hAnsiTheme="minorHAnsi" w:cstheme="minorHAnsi"/>
          <w:bCs/>
          <w:color w:val="000000" w:themeColor="text1"/>
          <w:lang w:val="en-US"/>
        </w:rPr>
      </w:pPr>
      <w:r w:rsidRPr="006E2136">
        <w:rPr>
          <w:rFonts w:asciiTheme="minorHAnsi" w:hAnsiTheme="minorHAnsi" w:cstheme="minorHAnsi"/>
          <w:b/>
          <w:bCs/>
          <w:color w:val="000000" w:themeColor="text1"/>
          <w:lang w:val="en-US"/>
        </w:rPr>
        <w:t xml:space="preserve">Output 5 </w:t>
      </w:r>
      <w:r w:rsidR="00992F2D" w:rsidRPr="006E2136">
        <w:rPr>
          <w:rFonts w:asciiTheme="minorHAnsi" w:hAnsiTheme="minorHAnsi" w:cstheme="minorHAnsi"/>
          <w:b/>
          <w:color w:val="000000" w:themeColor="text1"/>
          <w:lang w:eastAsia="en-GB"/>
        </w:rPr>
        <w:t>–</w:t>
      </w:r>
      <w:r w:rsidRPr="006E2136">
        <w:rPr>
          <w:rFonts w:asciiTheme="minorHAnsi" w:hAnsiTheme="minorHAnsi" w:cstheme="minorHAnsi"/>
          <w:b/>
          <w:bCs/>
          <w:color w:val="000000" w:themeColor="text1"/>
          <w:lang w:val="en-US"/>
        </w:rPr>
        <w:t xml:space="preserve"> </w:t>
      </w:r>
      <w:r w:rsidRPr="006E2136">
        <w:rPr>
          <w:rFonts w:asciiTheme="minorHAnsi" w:hAnsiTheme="minorHAnsi" w:cstheme="minorHAnsi"/>
          <w:b/>
          <w:color w:val="000000" w:themeColor="text1"/>
          <w:lang w:eastAsia="en-GB"/>
        </w:rPr>
        <w:t>Strengthen BRG’s engagement with a wide coalition of stakeholders and its implementation of restoration activities</w:t>
      </w:r>
      <w:r w:rsidR="00A0241E">
        <w:rPr>
          <w:rFonts w:asciiTheme="minorHAnsi" w:hAnsiTheme="minorHAnsi" w:cstheme="minorHAnsi"/>
          <w:b/>
          <w:color w:val="000000" w:themeColor="text1"/>
          <w:lang w:eastAsia="en-GB"/>
        </w:rPr>
        <w:t>.</w:t>
      </w:r>
      <w:r w:rsidRPr="006E2136">
        <w:rPr>
          <w:rFonts w:asciiTheme="minorHAnsi" w:hAnsiTheme="minorHAnsi" w:cstheme="minorHAnsi"/>
          <w:b/>
          <w:color w:val="000000" w:themeColor="text1"/>
          <w:lang w:eastAsia="en-GB"/>
        </w:rPr>
        <w:t xml:space="preserve"> </w:t>
      </w:r>
    </w:p>
    <w:p w14:paraId="3866E785" w14:textId="1884D326" w:rsidR="00677389" w:rsidRPr="006E2136" w:rsidRDefault="00677389" w:rsidP="006C0A4B">
      <w:pPr>
        <w:pStyle w:val="ListParagraph"/>
        <w:numPr>
          <w:ilvl w:val="0"/>
          <w:numId w:val="21"/>
        </w:numPr>
        <w:spacing w:before="120" w:after="0" w:line="240" w:lineRule="auto"/>
        <w:rPr>
          <w:rFonts w:asciiTheme="minorHAnsi" w:hAnsiTheme="minorHAnsi" w:cstheme="minorHAnsi"/>
          <w:color w:val="000000" w:themeColor="text1"/>
        </w:rPr>
      </w:pPr>
      <w:r w:rsidRPr="006E2136">
        <w:rPr>
          <w:rFonts w:asciiTheme="minorHAnsi" w:hAnsiTheme="minorHAnsi" w:cstheme="minorHAnsi"/>
          <w:color w:val="000000" w:themeColor="text1"/>
        </w:rPr>
        <w:t xml:space="preserve">BRG mapping and planning </w:t>
      </w:r>
      <w:r w:rsidR="00EA3052">
        <w:rPr>
          <w:rFonts w:asciiTheme="minorHAnsi" w:hAnsiTheme="minorHAnsi" w:cstheme="minorHAnsi"/>
          <w:color w:val="000000" w:themeColor="text1"/>
          <w:lang w:val="en-ID"/>
        </w:rPr>
        <w:t xml:space="preserve">has </w:t>
      </w:r>
      <w:r w:rsidRPr="006E2136">
        <w:rPr>
          <w:rFonts w:asciiTheme="minorHAnsi" w:hAnsiTheme="minorHAnsi" w:cstheme="minorHAnsi"/>
          <w:color w:val="000000" w:themeColor="text1"/>
        </w:rPr>
        <w:t>improved by providing specific technical staff,</w:t>
      </w:r>
      <w:r w:rsidR="00EA3052">
        <w:rPr>
          <w:rFonts w:asciiTheme="minorHAnsi" w:hAnsiTheme="minorHAnsi" w:cstheme="minorHAnsi"/>
          <w:color w:val="000000" w:themeColor="text1"/>
          <w:lang w:val="en-ID"/>
        </w:rPr>
        <w:t xml:space="preserve"> </w:t>
      </w:r>
      <w:r w:rsidR="00992F2D">
        <w:rPr>
          <w:rFonts w:asciiTheme="minorHAnsi" w:hAnsiTheme="minorHAnsi" w:cstheme="minorHAnsi"/>
          <w:color w:val="000000" w:themeColor="text1"/>
          <w:lang w:val="en-ID"/>
        </w:rPr>
        <w:t xml:space="preserve">which </w:t>
      </w:r>
      <w:r w:rsidR="00EA3052">
        <w:rPr>
          <w:rFonts w:asciiTheme="minorHAnsi" w:hAnsiTheme="minorHAnsi" w:cstheme="minorHAnsi"/>
          <w:color w:val="000000" w:themeColor="text1"/>
          <w:lang w:val="en-ID"/>
        </w:rPr>
        <w:t>has enabled BRG to develop appropriate annual plans rather than contingency plans;</w:t>
      </w:r>
      <w:r w:rsidRPr="006E2136">
        <w:rPr>
          <w:rFonts w:asciiTheme="minorHAnsi" w:hAnsiTheme="minorHAnsi" w:cstheme="minorHAnsi"/>
          <w:color w:val="000000" w:themeColor="text1"/>
        </w:rPr>
        <w:t xml:space="preserve"> </w:t>
      </w:r>
    </w:p>
    <w:p w14:paraId="5ECCAFA2" w14:textId="1C6CBF26" w:rsidR="00677389" w:rsidRPr="006E2136" w:rsidRDefault="00677389" w:rsidP="002763ED">
      <w:pPr>
        <w:pStyle w:val="ListParagraph"/>
        <w:numPr>
          <w:ilvl w:val="0"/>
          <w:numId w:val="21"/>
        </w:numPr>
        <w:spacing w:after="0" w:line="240" w:lineRule="auto"/>
        <w:rPr>
          <w:rFonts w:asciiTheme="minorHAnsi" w:hAnsiTheme="minorHAnsi" w:cstheme="minorHAnsi"/>
          <w:color w:val="000000" w:themeColor="text1"/>
        </w:rPr>
      </w:pPr>
      <w:r w:rsidRPr="006E2136">
        <w:rPr>
          <w:rFonts w:asciiTheme="minorHAnsi" w:hAnsiTheme="minorHAnsi" w:cstheme="minorHAnsi"/>
          <w:color w:val="000000" w:themeColor="text1"/>
        </w:rPr>
        <w:t xml:space="preserve">Mobilizing Provincial Governments’ participation in </w:t>
      </w:r>
      <w:r w:rsidR="00A0241E">
        <w:rPr>
          <w:rFonts w:asciiTheme="minorHAnsi" w:hAnsiTheme="minorHAnsi" w:cstheme="minorHAnsi"/>
          <w:color w:val="000000" w:themeColor="text1"/>
        </w:rPr>
        <w:t>p</w:t>
      </w:r>
      <w:r w:rsidRPr="006E2136">
        <w:rPr>
          <w:rFonts w:asciiTheme="minorHAnsi" w:hAnsiTheme="minorHAnsi" w:cstheme="minorHAnsi"/>
          <w:color w:val="000000" w:themeColor="text1"/>
        </w:rPr>
        <w:t xml:space="preserve">eatland </w:t>
      </w:r>
      <w:r w:rsidR="00A0241E">
        <w:rPr>
          <w:rFonts w:asciiTheme="minorHAnsi" w:hAnsiTheme="minorHAnsi" w:cstheme="minorHAnsi"/>
          <w:color w:val="000000" w:themeColor="text1"/>
        </w:rPr>
        <w:t>r</w:t>
      </w:r>
      <w:r w:rsidRPr="006E2136">
        <w:rPr>
          <w:rFonts w:asciiTheme="minorHAnsi" w:hAnsiTheme="minorHAnsi" w:cstheme="minorHAnsi"/>
          <w:color w:val="000000" w:themeColor="text1"/>
        </w:rPr>
        <w:t xml:space="preserve">estoration by providing </w:t>
      </w:r>
      <w:r w:rsidR="00EA3052">
        <w:rPr>
          <w:rFonts w:asciiTheme="minorHAnsi" w:hAnsiTheme="minorHAnsi" w:cstheme="minorHAnsi"/>
          <w:color w:val="000000" w:themeColor="text1"/>
          <w:lang w:val="en-ID"/>
        </w:rPr>
        <w:t xml:space="preserve">a </w:t>
      </w:r>
      <w:r w:rsidRPr="006E2136">
        <w:rPr>
          <w:rFonts w:asciiTheme="minorHAnsi" w:hAnsiTheme="minorHAnsi" w:cstheme="minorHAnsi"/>
          <w:color w:val="000000" w:themeColor="text1"/>
        </w:rPr>
        <w:t xml:space="preserve">consultant to prepare </w:t>
      </w:r>
      <w:r w:rsidR="00EA3052">
        <w:rPr>
          <w:rFonts w:asciiTheme="minorHAnsi" w:hAnsiTheme="minorHAnsi" w:cstheme="minorHAnsi"/>
          <w:color w:val="000000" w:themeColor="text1"/>
          <w:lang w:val="en-ID"/>
        </w:rPr>
        <w:t xml:space="preserve">the </w:t>
      </w:r>
      <w:r w:rsidRPr="006E2136">
        <w:rPr>
          <w:rFonts w:asciiTheme="minorHAnsi" w:hAnsiTheme="minorHAnsi" w:cstheme="minorHAnsi"/>
          <w:color w:val="000000" w:themeColor="text1"/>
        </w:rPr>
        <w:t>necessary precondition</w:t>
      </w:r>
      <w:r w:rsidR="00EA3052">
        <w:rPr>
          <w:rFonts w:asciiTheme="minorHAnsi" w:hAnsiTheme="minorHAnsi" w:cstheme="minorHAnsi"/>
          <w:color w:val="000000" w:themeColor="text1"/>
          <w:lang w:val="en-ID"/>
        </w:rPr>
        <w:t>’s for this participation</w:t>
      </w:r>
      <w:r w:rsidR="00FD69E4">
        <w:rPr>
          <w:rFonts w:asciiTheme="minorHAnsi" w:hAnsiTheme="minorHAnsi" w:cstheme="minorHAnsi"/>
          <w:color w:val="000000" w:themeColor="text1"/>
          <w:lang w:val="en-ID"/>
        </w:rPr>
        <w:t>. For example, a</w:t>
      </w:r>
      <w:r w:rsidR="00D05FB3">
        <w:rPr>
          <w:rFonts w:asciiTheme="minorHAnsi" w:hAnsiTheme="minorHAnsi" w:cstheme="minorHAnsi"/>
          <w:color w:val="000000" w:themeColor="text1"/>
          <w:lang w:val="en-ID"/>
        </w:rPr>
        <w:t xml:space="preserve">  </w:t>
      </w:r>
      <w:r w:rsidRPr="006E2136">
        <w:rPr>
          <w:rFonts w:asciiTheme="minorHAnsi" w:hAnsiTheme="minorHAnsi" w:cstheme="minorHAnsi"/>
          <w:color w:val="000000" w:themeColor="text1"/>
        </w:rPr>
        <w:t xml:space="preserve">coordination mechanism and guideline for the implementation of Peat Restoration in </w:t>
      </w:r>
      <w:r w:rsidR="00992F2D">
        <w:rPr>
          <w:rFonts w:asciiTheme="minorHAnsi" w:hAnsiTheme="minorHAnsi" w:cstheme="minorHAnsi"/>
          <w:color w:val="000000" w:themeColor="text1"/>
          <w:lang w:val="en-US"/>
        </w:rPr>
        <w:t>seven</w:t>
      </w:r>
      <w:r w:rsidR="00992F2D" w:rsidRPr="006E2136">
        <w:rPr>
          <w:rFonts w:asciiTheme="minorHAnsi" w:hAnsiTheme="minorHAnsi" w:cstheme="minorHAnsi"/>
          <w:color w:val="000000" w:themeColor="text1"/>
        </w:rPr>
        <w:t xml:space="preserve"> </w:t>
      </w:r>
      <w:r w:rsidRPr="006E2136">
        <w:rPr>
          <w:rFonts w:asciiTheme="minorHAnsi" w:hAnsiTheme="minorHAnsi" w:cstheme="minorHAnsi"/>
          <w:color w:val="000000" w:themeColor="text1"/>
        </w:rPr>
        <w:t>provinces</w:t>
      </w:r>
      <w:r w:rsidR="00FD69E4">
        <w:rPr>
          <w:rFonts w:asciiTheme="minorHAnsi" w:hAnsiTheme="minorHAnsi" w:cstheme="minorHAnsi"/>
          <w:color w:val="000000" w:themeColor="text1"/>
          <w:lang w:val="en-ID"/>
        </w:rPr>
        <w:t xml:space="preserve"> was developed</w:t>
      </w:r>
      <w:r w:rsidRPr="006E2136">
        <w:rPr>
          <w:rFonts w:asciiTheme="minorHAnsi" w:hAnsiTheme="minorHAnsi" w:cstheme="minorHAnsi"/>
          <w:color w:val="000000" w:themeColor="text1"/>
        </w:rPr>
        <w:t>;</w:t>
      </w:r>
    </w:p>
    <w:p w14:paraId="6D7ABD47" w14:textId="6B461ADC" w:rsidR="00677389" w:rsidRPr="006E2136" w:rsidRDefault="00677389" w:rsidP="002763ED">
      <w:pPr>
        <w:pStyle w:val="ListParagraph"/>
        <w:numPr>
          <w:ilvl w:val="0"/>
          <w:numId w:val="21"/>
        </w:numPr>
        <w:spacing w:after="0" w:line="240" w:lineRule="auto"/>
        <w:rPr>
          <w:rFonts w:asciiTheme="minorHAnsi" w:hAnsiTheme="minorHAnsi" w:cstheme="minorHAnsi"/>
          <w:color w:val="000000" w:themeColor="text1"/>
        </w:rPr>
      </w:pPr>
      <w:r w:rsidRPr="006E2136">
        <w:rPr>
          <w:rFonts w:asciiTheme="minorHAnsi" w:hAnsiTheme="minorHAnsi" w:cstheme="minorHAnsi"/>
          <w:color w:val="000000" w:themeColor="text1"/>
        </w:rPr>
        <w:t>Mobilizing community participation in peatland restoration by providing</w:t>
      </w:r>
      <w:r w:rsidR="00A0241E">
        <w:rPr>
          <w:rFonts w:asciiTheme="minorHAnsi" w:hAnsiTheme="minorHAnsi" w:cstheme="minorHAnsi"/>
          <w:color w:val="000000" w:themeColor="text1"/>
        </w:rPr>
        <w:t xml:space="preserve"> a</w:t>
      </w:r>
      <w:r w:rsidRPr="006E2136">
        <w:rPr>
          <w:rFonts w:asciiTheme="minorHAnsi" w:hAnsiTheme="minorHAnsi" w:cstheme="minorHAnsi"/>
          <w:color w:val="000000" w:themeColor="text1"/>
        </w:rPr>
        <w:t xml:space="preserve"> special task force </w:t>
      </w:r>
      <w:r w:rsidR="00FD69E4">
        <w:rPr>
          <w:rFonts w:asciiTheme="minorHAnsi" w:hAnsiTheme="minorHAnsi" w:cstheme="minorHAnsi"/>
          <w:color w:val="000000" w:themeColor="text1"/>
          <w:lang w:val="en-ID"/>
        </w:rPr>
        <w:t>to</w:t>
      </w:r>
      <w:r w:rsidRPr="006E2136">
        <w:rPr>
          <w:rFonts w:asciiTheme="minorHAnsi" w:hAnsiTheme="minorHAnsi" w:cstheme="minorHAnsi"/>
          <w:color w:val="000000" w:themeColor="text1"/>
        </w:rPr>
        <w:t xml:space="preserve"> conduct training on peat rewetting and revegetation infrastructure development </w:t>
      </w:r>
      <w:r w:rsidR="00FD69E4">
        <w:rPr>
          <w:rFonts w:asciiTheme="minorHAnsi" w:hAnsiTheme="minorHAnsi" w:cstheme="minorHAnsi"/>
          <w:color w:val="000000" w:themeColor="text1"/>
          <w:lang w:val="en-ID"/>
        </w:rPr>
        <w:t>for</w:t>
      </w:r>
      <w:r w:rsidRPr="006E2136">
        <w:rPr>
          <w:rFonts w:asciiTheme="minorHAnsi" w:hAnsiTheme="minorHAnsi" w:cstheme="minorHAnsi"/>
          <w:color w:val="000000" w:themeColor="text1"/>
        </w:rPr>
        <w:t xml:space="preserve"> community groups;</w:t>
      </w:r>
    </w:p>
    <w:p w14:paraId="18BC4E6C" w14:textId="42D40CDD" w:rsidR="00677389" w:rsidRPr="006E2136" w:rsidRDefault="00677389" w:rsidP="002763ED">
      <w:pPr>
        <w:pStyle w:val="ListParagraph"/>
        <w:numPr>
          <w:ilvl w:val="0"/>
          <w:numId w:val="21"/>
        </w:numPr>
        <w:spacing w:after="0" w:line="240" w:lineRule="auto"/>
        <w:rPr>
          <w:rFonts w:asciiTheme="minorHAnsi" w:hAnsiTheme="minorHAnsi" w:cstheme="minorHAnsi"/>
          <w:color w:val="000000" w:themeColor="text1"/>
        </w:rPr>
      </w:pPr>
      <w:r w:rsidRPr="006E2136">
        <w:rPr>
          <w:rFonts w:asciiTheme="minorHAnsi" w:hAnsiTheme="minorHAnsi" w:cstheme="minorHAnsi"/>
          <w:color w:val="000000" w:themeColor="text1"/>
        </w:rPr>
        <w:t>Piloting peat restoration model at KHG level in Pulau Padang</w:t>
      </w:r>
      <w:r w:rsidR="00FD69E4">
        <w:rPr>
          <w:rFonts w:asciiTheme="minorHAnsi" w:hAnsiTheme="minorHAnsi" w:cstheme="minorHAnsi"/>
          <w:color w:val="000000" w:themeColor="text1"/>
          <w:lang w:val="en-ID"/>
        </w:rPr>
        <w:t>. This is still being implemented and</w:t>
      </w:r>
      <w:r w:rsidRPr="006E2136">
        <w:rPr>
          <w:rFonts w:asciiTheme="minorHAnsi" w:hAnsiTheme="minorHAnsi" w:cstheme="minorHAnsi"/>
          <w:color w:val="000000" w:themeColor="text1"/>
        </w:rPr>
        <w:t xml:space="preserve"> </w:t>
      </w:r>
      <w:r w:rsidR="00FD69E4">
        <w:rPr>
          <w:rFonts w:asciiTheme="minorHAnsi" w:hAnsiTheme="minorHAnsi" w:cstheme="minorHAnsi"/>
          <w:color w:val="000000" w:themeColor="text1"/>
          <w:lang w:val="en-ID"/>
        </w:rPr>
        <w:t xml:space="preserve">is </w:t>
      </w:r>
      <w:r w:rsidRPr="006E2136">
        <w:rPr>
          <w:rFonts w:asciiTheme="minorHAnsi" w:hAnsiTheme="minorHAnsi" w:cstheme="minorHAnsi"/>
          <w:color w:val="000000" w:themeColor="text1"/>
        </w:rPr>
        <w:t xml:space="preserve">progressing </w:t>
      </w:r>
      <w:r w:rsidR="00FD69E4">
        <w:rPr>
          <w:rFonts w:asciiTheme="minorHAnsi" w:hAnsiTheme="minorHAnsi" w:cstheme="minorHAnsi"/>
          <w:color w:val="000000" w:themeColor="text1"/>
          <w:lang w:val="en-ID"/>
        </w:rPr>
        <w:t>according to plan</w:t>
      </w:r>
      <w:r w:rsidR="00A0241E">
        <w:rPr>
          <w:rFonts w:asciiTheme="minorHAnsi" w:hAnsiTheme="minorHAnsi" w:cstheme="minorHAnsi"/>
          <w:color w:val="000000" w:themeColor="text1"/>
          <w:lang w:val="en-ID"/>
        </w:rPr>
        <w:t>s</w:t>
      </w:r>
      <w:r w:rsidR="00FD69E4">
        <w:rPr>
          <w:rFonts w:asciiTheme="minorHAnsi" w:hAnsiTheme="minorHAnsi" w:cstheme="minorHAnsi"/>
          <w:color w:val="000000" w:themeColor="text1"/>
          <w:lang w:val="en-ID"/>
        </w:rPr>
        <w:t xml:space="preserve"> in</w:t>
      </w:r>
      <w:r w:rsidRPr="006E2136">
        <w:rPr>
          <w:rFonts w:asciiTheme="minorHAnsi" w:hAnsiTheme="minorHAnsi" w:cstheme="minorHAnsi"/>
          <w:color w:val="000000" w:themeColor="text1"/>
        </w:rPr>
        <w:t xml:space="preserve"> all villages</w:t>
      </w:r>
      <w:r w:rsidR="00FD69E4">
        <w:rPr>
          <w:rFonts w:asciiTheme="minorHAnsi" w:hAnsiTheme="minorHAnsi" w:cstheme="minorHAnsi"/>
          <w:color w:val="000000" w:themeColor="text1"/>
          <w:lang w:val="en-ID"/>
        </w:rPr>
        <w:t>.</w:t>
      </w:r>
    </w:p>
    <w:p w14:paraId="0B194201" w14:textId="77777777" w:rsidR="00677389" w:rsidRPr="006E2136" w:rsidRDefault="00677389" w:rsidP="00677389">
      <w:pPr>
        <w:pStyle w:val="ListParagraph"/>
        <w:ind w:left="1800"/>
        <w:rPr>
          <w:rFonts w:asciiTheme="minorHAnsi" w:hAnsiTheme="minorHAnsi" w:cstheme="minorHAnsi"/>
          <w:color w:val="000000" w:themeColor="text1"/>
        </w:rPr>
      </w:pPr>
    </w:p>
    <w:p w14:paraId="6305DFC0" w14:textId="4B0EB6F4" w:rsidR="00677389" w:rsidRPr="006E2136" w:rsidRDefault="00677389" w:rsidP="00197DDF">
      <w:pPr>
        <w:autoSpaceDE w:val="0"/>
        <w:autoSpaceDN w:val="0"/>
        <w:adjustRightInd w:val="0"/>
        <w:spacing w:after="0" w:line="23" w:lineRule="atLeast"/>
        <w:rPr>
          <w:rFonts w:asciiTheme="minorHAnsi" w:hAnsiTheme="minorHAnsi" w:cstheme="minorHAnsi"/>
          <w:b/>
          <w:bCs/>
          <w:color w:val="000000" w:themeColor="text1"/>
          <w:lang w:val="en-US"/>
        </w:rPr>
      </w:pPr>
      <w:r w:rsidRPr="006E2136">
        <w:rPr>
          <w:rFonts w:asciiTheme="minorHAnsi" w:hAnsiTheme="minorHAnsi" w:cstheme="minorHAnsi"/>
          <w:b/>
          <w:bCs/>
          <w:color w:val="000000" w:themeColor="text1"/>
          <w:lang w:val="en-US"/>
        </w:rPr>
        <w:t>Output 6</w:t>
      </w:r>
      <w:r w:rsidR="00D05FB3">
        <w:rPr>
          <w:rFonts w:asciiTheme="minorHAnsi" w:hAnsiTheme="minorHAnsi" w:cstheme="minorHAnsi"/>
          <w:b/>
          <w:color w:val="000000" w:themeColor="text1"/>
          <w:lang w:val="en-ID" w:eastAsia="en-GB"/>
        </w:rPr>
        <w:t xml:space="preserve"> </w:t>
      </w:r>
      <w:r w:rsidRPr="006E2136">
        <w:rPr>
          <w:rFonts w:asciiTheme="minorHAnsi" w:hAnsiTheme="minorHAnsi" w:cstheme="minorHAnsi"/>
          <w:b/>
          <w:color w:val="000000" w:themeColor="text1"/>
          <w:lang w:eastAsia="en-GB"/>
        </w:rPr>
        <w:t>– Build capacity through provision of technical staff and guidelines that contribute to BRG’s technical capacity</w:t>
      </w:r>
      <w:r w:rsidR="00A0241E">
        <w:rPr>
          <w:rFonts w:asciiTheme="minorHAnsi" w:hAnsiTheme="minorHAnsi" w:cstheme="minorHAnsi"/>
          <w:b/>
          <w:color w:val="000000" w:themeColor="text1"/>
          <w:lang w:eastAsia="en-GB"/>
        </w:rPr>
        <w:t>.</w:t>
      </w:r>
    </w:p>
    <w:p w14:paraId="7365BC36" w14:textId="47E5562D" w:rsidR="00677389" w:rsidRPr="006E2136" w:rsidRDefault="00677389" w:rsidP="002763ED">
      <w:pPr>
        <w:pStyle w:val="ListParagraph"/>
        <w:numPr>
          <w:ilvl w:val="0"/>
          <w:numId w:val="22"/>
        </w:numPr>
        <w:spacing w:after="0" w:line="240" w:lineRule="auto"/>
        <w:rPr>
          <w:rFonts w:asciiTheme="minorHAnsi" w:hAnsiTheme="minorHAnsi" w:cstheme="minorHAnsi"/>
          <w:color w:val="000000" w:themeColor="text1"/>
        </w:rPr>
      </w:pPr>
      <w:r w:rsidRPr="006E2136">
        <w:rPr>
          <w:rFonts w:asciiTheme="minorHAnsi" w:hAnsiTheme="minorHAnsi" w:cstheme="minorHAnsi"/>
          <w:color w:val="000000" w:themeColor="text1"/>
        </w:rPr>
        <w:t>Acquir</w:t>
      </w:r>
      <w:r w:rsidR="00A0241E">
        <w:rPr>
          <w:rFonts w:asciiTheme="minorHAnsi" w:hAnsiTheme="minorHAnsi" w:cstheme="minorHAnsi"/>
          <w:color w:val="000000" w:themeColor="text1"/>
        </w:rPr>
        <w:t>ing</w:t>
      </w:r>
      <w:r w:rsidRPr="006E2136">
        <w:rPr>
          <w:rFonts w:asciiTheme="minorHAnsi" w:hAnsiTheme="minorHAnsi" w:cstheme="minorHAnsi"/>
          <w:color w:val="000000" w:themeColor="text1"/>
        </w:rPr>
        <w:t xml:space="preserve"> </w:t>
      </w:r>
      <w:r w:rsidR="00124A05">
        <w:rPr>
          <w:rFonts w:asciiTheme="minorHAnsi" w:hAnsiTheme="minorHAnsi" w:cstheme="minorHAnsi"/>
          <w:color w:val="000000" w:themeColor="text1"/>
          <w:lang w:val="en-ID"/>
        </w:rPr>
        <w:t>BRG</w:t>
      </w:r>
      <w:r w:rsidR="00A0241E">
        <w:rPr>
          <w:rFonts w:asciiTheme="minorHAnsi" w:hAnsiTheme="minorHAnsi" w:cstheme="minorHAnsi"/>
          <w:color w:val="000000" w:themeColor="text1"/>
          <w:lang w:val="en-ID"/>
        </w:rPr>
        <w:t>’s</w:t>
      </w:r>
      <w:r w:rsidRPr="006E2136">
        <w:rPr>
          <w:rFonts w:asciiTheme="minorHAnsi" w:hAnsiTheme="minorHAnsi" w:cstheme="minorHAnsi"/>
          <w:color w:val="000000" w:themeColor="text1"/>
        </w:rPr>
        <w:t xml:space="preserve"> commitment for supporting tropical peatland restoration through </w:t>
      </w:r>
      <w:r w:rsidR="00FD69E4">
        <w:rPr>
          <w:rFonts w:asciiTheme="minorHAnsi" w:hAnsiTheme="minorHAnsi" w:cstheme="minorHAnsi"/>
          <w:color w:val="000000" w:themeColor="text1"/>
          <w:lang w:val="en-ID"/>
        </w:rPr>
        <w:t xml:space="preserve">a </w:t>
      </w:r>
      <w:r w:rsidRPr="006E2136">
        <w:rPr>
          <w:rFonts w:asciiTheme="minorHAnsi" w:hAnsiTheme="minorHAnsi" w:cstheme="minorHAnsi"/>
          <w:color w:val="000000" w:themeColor="text1"/>
        </w:rPr>
        <w:t xml:space="preserve">roundtable meeting involving </w:t>
      </w:r>
      <w:r w:rsidR="00A0241E">
        <w:rPr>
          <w:rFonts w:asciiTheme="minorHAnsi" w:hAnsiTheme="minorHAnsi" w:cstheme="minorHAnsi"/>
          <w:color w:val="000000" w:themeColor="text1"/>
        </w:rPr>
        <w:t xml:space="preserve">the International </w:t>
      </w:r>
      <w:r w:rsidRPr="006E2136">
        <w:rPr>
          <w:rFonts w:asciiTheme="minorHAnsi" w:hAnsiTheme="minorHAnsi" w:cstheme="minorHAnsi"/>
          <w:color w:val="000000" w:themeColor="text1"/>
        </w:rPr>
        <w:t>Peatland Society and Japan Peatland Society;</w:t>
      </w:r>
    </w:p>
    <w:p w14:paraId="20F2604D" w14:textId="0DBAF185" w:rsidR="00677389" w:rsidRPr="006E2136" w:rsidRDefault="00677389" w:rsidP="002763ED">
      <w:pPr>
        <w:pStyle w:val="ListParagraph"/>
        <w:numPr>
          <w:ilvl w:val="0"/>
          <w:numId w:val="22"/>
        </w:numPr>
        <w:spacing w:after="0" w:line="240" w:lineRule="auto"/>
        <w:rPr>
          <w:rFonts w:asciiTheme="minorHAnsi" w:hAnsiTheme="minorHAnsi" w:cstheme="minorHAnsi"/>
          <w:color w:val="000000" w:themeColor="text1"/>
        </w:rPr>
      </w:pPr>
      <w:r w:rsidRPr="006E2136">
        <w:rPr>
          <w:rFonts w:asciiTheme="minorHAnsi" w:hAnsiTheme="minorHAnsi" w:cstheme="minorHAnsi"/>
          <w:color w:val="000000" w:themeColor="text1"/>
        </w:rPr>
        <w:t xml:space="preserve">Establishment of </w:t>
      </w:r>
      <w:r w:rsidR="00FD69E4">
        <w:rPr>
          <w:rFonts w:asciiTheme="minorHAnsi" w:hAnsiTheme="minorHAnsi" w:cstheme="minorHAnsi"/>
          <w:color w:val="000000" w:themeColor="text1"/>
          <w:lang w:val="en-ID"/>
        </w:rPr>
        <w:t xml:space="preserve">a </w:t>
      </w:r>
      <w:r w:rsidRPr="006E2136">
        <w:rPr>
          <w:rFonts w:asciiTheme="minorHAnsi" w:hAnsiTheme="minorHAnsi" w:cstheme="minorHAnsi"/>
          <w:color w:val="000000" w:themeColor="text1"/>
        </w:rPr>
        <w:t>dedicated communication</w:t>
      </w:r>
      <w:r w:rsidR="00992F2D">
        <w:rPr>
          <w:rFonts w:asciiTheme="minorHAnsi" w:hAnsiTheme="minorHAnsi" w:cstheme="minorHAnsi"/>
          <w:color w:val="000000" w:themeColor="text1"/>
          <w:lang w:val="en-US"/>
        </w:rPr>
        <w:t>s</w:t>
      </w:r>
      <w:r w:rsidRPr="006E2136">
        <w:rPr>
          <w:rFonts w:asciiTheme="minorHAnsi" w:hAnsiTheme="minorHAnsi" w:cstheme="minorHAnsi"/>
          <w:color w:val="000000" w:themeColor="text1"/>
        </w:rPr>
        <w:t xml:space="preserve"> team to enhance BRG communication strategy</w:t>
      </w:r>
      <w:r w:rsidR="00A0241E">
        <w:rPr>
          <w:rFonts w:asciiTheme="minorHAnsi" w:hAnsiTheme="minorHAnsi" w:cstheme="minorHAnsi"/>
          <w:color w:val="000000" w:themeColor="text1"/>
        </w:rPr>
        <w:t xml:space="preserve">, </w:t>
      </w:r>
      <w:r w:rsidRPr="006E2136">
        <w:rPr>
          <w:rFonts w:asciiTheme="minorHAnsi" w:hAnsiTheme="minorHAnsi" w:cstheme="minorHAnsi"/>
          <w:color w:val="000000" w:themeColor="text1"/>
        </w:rPr>
        <w:t>ensuring more support from stakeholder</w:t>
      </w:r>
      <w:r w:rsidR="00FD69E4">
        <w:rPr>
          <w:rFonts w:asciiTheme="minorHAnsi" w:hAnsiTheme="minorHAnsi" w:cstheme="minorHAnsi"/>
          <w:color w:val="000000" w:themeColor="text1"/>
          <w:lang w:val="en-ID"/>
        </w:rPr>
        <w:t>s</w:t>
      </w:r>
      <w:r w:rsidRPr="006E2136">
        <w:rPr>
          <w:rFonts w:asciiTheme="minorHAnsi" w:hAnsiTheme="minorHAnsi" w:cstheme="minorHAnsi"/>
          <w:color w:val="000000" w:themeColor="text1"/>
        </w:rPr>
        <w:t>.</w:t>
      </w:r>
    </w:p>
    <w:p w14:paraId="7C9785E4" w14:textId="77777777" w:rsidR="008745BF" w:rsidRDefault="008745BF" w:rsidP="008745BF">
      <w:pPr>
        <w:rPr>
          <w:lang w:val="en-ID"/>
        </w:rPr>
      </w:pPr>
    </w:p>
    <w:p w14:paraId="5BF8852C" w14:textId="77777777" w:rsidR="008745BF" w:rsidRPr="008745BF" w:rsidRDefault="008745BF" w:rsidP="00842AD9">
      <w:pPr>
        <w:pStyle w:val="Heading3"/>
        <w:rPr>
          <w:lang w:val="en-ID"/>
        </w:rPr>
      </w:pPr>
      <w:bookmarkStart w:id="14" w:name="_Toc528998432"/>
      <w:r w:rsidRPr="008745BF">
        <w:rPr>
          <w:lang w:val="en-ID"/>
        </w:rPr>
        <w:t>Contracts</w:t>
      </w:r>
      <w:bookmarkEnd w:id="14"/>
      <w:r w:rsidRPr="008745BF">
        <w:rPr>
          <w:lang w:val="en-ID"/>
        </w:rPr>
        <w:t xml:space="preserve"> </w:t>
      </w:r>
    </w:p>
    <w:p w14:paraId="6819C0E0" w14:textId="290DB686" w:rsidR="008745BF" w:rsidRPr="008745BF" w:rsidRDefault="008745BF" w:rsidP="008745BF">
      <w:pPr>
        <w:rPr>
          <w:lang w:val="en-ID"/>
        </w:rPr>
      </w:pPr>
      <w:r>
        <w:rPr>
          <w:lang w:val="en-ID"/>
        </w:rPr>
        <w:t>In just over 24 months</w:t>
      </w:r>
      <w:r w:rsidR="00992F2D">
        <w:rPr>
          <w:lang w:val="en-ID"/>
        </w:rPr>
        <w:t>,</w:t>
      </w:r>
      <w:r>
        <w:rPr>
          <w:lang w:val="en-ID"/>
        </w:rPr>
        <w:t xml:space="preserve"> UNDP has finalised over 1</w:t>
      </w:r>
      <w:r w:rsidR="00A0241E">
        <w:rPr>
          <w:lang w:val="en-ID"/>
        </w:rPr>
        <w:t>,</w:t>
      </w:r>
      <w:r>
        <w:rPr>
          <w:lang w:val="en-ID"/>
        </w:rPr>
        <w:t xml:space="preserve">000 contracts ranging in size </w:t>
      </w:r>
      <w:r w:rsidRPr="00F9260B">
        <w:rPr>
          <w:lang w:val="en-ID"/>
        </w:rPr>
        <w:t xml:space="preserve">from </w:t>
      </w:r>
      <w:r w:rsidRPr="00613E3D">
        <w:rPr>
          <w:lang w:val="en-ID"/>
        </w:rPr>
        <w:t xml:space="preserve">USD </w:t>
      </w:r>
      <w:r w:rsidR="00A0241E">
        <w:rPr>
          <w:lang w:val="en-ID"/>
        </w:rPr>
        <w:t>$</w:t>
      </w:r>
      <w:r w:rsidR="005C0EEB" w:rsidRPr="00613E3D">
        <w:rPr>
          <w:lang w:val="en-ID"/>
        </w:rPr>
        <w:t>14</w:t>
      </w:r>
      <w:r w:rsidR="00A0241E">
        <w:rPr>
          <w:lang w:val="en-ID"/>
        </w:rPr>
        <w:t xml:space="preserve"> </w:t>
      </w:r>
      <w:r w:rsidRPr="00F9260B">
        <w:rPr>
          <w:lang w:val="en-ID"/>
        </w:rPr>
        <w:t xml:space="preserve">to </w:t>
      </w:r>
      <w:r w:rsidR="00190921" w:rsidRPr="00613E3D">
        <w:rPr>
          <w:lang w:val="en-ID"/>
        </w:rPr>
        <w:t xml:space="preserve">USD </w:t>
      </w:r>
      <w:r w:rsidR="00A0241E">
        <w:rPr>
          <w:lang w:val="en-ID"/>
        </w:rPr>
        <w:t>$</w:t>
      </w:r>
      <w:r w:rsidR="005C0EEB" w:rsidRPr="00613E3D">
        <w:rPr>
          <w:lang w:val="en-ID"/>
        </w:rPr>
        <w:t>112,186</w:t>
      </w:r>
      <w:r>
        <w:rPr>
          <w:lang w:val="en-ID"/>
        </w:rPr>
        <w:t xml:space="preserve"> (Table </w:t>
      </w:r>
      <w:r w:rsidR="00F9260B">
        <w:rPr>
          <w:lang w:val="en-ID"/>
        </w:rPr>
        <w:t>1</w:t>
      </w:r>
      <w:r>
        <w:rPr>
          <w:lang w:val="en-ID"/>
        </w:rPr>
        <w:t>)</w:t>
      </w:r>
      <w:r w:rsidR="0050584E">
        <w:rPr>
          <w:lang w:val="en-ID"/>
        </w:rPr>
        <w:t>.</w:t>
      </w:r>
      <w:r w:rsidR="00D05FB3">
        <w:rPr>
          <w:lang w:val="en-ID"/>
        </w:rPr>
        <w:t xml:space="preserve"> </w:t>
      </w:r>
      <w:r w:rsidR="00F70998">
        <w:rPr>
          <w:lang w:val="en-ID"/>
        </w:rPr>
        <w:t xml:space="preserve">In the first quarter alone, over 160 purchase orders were finalised by the UNDP procurement team. </w:t>
      </w:r>
    </w:p>
    <w:p w14:paraId="3F092DB0" w14:textId="6DB1D095" w:rsidR="00677389" w:rsidRDefault="008745BF" w:rsidP="00197DDF">
      <w:pPr>
        <w:autoSpaceDE w:val="0"/>
        <w:autoSpaceDN w:val="0"/>
        <w:adjustRightInd w:val="0"/>
        <w:spacing w:after="0" w:line="23" w:lineRule="atLeast"/>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Table </w:t>
      </w:r>
      <w:r w:rsidR="00F9260B">
        <w:rPr>
          <w:rFonts w:asciiTheme="minorHAnsi" w:hAnsiTheme="minorHAnsi" w:cstheme="minorHAnsi"/>
          <w:bCs/>
          <w:color w:val="000000" w:themeColor="text1"/>
          <w:lang w:val="en-US"/>
        </w:rPr>
        <w:t>1</w:t>
      </w:r>
      <w:r w:rsidR="00A0241E">
        <w:rPr>
          <w:rFonts w:asciiTheme="minorHAnsi" w:hAnsiTheme="minorHAnsi" w:cstheme="minorHAnsi"/>
          <w:bCs/>
          <w:color w:val="000000" w:themeColor="text1"/>
          <w:lang w:val="en-US"/>
        </w:rPr>
        <w:t>.</w:t>
      </w:r>
      <w:r>
        <w:rPr>
          <w:rFonts w:asciiTheme="minorHAnsi" w:hAnsiTheme="minorHAnsi" w:cstheme="minorHAnsi"/>
          <w:bCs/>
          <w:color w:val="000000" w:themeColor="text1"/>
          <w:lang w:val="en-US"/>
        </w:rPr>
        <w:t xml:space="preserve"> Number of goods, recruitment and </w:t>
      </w:r>
      <w:r w:rsidR="00CC1D6E">
        <w:rPr>
          <w:rFonts w:asciiTheme="minorHAnsi" w:hAnsiTheme="minorHAnsi" w:cstheme="minorHAnsi"/>
          <w:bCs/>
          <w:color w:val="000000" w:themeColor="text1"/>
          <w:lang w:val="en-US"/>
        </w:rPr>
        <w:t xml:space="preserve">events/workshops </w:t>
      </w:r>
      <w:r>
        <w:rPr>
          <w:rFonts w:asciiTheme="minorHAnsi" w:hAnsiTheme="minorHAnsi" w:cstheme="minorHAnsi"/>
          <w:bCs/>
          <w:color w:val="000000" w:themeColor="text1"/>
          <w:lang w:val="en-US"/>
        </w:rPr>
        <w:t>contracted by UNDP for BRG</w:t>
      </w:r>
      <w:r w:rsidR="0050584E">
        <w:rPr>
          <w:rFonts w:asciiTheme="minorHAnsi" w:hAnsiTheme="minorHAnsi" w:cstheme="minorHAnsi"/>
          <w:bCs/>
          <w:color w:val="000000" w:themeColor="text1"/>
          <w:lang w:val="en-US"/>
        </w:rPr>
        <w:t xml:space="preserve"> 2016 to 2018</w:t>
      </w:r>
    </w:p>
    <w:p w14:paraId="5E2A8A62" w14:textId="77777777" w:rsidR="0050584E" w:rsidRDefault="0050584E" w:rsidP="00197DDF">
      <w:pPr>
        <w:autoSpaceDE w:val="0"/>
        <w:autoSpaceDN w:val="0"/>
        <w:adjustRightInd w:val="0"/>
        <w:spacing w:after="0" w:line="23" w:lineRule="atLeast"/>
        <w:rPr>
          <w:rFonts w:asciiTheme="minorHAnsi" w:hAnsiTheme="minorHAnsi" w:cstheme="minorHAnsi"/>
          <w:bCs/>
          <w:color w:val="000000" w:themeColor="text1"/>
          <w:lang w:val="en-US"/>
        </w:rPr>
      </w:pPr>
    </w:p>
    <w:tbl>
      <w:tblPr>
        <w:tblStyle w:val="TableGrid"/>
        <w:tblW w:w="0" w:type="auto"/>
        <w:tblLook w:val="04A0" w:firstRow="1" w:lastRow="0" w:firstColumn="1" w:lastColumn="0" w:noHBand="0" w:noVBand="1"/>
      </w:tblPr>
      <w:tblGrid>
        <w:gridCol w:w="5306"/>
        <w:gridCol w:w="3006"/>
      </w:tblGrid>
      <w:tr w:rsidR="008745BF" w14:paraId="4C4F7AC7" w14:textId="77777777" w:rsidTr="008745BF">
        <w:tc>
          <w:tcPr>
            <w:tcW w:w="5306" w:type="dxa"/>
          </w:tcPr>
          <w:p w14:paraId="210BBC74" w14:textId="6A6B330A" w:rsidR="008745BF" w:rsidRPr="002763ED" w:rsidRDefault="00A0241E" w:rsidP="00197DDF">
            <w:pPr>
              <w:autoSpaceDE w:val="0"/>
              <w:autoSpaceDN w:val="0"/>
              <w:adjustRightInd w:val="0"/>
              <w:spacing w:after="0" w:line="23" w:lineRule="atLeast"/>
              <w:rPr>
                <w:rFonts w:asciiTheme="minorHAnsi" w:hAnsiTheme="minorHAnsi" w:cstheme="minorHAnsi"/>
                <w:b/>
                <w:bCs/>
                <w:color w:val="000000" w:themeColor="text1"/>
                <w:lang w:val="en-US"/>
              </w:rPr>
            </w:pPr>
            <w:r w:rsidRPr="002763ED">
              <w:rPr>
                <w:rFonts w:asciiTheme="minorHAnsi" w:hAnsiTheme="minorHAnsi" w:cstheme="minorHAnsi"/>
                <w:b/>
                <w:bCs/>
                <w:color w:val="000000" w:themeColor="text1"/>
                <w:lang w:val="en-US"/>
              </w:rPr>
              <w:lastRenderedPageBreak/>
              <w:t>Type</w:t>
            </w:r>
          </w:p>
        </w:tc>
        <w:tc>
          <w:tcPr>
            <w:tcW w:w="3006" w:type="dxa"/>
          </w:tcPr>
          <w:p w14:paraId="5A49625D" w14:textId="77777777" w:rsidR="008745BF" w:rsidRPr="002763ED" w:rsidRDefault="008745BF" w:rsidP="00197DDF">
            <w:pPr>
              <w:autoSpaceDE w:val="0"/>
              <w:autoSpaceDN w:val="0"/>
              <w:adjustRightInd w:val="0"/>
              <w:spacing w:after="0" w:line="23" w:lineRule="atLeast"/>
              <w:rPr>
                <w:rFonts w:asciiTheme="minorHAnsi" w:hAnsiTheme="minorHAnsi" w:cstheme="minorHAnsi"/>
                <w:b/>
                <w:bCs/>
                <w:color w:val="000000" w:themeColor="text1"/>
                <w:lang w:val="en-US"/>
              </w:rPr>
            </w:pPr>
            <w:r w:rsidRPr="002763ED">
              <w:rPr>
                <w:rFonts w:asciiTheme="minorHAnsi" w:hAnsiTheme="minorHAnsi" w:cstheme="minorHAnsi"/>
                <w:b/>
                <w:bCs/>
                <w:color w:val="000000" w:themeColor="text1"/>
                <w:lang w:val="en-US"/>
              </w:rPr>
              <w:t>Number</w:t>
            </w:r>
          </w:p>
        </w:tc>
      </w:tr>
      <w:tr w:rsidR="008745BF" w14:paraId="718BFC61" w14:textId="77777777" w:rsidTr="008745BF">
        <w:tc>
          <w:tcPr>
            <w:tcW w:w="5306" w:type="dxa"/>
          </w:tcPr>
          <w:p w14:paraId="2025FAD6" w14:textId="77777777" w:rsidR="008745BF" w:rsidRDefault="008745BF" w:rsidP="00197DDF">
            <w:pPr>
              <w:autoSpaceDE w:val="0"/>
              <w:autoSpaceDN w:val="0"/>
              <w:adjustRightInd w:val="0"/>
              <w:spacing w:after="0" w:line="23" w:lineRule="atLeast"/>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Goods</w:t>
            </w:r>
          </w:p>
        </w:tc>
        <w:tc>
          <w:tcPr>
            <w:tcW w:w="3006" w:type="dxa"/>
          </w:tcPr>
          <w:p w14:paraId="6C14B5B6" w14:textId="77777777" w:rsidR="008745BF" w:rsidRDefault="008745BF" w:rsidP="00197DDF">
            <w:pPr>
              <w:autoSpaceDE w:val="0"/>
              <w:autoSpaceDN w:val="0"/>
              <w:adjustRightInd w:val="0"/>
              <w:spacing w:after="0" w:line="23" w:lineRule="atLeast"/>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740</w:t>
            </w:r>
          </w:p>
        </w:tc>
      </w:tr>
      <w:tr w:rsidR="008745BF" w14:paraId="60FAFC5C" w14:textId="77777777" w:rsidTr="008745BF">
        <w:tc>
          <w:tcPr>
            <w:tcW w:w="5306" w:type="dxa"/>
          </w:tcPr>
          <w:p w14:paraId="225DF96B" w14:textId="77777777" w:rsidR="008745BF" w:rsidRDefault="008745BF" w:rsidP="00197DDF">
            <w:pPr>
              <w:autoSpaceDE w:val="0"/>
              <w:autoSpaceDN w:val="0"/>
              <w:adjustRightInd w:val="0"/>
              <w:spacing w:after="0" w:line="23" w:lineRule="atLeast"/>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Recruitment </w:t>
            </w:r>
          </w:p>
        </w:tc>
        <w:tc>
          <w:tcPr>
            <w:tcW w:w="3006" w:type="dxa"/>
          </w:tcPr>
          <w:p w14:paraId="0A36522B" w14:textId="77777777" w:rsidR="008745BF" w:rsidRDefault="008745BF" w:rsidP="00197DDF">
            <w:pPr>
              <w:autoSpaceDE w:val="0"/>
              <w:autoSpaceDN w:val="0"/>
              <w:adjustRightInd w:val="0"/>
              <w:spacing w:after="0" w:line="23" w:lineRule="atLeast"/>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184</w:t>
            </w:r>
          </w:p>
        </w:tc>
      </w:tr>
      <w:tr w:rsidR="008745BF" w14:paraId="4B3DE2FA" w14:textId="77777777" w:rsidTr="008745BF">
        <w:tc>
          <w:tcPr>
            <w:tcW w:w="5306" w:type="dxa"/>
          </w:tcPr>
          <w:p w14:paraId="17B02CDE" w14:textId="5984140A" w:rsidR="008745BF" w:rsidRDefault="000669FD" w:rsidP="00197DDF">
            <w:pPr>
              <w:autoSpaceDE w:val="0"/>
              <w:autoSpaceDN w:val="0"/>
              <w:adjustRightInd w:val="0"/>
              <w:spacing w:after="0" w:line="23" w:lineRule="atLeast"/>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Events</w:t>
            </w:r>
            <w:r w:rsidR="00DB584B">
              <w:rPr>
                <w:rFonts w:asciiTheme="minorHAnsi" w:hAnsiTheme="minorHAnsi" w:cstheme="minorHAnsi"/>
                <w:bCs/>
                <w:color w:val="000000" w:themeColor="text1"/>
                <w:lang w:val="en-US"/>
              </w:rPr>
              <w:t>/Workshops</w:t>
            </w:r>
          </w:p>
        </w:tc>
        <w:tc>
          <w:tcPr>
            <w:tcW w:w="3006" w:type="dxa"/>
          </w:tcPr>
          <w:p w14:paraId="5CB5F326" w14:textId="7AF771F9" w:rsidR="008745BF" w:rsidRDefault="00C14654" w:rsidP="00197DDF">
            <w:pPr>
              <w:autoSpaceDE w:val="0"/>
              <w:autoSpaceDN w:val="0"/>
              <w:adjustRightInd w:val="0"/>
              <w:spacing w:after="0" w:line="23" w:lineRule="atLeast"/>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315</w:t>
            </w:r>
          </w:p>
        </w:tc>
      </w:tr>
    </w:tbl>
    <w:p w14:paraId="2039796C" w14:textId="77777777" w:rsidR="008745BF" w:rsidRDefault="008745BF" w:rsidP="00197DDF">
      <w:pPr>
        <w:autoSpaceDE w:val="0"/>
        <w:autoSpaceDN w:val="0"/>
        <w:adjustRightInd w:val="0"/>
        <w:spacing w:after="0" w:line="23" w:lineRule="atLeast"/>
        <w:rPr>
          <w:rFonts w:asciiTheme="minorHAnsi" w:hAnsiTheme="minorHAnsi" w:cstheme="minorHAnsi"/>
          <w:bCs/>
          <w:color w:val="000000" w:themeColor="text1"/>
          <w:lang w:val="en-US"/>
        </w:rPr>
      </w:pPr>
    </w:p>
    <w:p w14:paraId="7B903792" w14:textId="48E6D764" w:rsidR="00F70998" w:rsidRDefault="00F70998" w:rsidP="00197DDF">
      <w:pPr>
        <w:autoSpaceDE w:val="0"/>
        <w:autoSpaceDN w:val="0"/>
        <w:adjustRightInd w:val="0"/>
        <w:spacing w:after="0" w:line="23" w:lineRule="atLeast"/>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UNDP used its </w:t>
      </w:r>
      <w:r w:rsidR="00992F2D">
        <w:rPr>
          <w:rFonts w:asciiTheme="minorHAnsi" w:hAnsiTheme="minorHAnsi" w:cstheme="minorHAnsi"/>
          <w:bCs/>
          <w:color w:val="000000" w:themeColor="text1"/>
          <w:lang w:val="en-US"/>
        </w:rPr>
        <w:t>fast-</w:t>
      </w:r>
      <w:r>
        <w:rPr>
          <w:rFonts w:asciiTheme="minorHAnsi" w:hAnsiTheme="minorHAnsi" w:cstheme="minorHAnsi"/>
          <w:bCs/>
          <w:color w:val="000000" w:themeColor="text1"/>
          <w:lang w:val="en-US"/>
        </w:rPr>
        <w:t xml:space="preserve">tracking procedures in 2016 and 2017 to ensure a timely response to BRG requests. </w:t>
      </w:r>
      <w:r w:rsidR="00992F2D">
        <w:rPr>
          <w:rFonts w:asciiTheme="minorHAnsi" w:hAnsiTheme="minorHAnsi" w:cstheme="minorHAnsi"/>
          <w:bCs/>
          <w:color w:val="000000" w:themeColor="text1"/>
          <w:lang w:val="en-US"/>
        </w:rPr>
        <w:t>F</w:t>
      </w:r>
      <w:r>
        <w:rPr>
          <w:rFonts w:asciiTheme="minorHAnsi" w:hAnsiTheme="minorHAnsi" w:cstheme="minorHAnsi"/>
          <w:bCs/>
          <w:color w:val="000000" w:themeColor="text1"/>
          <w:lang w:val="en-US"/>
        </w:rPr>
        <w:t>or example</w:t>
      </w:r>
      <w:r w:rsidR="00992F2D">
        <w:rPr>
          <w:rFonts w:asciiTheme="minorHAnsi" w:hAnsiTheme="minorHAnsi" w:cstheme="minorHAnsi"/>
          <w:bCs/>
          <w:color w:val="000000" w:themeColor="text1"/>
          <w:lang w:val="en-US"/>
        </w:rPr>
        <w:t>, this meant</w:t>
      </w:r>
      <w:r>
        <w:rPr>
          <w:rFonts w:asciiTheme="minorHAnsi" w:hAnsiTheme="minorHAnsi" w:cstheme="minorHAnsi"/>
          <w:bCs/>
          <w:color w:val="000000" w:themeColor="text1"/>
          <w:lang w:val="en-US"/>
        </w:rPr>
        <w:t xml:space="preserve"> the RFP advertising period was reduced from 2-3 weeks</w:t>
      </w:r>
      <w:r w:rsidR="00992F2D">
        <w:rPr>
          <w:rFonts w:asciiTheme="minorHAnsi" w:hAnsiTheme="minorHAnsi" w:cstheme="minorHAnsi"/>
          <w:bCs/>
          <w:color w:val="000000" w:themeColor="text1"/>
          <w:lang w:val="en-US"/>
        </w:rPr>
        <w:t xml:space="preserve"> down</w:t>
      </w:r>
      <w:r>
        <w:rPr>
          <w:rFonts w:asciiTheme="minorHAnsi" w:hAnsiTheme="minorHAnsi" w:cstheme="minorHAnsi"/>
          <w:bCs/>
          <w:color w:val="000000" w:themeColor="text1"/>
          <w:lang w:val="en-US"/>
        </w:rPr>
        <w:t xml:space="preserve"> to </w:t>
      </w:r>
      <w:r w:rsidR="00992F2D">
        <w:rPr>
          <w:rFonts w:asciiTheme="minorHAnsi" w:hAnsiTheme="minorHAnsi" w:cstheme="minorHAnsi"/>
          <w:bCs/>
          <w:color w:val="000000" w:themeColor="text1"/>
          <w:lang w:val="en-US"/>
        </w:rPr>
        <w:t xml:space="preserve">one </w:t>
      </w:r>
      <w:r>
        <w:rPr>
          <w:rFonts w:asciiTheme="minorHAnsi" w:hAnsiTheme="minorHAnsi" w:cstheme="minorHAnsi"/>
          <w:bCs/>
          <w:color w:val="000000" w:themeColor="text1"/>
          <w:lang w:val="en-US"/>
        </w:rPr>
        <w:t>week.</w:t>
      </w:r>
      <w:r w:rsidR="00D05FB3">
        <w:rPr>
          <w:rFonts w:asciiTheme="minorHAnsi" w:hAnsiTheme="minorHAnsi" w:cstheme="minorHAnsi"/>
          <w:bCs/>
          <w:color w:val="000000" w:themeColor="text1"/>
          <w:lang w:val="en-US"/>
        </w:rPr>
        <w:t xml:space="preserve"> </w:t>
      </w:r>
      <w:r>
        <w:rPr>
          <w:rFonts w:asciiTheme="minorHAnsi" w:hAnsiTheme="minorHAnsi" w:cstheme="minorHAnsi"/>
          <w:bCs/>
          <w:color w:val="000000" w:themeColor="text1"/>
          <w:lang w:val="en-US"/>
        </w:rPr>
        <w:t xml:space="preserve">The country office had delegation </w:t>
      </w:r>
      <w:r w:rsidR="00A47B96">
        <w:rPr>
          <w:rFonts w:asciiTheme="minorHAnsi" w:hAnsiTheme="minorHAnsi" w:cstheme="minorHAnsi"/>
          <w:bCs/>
          <w:color w:val="000000" w:themeColor="text1"/>
          <w:lang w:val="en-US"/>
        </w:rPr>
        <w:t>procurement authority</w:t>
      </w:r>
      <w:r w:rsidR="00F9260B">
        <w:rPr>
          <w:rFonts w:asciiTheme="minorHAnsi" w:hAnsiTheme="minorHAnsi" w:cstheme="minorHAnsi"/>
          <w:bCs/>
          <w:color w:val="000000" w:themeColor="text1"/>
          <w:lang w:val="en-US"/>
        </w:rPr>
        <w:t xml:space="preserve"> </w:t>
      </w:r>
      <w:r>
        <w:rPr>
          <w:rFonts w:asciiTheme="minorHAnsi" w:hAnsiTheme="minorHAnsi" w:cstheme="minorHAnsi"/>
          <w:bCs/>
          <w:color w:val="000000" w:themeColor="text1"/>
          <w:lang w:val="en-US"/>
        </w:rPr>
        <w:t>to approve up to USD</w:t>
      </w:r>
      <w:r w:rsidR="00A0241E">
        <w:rPr>
          <w:rFonts w:asciiTheme="minorHAnsi" w:hAnsiTheme="minorHAnsi" w:cstheme="minorHAnsi"/>
          <w:bCs/>
          <w:color w:val="000000" w:themeColor="text1"/>
          <w:lang w:val="en-US"/>
        </w:rPr>
        <w:t xml:space="preserve"> $</w:t>
      </w:r>
      <w:r>
        <w:rPr>
          <w:rFonts w:asciiTheme="minorHAnsi" w:hAnsiTheme="minorHAnsi" w:cstheme="minorHAnsi"/>
          <w:bCs/>
          <w:color w:val="000000" w:themeColor="text1"/>
          <w:lang w:val="en-US"/>
        </w:rPr>
        <w:t>500</w:t>
      </w:r>
      <w:r w:rsidR="00A0241E">
        <w:rPr>
          <w:rFonts w:asciiTheme="minorHAnsi" w:hAnsiTheme="minorHAnsi" w:cstheme="minorHAnsi"/>
          <w:bCs/>
          <w:color w:val="000000" w:themeColor="text1"/>
          <w:lang w:val="en-US"/>
        </w:rPr>
        <w:t>,000</w:t>
      </w:r>
      <w:r>
        <w:rPr>
          <w:rFonts w:asciiTheme="minorHAnsi" w:hAnsiTheme="minorHAnsi" w:cstheme="minorHAnsi"/>
          <w:bCs/>
          <w:color w:val="000000" w:themeColor="text1"/>
          <w:lang w:val="en-US"/>
        </w:rPr>
        <w:t xml:space="preserve"> in the first year, USD </w:t>
      </w:r>
      <w:r w:rsidR="00A0241E">
        <w:rPr>
          <w:rFonts w:asciiTheme="minorHAnsi" w:hAnsiTheme="minorHAnsi" w:cstheme="minorHAnsi"/>
          <w:bCs/>
          <w:color w:val="000000" w:themeColor="text1"/>
          <w:lang w:val="en-US"/>
        </w:rPr>
        <w:t>$</w:t>
      </w:r>
      <w:r>
        <w:rPr>
          <w:rFonts w:asciiTheme="minorHAnsi" w:hAnsiTheme="minorHAnsi" w:cstheme="minorHAnsi"/>
          <w:bCs/>
          <w:color w:val="000000" w:themeColor="text1"/>
          <w:lang w:val="en-US"/>
        </w:rPr>
        <w:t>300</w:t>
      </w:r>
      <w:r w:rsidR="00A0241E">
        <w:rPr>
          <w:rFonts w:asciiTheme="minorHAnsi" w:hAnsiTheme="minorHAnsi" w:cstheme="minorHAnsi"/>
          <w:bCs/>
          <w:color w:val="000000" w:themeColor="text1"/>
          <w:lang w:val="en-US"/>
        </w:rPr>
        <w:t>,000</w:t>
      </w:r>
      <w:r>
        <w:rPr>
          <w:rFonts w:asciiTheme="minorHAnsi" w:hAnsiTheme="minorHAnsi" w:cstheme="minorHAnsi"/>
          <w:bCs/>
          <w:color w:val="000000" w:themeColor="text1"/>
          <w:lang w:val="en-US"/>
        </w:rPr>
        <w:t xml:space="preserve"> in the second year before returning to USD</w:t>
      </w:r>
      <w:r w:rsidR="00A0241E">
        <w:rPr>
          <w:rFonts w:asciiTheme="minorHAnsi" w:hAnsiTheme="minorHAnsi" w:cstheme="minorHAnsi"/>
          <w:bCs/>
          <w:color w:val="000000" w:themeColor="text1"/>
          <w:lang w:val="en-US"/>
        </w:rPr>
        <w:t xml:space="preserve"> $</w:t>
      </w:r>
      <w:r>
        <w:rPr>
          <w:rFonts w:asciiTheme="minorHAnsi" w:hAnsiTheme="minorHAnsi" w:cstheme="minorHAnsi"/>
          <w:bCs/>
          <w:color w:val="000000" w:themeColor="text1"/>
          <w:lang w:val="en-US"/>
        </w:rPr>
        <w:t>150</w:t>
      </w:r>
      <w:r w:rsidR="00A0241E">
        <w:rPr>
          <w:rFonts w:asciiTheme="minorHAnsi" w:hAnsiTheme="minorHAnsi" w:cstheme="minorHAnsi"/>
          <w:bCs/>
          <w:color w:val="000000" w:themeColor="text1"/>
          <w:lang w:val="en-US"/>
        </w:rPr>
        <w:t>,000</w:t>
      </w:r>
      <w:r>
        <w:rPr>
          <w:rFonts w:asciiTheme="minorHAnsi" w:hAnsiTheme="minorHAnsi" w:cstheme="minorHAnsi"/>
          <w:bCs/>
          <w:color w:val="000000" w:themeColor="text1"/>
          <w:lang w:val="en-US"/>
        </w:rPr>
        <w:t xml:space="preserve"> in 2018.</w:t>
      </w:r>
      <w:r w:rsidR="00D05FB3">
        <w:rPr>
          <w:rFonts w:asciiTheme="minorHAnsi" w:hAnsiTheme="minorHAnsi" w:cstheme="minorHAnsi"/>
          <w:bCs/>
          <w:color w:val="000000" w:themeColor="text1"/>
          <w:lang w:val="en-US"/>
        </w:rPr>
        <w:t xml:space="preserve"> </w:t>
      </w:r>
    </w:p>
    <w:p w14:paraId="2C6B5794" w14:textId="2D0BA108" w:rsidR="00E924D2" w:rsidRDefault="00E924D2" w:rsidP="00197DDF">
      <w:pPr>
        <w:autoSpaceDE w:val="0"/>
        <w:autoSpaceDN w:val="0"/>
        <w:adjustRightInd w:val="0"/>
        <w:spacing w:after="0" w:line="23" w:lineRule="atLeast"/>
        <w:rPr>
          <w:rFonts w:asciiTheme="minorHAnsi" w:hAnsiTheme="minorHAnsi" w:cstheme="minorHAnsi"/>
          <w:bCs/>
          <w:color w:val="000000" w:themeColor="text1"/>
          <w:lang w:val="en-US"/>
        </w:rPr>
      </w:pPr>
    </w:p>
    <w:p w14:paraId="265AB22C" w14:textId="1DC712BD" w:rsidR="00F70998" w:rsidRPr="00E924D2" w:rsidRDefault="00E924D2" w:rsidP="00842AD9">
      <w:pPr>
        <w:pStyle w:val="Heading3"/>
        <w:rPr>
          <w:lang w:val="en-US"/>
        </w:rPr>
      </w:pPr>
      <w:bookmarkStart w:id="15" w:name="_Toc528998433"/>
      <w:r w:rsidRPr="00E924D2">
        <w:rPr>
          <w:lang w:val="en-US"/>
        </w:rPr>
        <w:t>Recruitment</w:t>
      </w:r>
      <w:bookmarkEnd w:id="15"/>
    </w:p>
    <w:p w14:paraId="79268C50" w14:textId="54A66DE1" w:rsidR="00E924D2" w:rsidRDefault="00E924D2" w:rsidP="00197DDF">
      <w:pPr>
        <w:autoSpaceDE w:val="0"/>
        <w:autoSpaceDN w:val="0"/>
        <w:adjustRightInd w:val="0"/>
        <w:spacing w:after="0" w:line="23" w:lineRule="atLeast"/>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UNDP recruited </w:t>
      </w:r>
      <w:r w:rsidR="004503CC">
        <w:rPr>
          <w:rFonts w:asciiTheme="minorHAnsi" w:hAnsiTheme="minorHAnsi" w:cstheme="minorHAnsi"/>
          <w:bCs/>
          <w:color w:val="000000" w:themeColor="text1"/>
          <w:lang w:val="en-US"/>
        </w:rPr>
        <w:t>about 30</w:t>
      </w:r>
      <w:r>
        <w:rPr>
          <w:rFonts w:asciiTheme="minorHAnsi" w:hAnsiTheme="minorHAnsi" w:cstheme="minorHAnsi"/>
          <w:bCs/>
          <w:color w:val="000000" w:themeColor="text1"/>
          <w:lang w:val="en-US"/>
        </w:rPr>
        <w:t xml:space="preserve"> staff</w:t>
      </w:r>
      <w:r w:rsidR="00A0241E">
        <w:rPr>
          <w:rFonts w:asciiTheme="minorHAnsi" w:hAnsiTheme="minorHAnsi" w:cstheme="minorHAnsi"/>
          <w:bCs/>
          <w:color w:val="000000" w:themeColor="text1"/>
          <w:lang w:val="en-US"/>
        </w:rPr>
        <w:t xml:space="preserve"> members</w:t>
      </w:r>
      <w:r>
        <w:rPr>
          <w:rFonts w:asciiTheme="minorHAnsi" w:hAnsiTheme="minorHAnsi" w:cstheme="minorHAnsi"/>
          <w:bCs/>
          <w:color w:val="000000" w:themeColor="text1"/>
          <w:lang w:val="en-US"/>
        </w:rPr>
        <w:t xml:space="preserve"> to support </w:t>
      </w:r>
      <w:r w:rsidR="005F63DA">
        <w:rPr>
          <w:rFonts w:asciiTheme="minorHAnsi" w:hAnsiTheme="minorHAnsi" w:cstheme="minorHAnsi"/>
          <w:bCs/>
          <w:color w:val="000000" w:themeColor="text1"/>
          <w:lang w:val="en-US"/>
        </w:rPr>
        <w:t>project implementation</w:t>
      </w:r>
      <w:r>
        <w:rPr>
          <w:rFonts w:asciiTheme="minorHAnsi" w:hAnsiTheme="minorHAnsi" w:cstheme="minorHAnsi"/>
          <w:bCs/>
          <w:color w:val="000000" w:themeColor="text1"/>
          <w:lang w:val="en-US"/>
        </w:rPr>
        <w:t>. These</w:t>
      </w:r>
      <w:r w:rsidR="00992F2D">
        <w:rPr>
          <w:rFonts w:asciiTheme="minorHAnsi" w:hAnsiTheme="minorHAnsi" w:cstheme="minorHAnsi"/>
          <w:bCs/>
          <w:color w:val="000000" w:themeColor="text1"/>
          <w:lang w:val="en-US"/>
        </w:rPr>
        <w:t xml:space="preserve"> staff members</w:t>
      </w:r>
      <w:r>
        <w:rPr>
          <w:rFonts w:asciiTheme="minorHAnsi" w:hAnsiTheme="minorHAnsi" w:cstheme="minorHAnsi"/>
          <w:bCs/>
          <w:color w:val="000000" w:themeColor="text1"/>
          <w:lang w:val="en-US"/>
        </w:rPr>
        <w:t xml:space="preserve"> ranged in skills and competency from SC1 to SC 9 depending on the Project’s requirements. </w:t>
      </w:r>
    </w:p>
    <w:p w14:paraId="43EE8D07" w14:textId="66B0C3F6" w:rsidR="00677389" w:rsidRPr="006E2136" w:rsidRDefault="00F70998" w:rsidP="00197DDF">
      <w:pPr>
        <w:autoSpaceDE w:val="0"/>
        <w:autoSpaceDN w:val="0"/>
        <w:adjustRightInd w:val="0"/>
        <w:spacing w:after="0" w:line="23" w:lineRule="atLeast"/>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 </w:t>
      </w:r>
    </w:p>
    <w:p w14:paraId="31A510D9" w14:textId="043F96F2" w:rsidR="00197DDF" w:rsidRDefault="00197DDF" w:rsidP="00291938">
      <w:pPr>
        <w:pStyle w:val="Heading2"/>
        <w:rPr>
          <w:lang w:val="en-US"/>
        </w:rPr>
      </w:pPr>
      <w:bookmarkStart w:id="16" w:name="_Toc528998434"/>
      <w:r w:rsidRPr="0061157C">
        <w:rPr>
          <w:lang w:val="en-US"/>
        </w:rPr>
        <w:t xml:space="preserve">Findings </w:t>
      </w:r>
      <w:r w:rsidR="00BC0A2E">
        <w:rPr>
          <w:lang w:val="en-US"/>
        </w:rPr>
        <w:t>a</w:t>
      </w:r>
      <w:r w:rsidRPr="0061157C">
        <w:rPr>
          <w:lang w:val="en-US"/>
        </w:rPr>
        <w:t xml:space="preserve">nd </w:t>
      </w:r>
      <w:r w:rsidR="00291938">
        <w:rPr>
          <w:lang w:val="en-US"/>
        </w:rPr>
        <w:t>C</w:t>
      </w:r>
      <w:r w:rsidRPr="0061157C">
        <w:rPr>
          <w:lang w:val="en-US"/>
        </w:rPr>
        <w:t>onclusions</w:t>
      </w:r>
      <w:bookmarkEnd w:id="16"/>
    </w:p>
    <w:p w14:paraId="24841D5D" w14:textId="77777777" w:rsidR="00677389" w:rsidRDefault="00677389" w:rsidP="00197DDF">
      <w:pPr>
        <w:autoSpaceDE w:val="0"/>
        <w:autoSpaceDN w:val="0"/>
        <w:adjustRightInd w:val="0"/>
        <w:spacing w:after="0" w:line="23" w:lineRule="atLeast"/>
        <w:rPr>
          <w:rFonts w:cs="Calibri,Bold"/>
          <w:bCs/>
          <w:color w:val="000000" w:themeColor="text1"/>
          <w:lang w:val="en-US"/>
        </w:rPr>
      </w:pPr>
    </w:p>
    <w:p w14:paraId="7B674C07" w14:textId="77777777" w:rsidR="00677389" w:rsidRPr="00677389" w:rsidRDefault="00677389" w:rsidP="00842AD9">
      <w:pPr>
        <w:pStyle w:val="Heading3"/>
        <w:rPr>
          <w:lang w:val="en-US"/>
        </w:rPr>
      </w:pPr>
      <w:bookmarkStart w:id="17" w:name="_Toc528998435"/>
      <w:r w:rsidRPr="00677389">
        <w:rPr>
          <w:lang w:val="en-US"/>
        </w:rPr>
        <w:t>Relevance</w:t>
      </w:r>
      <w:bookmarkEnd w:id="17"/>
    </w:p>
    <w:p w14:paraId="44DCA12D" w14:textId="77777777" w:rsidR="00677389" w:rsidRDefault="00677389" w:rsidP="00842AD9">
      <w:pPr>
        <w:pStyle w:val="Heading3"/>
        <w:rPr>
          <w:lang w:val="en-US"/>
        </w:rPr>
      </w:pPr>
    </w:p>
    <w:p w14:paraId="6F69069F" w14:textId="6D7DCB62" w:rsidR="00677389" w:rsidRDefault="00677389" w:rsidP="00D223C9">
      <w:pPr>
        <w:autoSpaceDE w:val="0"/>
        <w:autoSpaceDN w:val="0"/>
        <w:adjustRightInd w:val="0"/>
        <w:spacing w:after="0" w:line="23" w:lineRule="atLeast"/>
        <w:rPr>
          <w:rFonts w:cs="Calibri,Bold"/>
          <w:bCs/>
          <w:color w:val="000000" w:themeColor="text1"/>
          <w:lang w:val="en-ID"/>
        </w:rPr>
      </w:pPr>
      <w:r>
        <w:rPr>
          <w:rFonts w:cs="Arial"/>
          <w:bCs/>
          <w:lang w:val="en-ID"/>
        </w:rPr>
        <w:t xml:space="preserve">The Project </w:t>
      </w:r>
      <w:r w:rsidR="0050584E">
        <w:rPr>
          <w:rFonts w:cs="Arial"/>
          <w:bCs/>
          <w:lang w:val="en-ID"/>
        </w:rPr>
        <w:t>was</w:t>
      </w:r>
      <w:r>
        <w:rPr>
          <w:rFonts w:cs="Arial"/>
          <w:bCs/>
          <w:lang w:val="en-ID"/>
        </w:rPr>
        <w:t xml:space="preserve"> </w:t>
      </w:r>
      <w:r w:rsidR="00ED2BF2">
        <w:rPr>
          <w:rFonts w:cs="Arial"/>
          <w:bCs/>
          <w:lang w:val="en-ID"/>
        </w:rPr>
        <w:t xml:space="preserve">highly </w:t>
      </w:r>
      <w:r>
        <w:rPr>
          <w:rFonts w:cs="Arial"/>
          <w:bCs/>
          <w:lang w:val="en-ID"/>
        </w:rPr>
        <w:t xml:space="preserve">relevant </w:t>
      </w:r>
      <w:r w:rsidR="00A0241E">
        <w:rPr>
          <w:rFonts w:cs="Arial"/>
          <w:bCs/>
          <w:lang w:val="en-ID"/>
        </w:rPr>
        <w:t xml:space="preserve">in </w:t>
      </w:r>
      <w:r>
        <w:rPr>
          <w:rFonts w:cs="Arial"/>
          <w:bCs/>
          <w:lang w:val="en-ID"/>
        </w:rPr>
        <w:t>support</w:t>
      </w:r>
      <w:r w:rsidR="00A0241E">
        <w:rPr>
          <w:rFonts w:cs="Arial"/>
          <w:bCs/>
          <w:lang w:val="en-ID"/>
        </w:rPr>
        <w:t>ing</w:t>
      </w:r>
      <w:r>
        <w:rPr>
          <w:rFonts w:cs="Arial"/>
          <w:bCs/>
          <w:lang w:val="en-ID"/>
        </w:rPr>
        <w:t xml:space="preserve"> BRG and </w:t>
      </w:r>
      <w:r w:rsidR="0050584E">
        <w:rPr>
          <w:rFonts w:cs="Arial"/>
          <w:bCs/>
          <w:lang w:val="en-ID"/>
        </w:rPr>
        <w:t>was</w:t>
      </w:r>
      <w:r>
        <w:rPr>
          <w:rFonts w:cs="Arial"/>
          <w:bCs/>
          <w:lang w:val="en-ID"/>
        </w:rPr>
        <w:t xml:space="preserve"> </w:t>
      </w:r>
      <w:r w:rsidR="00A0241E">
        <w:rPr>
          <w:rFonts w:cs="Arial"/>
          <w:bCs/>
          <w:lang w:val="en-ID"/>
        </w:rPr>
        <w:t>pivotal to</w:t>
      </w:r>
      <w:r>
        <w:rPr>
          <w:rFonts w:cs="Arial"/>
          <w:bCs/>
          <w:lang w:val="en-ID"/>
        </w:rPr>
        <w:t xml:space="preserve"> the implementation of t</w:t>
      </w:r>
      <w:r w:rsidRPr="0082380D">
        <w:rPr>
          <w:rFonts w:cs="Arial"/>
          <w:bCs/>
        </w:rPr>
        <w:t>he Presidential Regulation on the Establishment of BRG (No 1/2016)</w:t>
      </w:r>
      <w:r>
        <w:rPr>
          <w:rFonts w:cs="Arial"/>
          <w:bCs/>
          <w:lang w:val="en-ID"/>
        </w:rPr>
        <w:t xml:space="preserve">. </w:t>
      </w:r>
      <w:r w:rsidR="00735A6D">
        <w:rPr>
          <w:rFonts w:cs="Arial"/>
          <w:bCs/>
          <w:lang w:val="en-ID"/>
        </w:rPr>
        <w:t xml:space="preserve">The </w:t>
      </w:r>
      <w:r w:rsidR="00A0241E">
        <w:rPr>
          <w:rFonts w:cs="Arial"/>
          <w:bCs/>
          <w:lang w:val="en-ID"/>
        </w:rPr>
        <w:t>p</w:t>
      </w:r>
      <w:r w:rsidR="00735A6D">
        <w:rPr>
          <w:rFonts w:cs="Arial"/>
          <w:bCs/>
          <w:lang w:val="en-ID"/>
        </w:rPr>
        <w:t xml:space="preserve">roject enabled BRG </w:t>
      </w:r>
      <w:r w:rsidR="00A0241E">
        <w:rPr>
          <w:rFonts w:cs="Arial"/>
          <w:bCs/>
          <w:lang w:val="en-ID"/>
        </w:rPr>
        <w:t xml:space="preserve">to </w:t>
      </w:r>
      <w:r w:rsidR="002225A5">
        <w:rPr>
          <w:rFonts w:cs="Arial"/>
          <w:bCs/>
          <w:lang w:val="en-ID"/>
        </w:rPr>
        <w:t xml:space="preserve">quickly establish and </w:t>
      </w:r>
      <w:r w:rsidR="00735A6D">
        <w:rPr>
          <w:rFonts w:cs="Arial"/>
          <w:bCs/>
          <w:lang w:val="en-ID"/>
        </w:rPr>
        <w:t xml:space="preserve">implement its </w:t>
      </w:r>
      <w:r w:rsidR="00322ED5">
        <w:rPr>
          <w:rFonts w:cs="Arial"/>
          <w:bCs/>
          <w:lang w:val="en-ID"/>
        </w:rPr>
        <w:t xml:space="preserve">program in line with the regulation and the Renstra (action plan) developed by BRG. </w:t>
      </w:r>
    </w:p>
    <w:p w14:paraId="299D051A" w14:textId="77777777" w:rsidR="00D223C9" w:rsidRPr="00D223C9" w:rsidRDefault="00D223C9" w:rsidP="00D223C9">
      <w:pPr>
        <w:autoSpaceDE w:val="0"/>
        <w:autoSpaceDN w:val="0"/>
        <w:adjustRightInd w:val="0"/>
        <w:spacing w:after="0" w:line="23" w:lineRule="atLeast"/>
        <w:rPr>
          <w:rFonts w:cs="Calibri,Bold"/>
          <w:bCs/>
          <w:color w:val="000000" w:themeColor="text1"/>
          <w:lang w:val="en-ID"/>
        </w:rPr>
      </w:pPr>
    </w:p>
    <w:p w14:paraId="2B2FEEA2" w14:textId="7EE0ECFC" w:rsidR="00291938" w:rsidRDefault="00677389" w:rsidP="00677389">
      <w:pPr>
        <w:autoSpaceDE w:val="0"/>
        <w:autoSpaceDN w:val="0"/>
        <w:adjustRightInd w:val="0"/>
        <w:spacing w:after="0" w:line="23" w:lineRule="atLeast"/>
        <w:rPr>
          <w:rFonts w:cs="Arial"/>
          <w:lang w:val="en-ID"/>
        </w:rPr>
      </w:pPr>
      <w:r>
        <w:rPr>
          <w:rFonts w:cs="Arial"/>
          <w:lang w:val="en-ID"/>
        </w:rPr>
        <w:t xml:space="preserve">The Project </w:t>
      </w:r>
      <w:r w:rsidR="0050584E">
        <w:rPr>
          <w:rFonts w:cs="Arial"/>
          <w:lang w:val="en-ID"/>
        </w:rPr>
        <w:t>was</w:t>
      </w:r>
      <w:r>
        <w:rPr>
          <w:rFonts w:cs="Arial"/>
          <w:lang w:val="en-ID"/>
        </w:rPr>
        <w:t xml:space="preserve"> also in line with the UN Country strategy, the UN</w:t>
      </w:r>
      <w:r w:rsidR="00D63AE4">
        <w:rPr>
          <w:rFonts w:cs="Arial"/>
          <w:lang w:val="en-ID"/>
        </w:rPr>
        <w:t>PDF 2016-2020</w:t>
      </w:r>
      <w:r>
        <w:rPr>
          <w:rFonts w:cs="Arial"/>
          <w:lang w:val="en-ID"/>
        </w:rPr>
        <w:t xml:space="preserve">, in supporting </w:t>
      </w:r>
      <w:r w:rsidRPr="00677389">
        <w:rPr>
          <w:rFonts w:cs="Arial"/>
        </w:rPr>
        <w:t>Outcome 3</w:t>
      </w:r>
      <w:r>
        <w:rPr>
          <w:rFonts w:cs="Arial"/>
          <w:lang w:val="en-ID"/>
        </w:rPr>
        <w:t xml:space="preserve">, </w:t>
      </w:r>
      <w:r w:rsidR="0050584E">
        <w:rPr>
          <w:rFonts w:cs="Arial"/>
          <w:lang w:val="en-ID"/>
        </w:rPr>
        <w:t>where</w:t>
      </w:r>
      <w:r>
        <w:rPr>
          <w:rFonts w:cs="Arial"/>
          <w:lang w:val="en-ID"/>
        </w:rPr>
        <w:t>b</w:t>
      </w:r>
      <w:r w:rsidRPr="00677389">
        <w:rPr>
          <w:rFonts w:cs="Arial"/>
        </w:rPr>
        <w:t>y Indonesia</w:t>
      </w:r>
      <w:r w:rsidR="00992F2D">
        <w:rPr>
          <w:rFonts w:cs="Arial"/>
          <w:lang w:val="en-US"/>
        </w:rPr>
        <w:t xml:space="preserve"> in </w:t>
      </w:r>
      <w:r w:rsidR="00992F2D" w:rsidRPr="00677389">
        <w:rPr>
          <w:rFonts w:cs="Arial"/>
        </w:rPr>
        <w:t>2020</w:t>
      </w:r>
      <w:r w:rsidR="00992F2D">
        <w:rPr>
          <w:rFonts w:cs="Arial"/>
          <w:lang w:val="en-US"/>
        </w:rPr>
        <w:t xml:space="preserve"> </w:t>
      </w:r>
      <w:r w:rsidR="0050584E">
        <w:rPr>
          <w:rFonts w:cs="Arial"/>
          <w:lang w:val="en-ID"/>
        </w:rPr>
        <w:t>“</w:t>
      </w:r>
      <w:r w:rsidRPr="00677389">
        <w:rPr>
          <w:rFonts w:cs="Arial"/>
        </w:rPr>
        <w:t>is sustainably managing its natural resources on land, and at sea, with increased resilience to the effects of climate change, disasters and other shocks.</w:t>
      </w:r>
      <w:r w:rsidR="0050584E">
        <w:rPr>
          <w:rFonts w:cs="Arial"/>
          <w:lang w:val="en-ID"/>
        </w:rPr>
        <w:t>”</w:t>
      </w:r>
      <w:r w:rsidR="00322ED5">
        <w:rPr>
          <w:rFonts w:cs="Arial"/>
          <w:lang w:val="en-ID"/>
        </w:rPr>
        <w:t xml:space="preserve"> The Project was implemented in line with UNDP policies, especially with respect to environmental and social guidelines. The Direct Implementation Modality was an appropriate choice for implementing the project. </w:t>
      </w:r>
    </w:p>
    <w:p w14:paraId="25AB158E" w14:textId="77777777" w:rsidR="00E924D2" w:rsidRDefault="00E924D2" w:rsidP="00677389">
      <w:pPr>
        <w:autoSpaceDE w:val="0"/>
        <w:autoSpaceDN w:val="0"/>
        <w:adjustRightInd w:val="0"/>
        <w:spacing w:after="0" w:line="23" w:lineRule="atLeast"/>
        <w:rPr>
          <w:rFonts w:cs="Arial"/>
          <w:lang w:val="en-ID"/>
        </w:rPr>
      </w:pPr>
    </w:p>
    <w:p w14:paraId="1157C145" w14:textId="451F4EAB" w:rsidR="00E924D2" w:rsidRPr="0050584E" w:rsidRDefault="00E924D2" w:rsidP="00677389">
      <w:pPr>
        <w:autoSpaceDE w:val="0"/>
        <w:autoSpaceDN w:val="0"/>
        <w:adjustRightInd w:val="0"/>
        <w:spacing w:after="0" w:line="23" w:lineRule="atLeast"/>
        <w:rPr>
          <w:rFonts w:cs="Arial"/>
          <w:lang w:val="en-ID"/>
        </w:rPr>
      </w:pPr>
      <w:r>
        <w:rPr>
          <w:rFonts w:cs="Arial"/>
          <w:lang w:val="en-ID"/>
        </w:rPr>
        <w:t xml:space="preserve">The Kingdom of Norway’s investment in Indonesia included supporting the Government of Indonesia to develop policies for </w:t>
      </w:r>
      <w:r w:rsidR="00992F2D">
        <w:rPr>
          <w:rFonts w:cs="Arial"/>
          <w:lang w:val="en-ID"/>
        </w:rPr>
        <w:t>long-term</w:t>
      </w:r>
      <w:r>
        <w:rPr>
          <w:rFonts w:cs="Arial"/>
          <w:lang w:val="en-ID"/>
        </w:rPr>
        <w:t xml:space="preserve"> peatland management. The investment for UNDP was in response to the Government of Indonesia’s request to support the newly established </w:t>
      </w:r>
      <w:r w:rsidR="00A0241E">
        <w:rPr>
          <w:rFonts w:cs="Arial"/>
          <w:lang w:val="en-ID"/>
        </w:rPr>
        <w:t>agency</w:t>
      </w:r>
      <w:r>
        <w:rPr>
          <w:rFonts w:cs="Arial"/>
          <w:lang w:val="en-ID"/>
        </w:rPr>
        <w:t xml:space="preserve">. Norway provided support to a range of other stakeholders as part of an overall investment to help the Government of Indonesia implement the Presidential </w:t>
      </w:r>
      <w:r w:rsidR="00D223C9">
        <w:rPr>
          <w:rFonts w:cs="Arial"/>
          <w:lang w:val="en-ID"/>
        </w:rPr>
        <w:t>R</w:t>
      </w:r>
      <w:r>
        <w:rPr>
          <w:rFonts w:cs="Arial"/>
          <w:lang w:val="en-ID"/>
        </w:rPr>
        <w:t>eg</w:t>
      </w:r>
      <w:r w:rsidR="00D223C9">
        <w:rPr>
          <w:rFonts w:cs="Arial"/>
          <w:lang w:val="en-ID"/>
        </w:rPr>
        <w:t>u</w:t>
      </w:r>
      <w:r>
        <w:rPr>
          <w:rFonts w:cs="Arial"/>
          <w:lang w:val="en-ID"/>
        </w:rPr>
        <w:t xml:space="preserve">lation. </w:t>
      </w:r>
      <w:r w:rsidR="00D223C9">
        <w:rPr>
          <w:rFonts w:cs="Arial"/>
          <w:lang w:val="en-ID"/>
        </w:rPr>
        <w:t xml:space="preserve">The investment through UNDP was highly relevant and targeted to enable BRG to lead the development of the Agency, while UNDP provided immediate support to </w:t>
      </w:r>
      <w:r w:rsidR="00930694">
        <w:rPr>
          <w:rFonts w:cs="Arial"/>
          <w:lang w:val="en-ID"/>
        </w:rPr>
        <w:t xml:space="preserve">help the </w:t>
      </w:r>
      <w:r w:rsidR="00D223C9">
        <w:rPr>
          <w:rFonts w:cs="Arial"/>
          <w:lang w:val="en-ID"/>
        </w:rPr>
        <w:t xml:space="preserve">organisation grow from </w:t>
      </w:r>
      <w:r w:rsidR="00D223C9" w:rsidRPr="000A2906">
        <w:rPr>
          <w:rFonts w:cs="Arial"/>
          <w:lang w:val="en-ID"/>
        </w:rPr>
        <w:t xml:space="preserve">an initial </w:t>
      </w:r>
      <w:r w:rsidR="000A2906" w:rsidRPr="00F26811">
        <w:rPr>
          <w:rFonts w:cs="Arial"/>
          <w:lang w:val="en-ID"/>
        </w:rPr>
        <w:t xml:space="preserve">mobilisation of </w:t>
      </w:r>
      <w:r w:rsidR="00930694">
        <w:rPr>
          <w:rFonts w:cs="Arial"/>
          <w:lang w:val="en-ID"/>
        </w:rPr>
        <w:t>six</w:t>
      </w:r>
      <w:r w:rsidR="00930694" w:rsidRPr="000A2906">
        <w:rPr>
          <w:rFonts w:cs="Arial"/>
          <w:lang w:val="en-ID"/>
        </w:rPr>
        <w:t xml:space="preserve"> </w:t>
      </w:r>
      <w:r w:rsidR="00D223C9" w:rsidRPr="000A2906">
        <w:rPr>
          <w:rFonts w:cs="Arial"/>
          <w:lang w:val="en-ID"/>
        </w:rPr>
        <w:t>staff</w:t>
      </w:r>
      <w:r w:rsidR="00D05FB3">
        <w:rPr>
          <w:rFonts w:cs="Arial"/>
          <w:lang w:val="en-ID"/>
        </w:rPr>
        <w:t xml:space="preserve"> </w:t>
      </w:r>
      <w:r w:rsidR="00D223C9">
        <w:rPr>
          <w:rFonts w:cs="Arial"/>
          <w:lang w:val="en-ID"/>
        </w:rPr>
        <w:t xml:space="preserve">and undertake essential procurement while waiting for the Government of Indonesia’s funding to </w:t>
      </w:r>
      <w:r w:rsidR="00A0241E">
        <w:rPr>
          <w:rFonts w:cs="Arial"/>
          <w:lang w:val="en-ID"/>
        </w:rPr>
        <w:t xml:space="preserve">be </w:t>
      </w:r>
      <w:r w:rsidR="00D223C9">
        <w:rPr>
          <w:rFonts w:cs="Arial"/>
          <w:lang w:val="en-ID"/>
        </w:rPr>
        <w:t xml:space="preserve">made available to the Agency. In 2016, BRG received its budget in November </w:t>
      </w:r>
      <w:r w:rsidR="00A0241E">
        <w:rPr>
          <w:rFonts w:cs="Arial"/>
          <w:lang w:val="en-ID"/>
        </w:rPr>
        <w:t>of the same year</w:t>
      </w:r>
      <w:r w:rsidR="00D223C9">
        <w:rPr>
          <w:rFonts w:cs="Arial"/>
          <w:lang w:val="en-ID"/>
        </w:rPr>
        <w:t xml:space="preserve">. </w:t>
      </w:r>
      <w:r>
        <w:rPr>
          <w:rFonts w:cs="Arial"/>
          <w:lang w:val="en-ID"/>
        </w:rPr>
        <w:t xml:space="preserve">Apart from UNDP, the </w:t>
      </w:r>
      <w:r w:rsidR="00C1525C">
        <w:rPr>
          <w:rFonts w:cs="Arial"/>
          <w:lang w:val="en-ID"/>
        </w:rPr>
        <w:t xml:space="preserve">Government </w:t>
      </w:r>
      <w:r>
        <w:rPr>
          <w:rFonts w:cs="Arial"/>
          <w:lang w:val="en-ID"/>
        </w:rPr>
        <w:t xml:space="preserve"> of Norway’s </w:t>
      </w:r>
      <w:r w:rsidR="006724DF">
        <w:rPr>
          <w:rFonts w:cs="Arial"/>
          <w:lang w:val="en-ID"/>
        </w:rPr>
        <w:t xml:space="preserve">funding </w:t>
      </w:r>
      <w:r w:rsidR="00D223C9">
        <w:rPr>
          <w:rFonts w:cs="Arial"/>
          <w:lang w:val="en-ID"/>
        </w:rPr>
        <w:t xml:space="preserve">support </w:t>
      </w:r>
      <w:r w:rsidR="006724DF">
        <w:rPr>
          <w:rFonts w:cs="Arial"/>
          <w:lang w:val="en-ID"/>
        </w:rPr>
        <w:t xml:space="preserve">to BRG </w:t>
      </w:r>
      <w:r w:rsidR="00D223C9">
        <w:rPr>
          <w:rFonts w:cs="Arial"/>
          <w:lang w:val="en-ID"/>
        </w:rPr>
        <w:t xml:space="preserve">was through </w:t>
      </w:r>
      <w:r w:rsidR="00A0241E">
        <w:rPr>
          <w:rFonts w:cs="Arial"/>
          <w:lang w:val="en-ID"/>
        </w:rPr>
        <w:t>other agencies</w:t>
      </w:r>
      <w:r w:rsidR="00D223C9">
        <w:rPr>
          <w:rFonts w:cs="Arial"/>
          <w:lang w:val="en-ID"/>
        </w:rPr>
        <w:t xml:space="preserve">, </w:t>
      </w:r>
      <w:r w:rsidR="00A0241E">
        <w:rPr>
          <w:rFonts w:cs="Arial"/>
          <w:lang w:val="en-ID"/>
        </w:rPr>
        <w:t xml:space="preserve">such as </w:t>
      </w:r>
      <w:r w:rsidR="00D223C9">
        <w:rPr>
          <w:rFonts w:cs="Arial"/>
          <w:lang w:val="en-ID"/>
        </w:rPr>
        <w:t>FAO, WRI</w:t>
      </w:r>
      <w:r w:rsidR="00A0241E">
        <w:rPr>
          <w:rFonts w:cs="Arial"/>
          <w:lang w:val="en-ID"/>
        </w:rPr>
        <w:t>,</w:t>
      </w:r>
      <w:r w:rsidR="00D223C9">
        <w:rPr>
          <w:rFonts w:cs="Arial"/>
          <w:lang w:val="en-ID"/>
        </w:rPr>
        <w:t xml:space="preserve"> and Kemitraan. </w:t>
      </w:r>
    </w:p>
    <w:p w14:paraId="574E9AE3" w14:textId="49BCC295" w:rsidR="006E2136" w:rsidRDefault="006E2136" w:rsidP="00677389">
      <w:pPr>
        <w:autoSpaceDE w:val="0"/>
        <w:autoSpaceDN w:val="0"/>
        <w:adjustRightInd w:val="0"/>
        <w:spacing w:after="0" w:line="23" w:lineRule="atLeast"/>
        <w:rPr>
          <w:rFonts w:cs="Calibri,Bold"/>
          <w:bCs/>
          <w:color w:val="000000" w:themeColor="text1"/>
          <w:lang w:val="en-US"/>
        </w:rPr>
      </w:pPr>
    </w:p>
    <w:p w14:paraId="7D98D2FF" w14:textId="77777777" w:rsidR="006E2136" w:rsidRDefault="006E2136" w:rsidP="00842AD9">
      <w:pPr>
        <w:pStyle w:val="Heading3"/>
      </w:pPr>
      <w:bookmarkStart w:id="18" w:name="_Toc528998436"/>
      <w:r w:rsidRPr="007D4907">
        <w:t>Validity and logic of the theory of change</w:t>
      </w:r>
      <w:bookmarkEnd w:id="18"/>
    </w:p>
    <w:p w14:paraId="6AE38D5A" w14:textId="77777777" w:rsidR="006E2136" w:rsidRDefault="006E2136" w:rsidP="00677389">
      <w:pPr>
        <w:autoSpaceDE w:val="0"/>
        <w:autoSpaceDN w:val="0"/>
        <w:adjustRightInd w:val="0"/>
        <w:spacing w:after="0" w:line="23" w:lineRule="atLeast"/>
        <w:rPr>
          <w:rFonts w:cs="Calibri,Bold"/>
          <w:bCs/>
          <w:color w:val="000000" w:themeColor="text1"/>
          <w:lang w:val="en-US"/>
        </w:rPr>
      </w:pPr>
    </w:p>
    <w:p w14:paraId="36B29455" w14:textId="7A744268" w:rsidR="006E2136" w:rsidRDefault="00B31186" w:rsidP="00677389">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 xml:space="preserve">The </w:t>
      </w:r>
      <w:r w:rsidR="001F36B1">
        <w:rPr>
          <w:rFonts w:cs="Calibri,Bold"/>
          <w:bCs/>
          <w:color w:val="000000" w:themeColor="text1"/>
          <w:lang w:val="en-US"/>
        </w:rPr>
        <w:t xml:space="preserve">Theory </w:t>
      </w:r>
      <w:r>
        <w:rPr>
          <w:rFonts w:cs="Calibri,Bold"/>
          <w:bCs/>
          <w:color w:val="000000" w:themeColor="text1"/>
          <w:lang w:val="en-US"/>
        </w:rPr>
        <w:t xml:space="preserve">of </w:t>
      </w:r>
      <w:r w:rsidR="001F36B1">
        <w:rPr>
          <w:rFonts w:cs="Calibri,Bold"/>
          <w:bCs/>
          <w:color w:val="000000" w:themeColor="text1"/>
          <w:lang w:val="en-US"/>
        </w:rPr>
        <w:t xml:space="preserve">Change </w:t>
      </w:r>
      <w:r w:rsidR="0050584E">
        <w:rPr>
          <w:rFonts w:cs="Calibri,Bold"/>
          <w:bCs/>
          <w:color w:val="000000" w:themeColor="text1"/>
          <w:lang w:val="en-US"/>
        </w:rPr>
        <w:t>was</w:t>
      </w:r>
      <w:r>
        <w:rPr>
          <w:rFonts w:cs="Calibri,Bold"/>
          <w:bCs/>
          <w:color w:val="000000" w:themeColor="text1"/>
          <w:lang w:val="en-US"/>
        </w:rPr>
        <w:t xml:space="preserve"> appropriate in the context of UNDP’s support to BRG in that it demonstrates the appropriate input of key resources</w:t>
      </w:r>
      <w:r w:rsidR="001F36B1">
        <w:rPr>
          <w:rFonts w:cs="Calibri,Bold"/>
          <w:bCs/>
          <w:color w:val="000000" w:themeColor="text1"/>
          <w:lang w:val="en-US"/>
        </w:rPr>
        <w:t>—</w:t>
      </w:r>
      <w:r w:rsidR="00A0241E">
        <w:rPr>
          <w:rFonts w:cs="Calibri,Bold"/>
          <w:bCs/>
          <w:color w:val="000000" w:themeColor="text1"/>
          <w:lang w:val="en-US"/>
        </w:rPr>
        <w:t>i.e.</w:t>
      </w:r>
      <w:r w:rsidR="001F36B1">
        <w:rPr>
          <w:rFonts w:cs="Calibri,Bold"/>
          <w:bCs/>
          <w:color w:val="000000" w:themeColor="text1"/>
          <w:lang w:val="en-US"/>
        </w:rPr>
        <w:t>,</w:t>
      </w:r>
      <w:r w:rsidR="00A0241E">
        <w:rPr>
          <w:rFonts w:cs="Calibri,Bold"/>
          <w:bCs/>
          <w:color w:val="000000" w:themeColor="text1"/>
          <w:lang w:val="en-US"/>
        </w:rPr>
        <w:t xml:space="preserve"> </w:t>
      </w:r>
      <w:r>
        <w:rPr>
          <w:rFonts w:cs="Calibri,Bold"/>
          <w:bCs/>
          <w:color w:val="000000" w:themeColor="text1"/>
          <w:lang w:val="en-US"/>
        </w:rPr>
        <w:t>recruiting staff, providing equipment, supporting stakeholders</w:t>
      </w:r>
      <w:r w:rsidR="00A0241E">
        <w:rPr>
          <w:rFonts w:cs="Calibri,Bold"/>
          <w:bCs/>
          <w:color w:val="000000" w:themeColor="text1"/>
          <w:lang w:val="en-US"/>
        </w:rPr>
        <w:t>,</w:t>
      </w:r>
      <w:r>
        <w:rPr>
          <w:rFonts w:cs="Calibri,Bold"/>
          <w:bCs/>
          <w:color w:val="000000" w:themeColor="text1"/>
          <w:lang w:val="en-US"/>
        </w:rPr>
        <w:t xml:space="preserve"> and providing resources to support the development of guidelines and polices</w:t>
      </w:r>
      <w:r w:rsidR="00FD1E3E">
        <w:rPr>
          <w:rFonts w:cs="Calibri,Bold"/>
          <w:bCs/>
          <w:color w:val="000000" w:themeColor="text1"/>
          <w:lang w:val="en-US"/>
        </w:rPr>
        <w:t>,</w:t>
      </w:r>
      <w:r>
        <w:rPr>
          <w:rFonts w:cs="Calibri,Bold"/>
          <w:bCs/>
          <w:color w:val="000000" w:themeColor="text1"/>
          <w:lang w:val="en-US"/>
        </w:rPr>
        <w:t xml:space="preserve"> </w:t>
      </w:r>
      <w:r w:rsidR="001F36B1">
        <w:rPr>
          <w:rFonts w:cs="Calibri,Bold"/>
          <w:bCs/>
          <w:color w:val="000000" w:themeColor="text1"/>
          <w:lang w:val="en-US"/>
        </w:rPr>
        <w:t xml:space="preserve">and </w:t>
      </w:r>
      <w:r>
        <w:rPr>
          <w:rFonts w:cs="Calibri,Bold"/>
          <w:bCs/>
          <w:color w:val="000000" w:themeColor="text1"/>
          <w:lang w:val="en-US"/>
        </w:rPr>
        <w:t>enabl</w:t>
      </w:r>
      <w:r w:rsidR="00FD1E3E">
        <w:rPr>
          <w:rFonts w:cs="Calibri,Bold"/>
          <w:bCs/>
          <w:color w:val="000000" w:themeColor="text1"/>
          <w:lang w:val="en-US"/>
        </w:rPr>
        <w:t>ing</w:t>
      </w:r>
      <w:r>
        <w:rPr>
          <w:rFonts w:cs="Calibri,Bold"/>
          <w:bCs/>
          <w:color w:val="000000" w:themeColor="text1"/>
          <w:lang w:val="en-US"/>
        </w:rPr>
        <w:t xml:space="preserve"> BRG to implement its mandate in 2016. </w:t>
      </w:r>
      <w:r w:rsidR="00C73D26">
        <w:rPr>
          <w:rFonts w:cs="Calibri,Bold"/>
          <w:bCs/>
          <w:color w:val="000000" w:themeColor="text1"/>
          <w:lang w:val="en-US"/>
        </w:rPr>
        <w:t xml:space="preserve">This evaluation has found this to be the case. As BRG </w:t>
      </w:r>
      <w:r w:rsidR="00FD1E3E">
        <w:rPr>
          <w:rFonts w:cs="Calibri,Bold"/>
          <w:bCs/>
          <w:color w:val="000000" w:themeColor="text1"/>
          <w:lang w:val="en-US"/>
        </w:rPr>
        <w:t>wa</w:t>
      </w:r>
      <w:r w:rsidR="00C73D26">
        <w:rPr>
          <w:rFonts w:cs="Calibri,Bold"/>
          <w:bCs/>
          <w:color w:val="000000" w:themeColor="text1"/>
          <w:lang w:val="en-US"/>
        </w:rPr>
        <w:t xml:space="preserve">s responsible for implementing the Presidential Regulation, it </w:t>
      </w:r>
      <w:r w:rsidR="00FD1E3E">
        <w:rPr>
          <w:rFonts w:cs="Calibri,Bold"/>
          <w:bCs/>
          <w:color w:val="000000" w:themeColor="text1"/>
          <w:lang w:val="en-US"/>
        </w:rPr>
        <w:t xml:space="preserve">required </w:t>
      </w:r>
      <w:r w:rsidR="00C73D26">
        <w:rPr>
          <w:rFonts w:cs="Calibri,Bold"/>
          <w:bCs/>
          <w:color w:val="000000" w:themeColor="text1"/>
          <w:lang w:val="en-US"/>
        </w:rPr>
        <w:t xml:space="preserve">critical </w:t>
      </w:r>
      <w:r w:rsidR="00C73D26">
        <w:rPr>
          <w:rFonts w:cs="Calibri,Bold"/>
          <w:bCs/>
          <w:color w:val="000000" w:themeColor="text1"/>
          <w:lang w:val="en-US"/>
        </w:rPr>
        <w:lastRenderedPageBreak/>
        <w:t>support to mobili</w:t>
      </w:r>
      <w:r w:rsidR="00FD1E3E">
        <w:rPr>
          <w:rFonts w:cs="Calibri,Bold"/>
          <w:bCs/>
          <w:color w:val="000000" w:themeColor="text1"/>
          <w:lang w:val="en-US"/>
        </w:rPr>
        <w:t>z</w:t>
      </w:r>
      <w:r w:rsidR="00C73D26">
        <w:rPr>
          <w:rFonts w:cs="Calibri,Bold"/>
          <w:bCs/>
          <w:color w:val="000000" w:themeColor="text1"/>
          <w:lang w:val="en-US"/>
        </w:rPr>
        <w:t xml:space="preserve">e resources that are readily available in Indonesia but can be challenging to acquire in a timely </w:t>
      </w:r>
      <w:r w:rsidR="00FD1E3E">
        <w:rPr>
          <w:rFonts w:cs="Calibri,Bold"/>
          <w:bCs/>
          <w:color w:val="000000" w:themeColor="text1"/>
          <w:lang w:val="en-US"/>
        </w:rPr>
        <w:t xml:space="preserve">manner </w:t>
      </w:r>
      <w:r w:rsidR="00C73D26">
        <w:rPr>
          <w:rFonts w:cs="Calibri,Bold"/>
          <w:bCs/>
          <w:color w:val="000000" w:themeColor="text1"/>
          <w:lang w:val="en-US"/>
        </w:rPr>
        <w:t xml:space="preserve">through APBN budget availability. </w:t>
      </w:r>
      <w:r w:rsidR="002225A5">
        <w:rPr>
          <w:rFonts w:cs="Calibri,Bold"/>
          <w:bCs/>
          <w:color w:val="000000" w:themeColor="text1"/>
          <w:lang w:val="en-US"/>
        </w:rPr>
        <w:t>Although the Theory of Change and results framework were not fully understood by all stakeholders</w:t>
      </w:r>
      <w:r w:rsidR="001F36B1">
        <w:rPr>
          <w:rFonts w:cs="Calibri,Bold"/>
          <w:bCs/>
          <w:color w:val="000000" w:themeColor="text1"/>
          <w:lang w:val="en-US"/>
        </w:rPr>
        <w:t>, many</w:t>
      </w:r>
      <w:r w:rsidR="002225A5">
        <w:rPr>
          <w:rFonts w:cs="Calibri,Bold"/>
          <w:bCs/>
          <w:color w:val="000000" w:themeColor="text1"/>
          <w:lang w:val="en-US"/>
        </w:rPr>
        <w:t xml:space="preserve"> clearly understood the structure and allocation of resources of the different resources across the two phases. </w:t>
      </w:r>
    </w:p>
    <w:p w14:paraId="6344DAC6" w14:textId="77777777" w:rsidR="005F6184" w:rsidRDefault="005F6184" w:rsidP="00677389">
      <w:pPr>
        <w:autoSpaceDE w:val="0"/>
        <w:autoSpaceDN w:val="0"/>
        <w:adjustRightInd w:val="0"/>
        <w:spacing w:after="0" w:line="23" w:lineRule="atLeast"/>
        <w:rPr>
          <w:rFonts w:cs="Calibri,Bold"/>
          <w:bCs/>
          <w:color w:val="000000" w:themeColor="text1"/>
          <w:lang w:val="en-US"/>
        </w:rPr>
      </w:pPr>
    </w:p>
    <w:p w14:paraId="23FB2549" w14:textId="59248BA3" w:rsidR="005F6184" w:rsidRDefault="005F6184" w:rsidP="00677389">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The timelines to meet the planned objectives and outputs were appropriate. However</w:t>
      </w:r>
      <w:r w:rsidR="00FD1E3E">
        <w:rPr>
          <w:rFonts w:cs="Calibri,Bold"/>
          <w:bCs/>
          <w:color w:val="000000" w:themeColor="text1"/>
          <w:lang w:val="en-US"/>
        </w:rPr>
        <w:t>,</w:t>
      </w:r>
      <w:r>
        <w:rPr>
          <w:rFonts w:cs="Calibri,Bold"/>
          <w:bCs/>
          <w:color w:val="000000" w:themeColor="text1"/>
          <w:lang w:val="en-US"/>
        </w:rPr>
        <w:t xml:space="preserve"> there was a high expectation for UNDP to deliver a large number of contracts in the first six months of the Project</w:t>
      </w:r>
      <w:r w:rsidR="002225A5">
        <w:rPr>
          <w:rFonts w:cs="Calibri,Bold"/>
          <w:bCs/>
          <w:color w:val="000000" w:themeColor="text1"/>
          <w:lang w:val="en-US"/>
        </w:rPr>
        <w:t>,</w:t>
      </w:r>
      <w:r>
        <w:rPr>
          <w:rFonts w:cs="Calibri,Bold"/>
          <w:bCs/>
          <w:color w:val="000000" w:themeColor="text1"/>
          <w:lang w:val="en-US"/>
        </w:rPr>
        <w:t xml:space="preserve"> which </w:t>
      </w:r>
      <w:r w:rsidR="002225A5">
        <w:rPr>
          <w:rFonts w:cs="Calibri,Bold"/>
          <w:bCs/>
          <w:color w:val="000000" w:themeColor="text1"/>
          <w:lang w:val="en-US"/>
        </w:rPr>
        <w:t>should</w:t>
      </w:r>
      <w:r>
        <w:rPr>
          <w:rFonts w:cs="Calibri,Bold"/>
          <w:bCs/>
          <w:color w:val="000000" w:themeColor="text1"/>
          <w:lang w:val="en-US"/>
        </w:rPr>
        <w:t xml:space="preserve"> have been considered unrealistic. </w:t>
      </w:r>
      <w:r w:rsidR="002225A5">
        <w:rPr>
          <w:rFonts w:cs="Calibri,Bold"/>
          <w:bCs/>
          <w:color w:val="000000" w:themeColor="text1"/>
          <w:lang w:val="en-US"/>
        </w:rPr>
        <w:t>It was also during this period</w:t>
      </w:r>
      <w:r w:rsidR="001F36B1">
        <w:rPr>
          <w:rFonts w:cs="Calibri,Bold"/>
          <w:bCs/>
          <w:color w:val="000000" w:themeColor="text1"/>
          <w:lang w:val="en-US"/>
        </w:rPr>
        <w:t xml:space="preserve"> that</w:t>
      </w:r>
      <w:r w:rsidR="002225A5">
        <w:rPr>
          <w:rFonts w:cs="Calibri,Bold"/>
          <w:bCs/>
          <w:color w:val="000000" w:themeColor="text1"/>
          <w:lang w:val="en-US"/>
        </w:rPr>
        <w:t xml:space="preserve"> UNDP had to recruit and mobili</w:t>
      </w:r>
      <w:r w:rsidR="00FD1E3E">
        <w:rPr>
          <w:rFonts w:cs="Calibri,Bold"/>
          <w:bCs/>
          <w:color w:val="000000" w:themeColor="text1"/>
          <w:lang w:val="en-US"/>
        </w:rPr>
        <w:t>z</w:t>
      </w:r>
      <w:r w:rsidR="002225A5">
        <w:rPr>
          <w:rFonts w:cs="Calibri,Bold"/>
          <w:bCs/>
          <w:color w:val="000000" w:themeColor="text1"/>
          <w:lang w:val="en-US"/>
        </w:rPr>
        <w:t>e it</w:t>
      </w:r>
      <w:r w:rsidR="00BC0A2E">
        <w:rPr>
          <w:rFonts w:cs="Calibri,Bold"/>
          <w:bCs/>
          <w:color w:val="000000" w:themeColor="text1"/>
          <w:lang w:val="en-US"/>
        </w:rPr>
        <w:t>s</w:t>
      </w:r>
      <w:r w:rsidR="002225A5">
        <w:rPr>
          <w:rFonts w:cs="Calibri,Bold"/>
          <w:bCs/>
          <w:color w:val="000000" w:themeColor="text1"/>
          <w:lang w:val="en-US"/>
        </w:rPr>
        <w:t xml:space="preserve"> own procurement and administration team to process the significant number of requests from BRG.</w:t>
      </w:r>
      <w:r w:rsidR="00D05FB3">
        <w:rPr>
          <w:rFonts w:cs="Calibri,Bold"/>
          <w:bCs/>
          <w:color w:val="000000" w:themeColor="text1"/>
          <w:lang w:val="en-US"/>
        </w:rPr>
        <w:t xml:space="preserve"> </w:t>
      </w:r>
    </w:p>
    <w:p w14:paraId="52081653" w14:textId="77777777" w:rsidR="005F6184" w:rsidRDefault="005F6184" w:rsidP="00677389">
      <w:pPr>
        <w:autoSpaceDE w:val="0"/>
        <w:autoSpaceDN w:val="0"/>
        <w:adjustRightInd w:val="0"/>
        <w:spacing w:after="0" w:line="23" w:lineRule="atLeast"/>
        <w:rPr>
          <w:rFonts w:cs="Calibri,Bold"/>
          <w:bCs/>
          <w:color w:val="000000" w:themeColor="text1"/>
          <w:lang w:val="en-US"/>
        </w:rPr>
      </w:pPr>
    </w:p>
    <w:p w14:paraId="3AE6E9AD" w14:textId="6DA3516A" w:rsidR="005F6184" w:rsidRDefault="005F6184" w:rsidP="00677389">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 xml:space="preserve">The Project was divided into two </w:t>
      </w:r>
      <w:r w:rsidR="00FD1E3E">
        <w:rPr>
          <w:rFonts w:cs="Calibri,Bold"/>
          <w:bCs/>
          <w:color w:val="000000" w:themeColor="text1"/>
          <w:lang w:val="en-US"/>
        </w:rPr>
        <w:t>p</w:t>
      </w:r>
      <w:r>
        <w:rPr>
          <w:rFonts w:cs="Calibri,Bold"/>
          <w:bCs/>
          <w:color w:val="000000" w:themeColor="text1"/>
          <w:lang w:val="en-US"/>
        </w:rPr>
        <w:t>hases mainly due to uncertainty</w:t>
      </w:r>
      <w:r w:rsidR="00FD1E3E">
        <w:rPr>
          <w:rFonts w:cs="Calibri,Bold"/>
          <w:bCs/>
          <w:color w:val="000000" w:themeColor="text1"/>
          <w:lang w:val="en-US"/>
        </w:rPr>
        <w:t xml:space="preserve"> of</w:t>
      </w:r>
      <w:r>
        <w:rPr>
          <w:rFonts w:cs="Calibri,Bold"/>
          <w:bCs/>
          <w:color w:val="000000" w:themeColor="text1"/>
          <w:lang w:val="en-US"/>
        </w:rPr>
        <w:t xml:space="preserve"> </w:t>
      </w:r>
      <w:r w:rsidR="00F9260B">
        <w:rPr>
          <w:rFonts w:cs="Calibri,Bold"/>
          <w:bCs/>
          <w:color w:val="000000" w:themeColor="text1"/>
          <w:lang w:val="en-US"/>
        </w:rPr>
        <w:t>implementation arrangements</w:t>
      </w:r>
      <w:r w:rsidR="00FD1E3E">
        <w:rPr>
          <w:rFonts w:cs="Calibri,Bold"/>
          <w:bCs/>
          <w:color w:val="000000" w:themeColor="text1"/>
          <w:lang w:val="en-US"/>
        </w:rPr>
        <w:t>,</w:t>
      </w:r>
      <w:r w:rsidR="00F9260B">
        <w:rPr>
          <w:rFonts w:cs="Calibri,Bold"/>
          <w:bCs/>
          <w:color w:val="000000" w:themeColor="text1"/>
          <w:lang w:val="en-US"/>
        </w:rPr>
        <w:t xml:space="preserve"> and BRG</w:t>
      </w:r>
      <w:r w:rsidR="00FD1E3E">
        <w:rPr>
          <w:rFonts w:cs="Calibri,Bold"/>
          <w:bCs/>
          <w:color w:val="000000" w:themeColor="text1"/>
          <w:lang w:val="en-US"/>
        </w:rPr>
        <w:t>’s continued</w:t>
      </w:r>
      <w:r w:rsidR="00F9260B">
        <w:rPr>
          <w:rFonts w:cs="Calibri,Bold"/>
          <w:bCs/>
          <w:color w:val="000000" w:themeColor="text1"/>
          <w:lang w:val="en-US"/>
        </w:rPr>
        <w:t xml:space="preserve"> needs after the </w:t>
      </w:r>
      <w:r>
        <w:rPr>
          <w:rFonts w:cs="Calibri,Bold"/>
          <w:bCs/>
          <w:color w:val="000000" w:themeColor="text1"/>
          <w:lang w:val="en-US"/>
        </w:rPr>
        <w:t xml:space="preserve">first </w:t>
      </w:r>
      <w:r w:rsidR="00FD1E3E">
        <w:rPr>
          <w:rFonts w:cs="Calibri,Bold"/>
          <w:bCs/>
          <w:color w:val="000000" w:themeColor="text1"/>
          <w:lang w:val="en-US"/>
        </w:rPr>
        <w:t>p</w:t>
      </w:r>
      <w:r>
        <w:rPr>
          <w:rFonts w:cs="Calibri,Bold"/>
          <w:bCs/>
          <w:color w:val="000000" w:themeColor="text1"/>
          <w:lang w:val="en-US"/>
        </w:rPr>
        <w:t xml:space="preserve">hase. This </w:t>
      </w:r>
      <w:r w:rsidR="001F1761">
        <w:rPr>
          <w:rFonts w:cs="Calibri,Bold"/>
          <w:bCs/>
          <w:color w:val="000000" w:themeColor="text1"/>
          <w:lang w:val="en-US"/>
        </w:rPr>
        <w:t xml:space="preserve">appears to have </w:t>
      </w:r>
      <w:r>
        <w:rPr>
          <w:rFonts w:cs="Calibri,Bold"/>
          <w:bCs/>
          <w:color w:val="000000" w:themeColor="text1"/>
          <w:lang w:val="en-US"/>
        </w:rPr>
        <w:t>impacted the continuum o</w:t>
      </w:r>
      <w:r w:rsidR="00FD1E3E">
        <w:rPr>
          <w:rFonts w:cs="Calibri,Bold"/>
          <w:bCs/>
          <w:color w:val="000000" w:themeColor="text1"/>
          <w:lang w:val="en-US"/>
        </w:rPr>
        <w:t>f</w:t>
      </w:r>
      <w:r>
        <w:rPr>
          <w:rFonts w:cs="Calibri,Bold"/>
          <w:bCs/>
          <w:color w:val="000000" w:themeColor="text1"/>
          <w:lang w:val="en-US"/>
        </w:rPr>
        <w:t xml:space="preserve"> the delivery of services. </w:t>
      </w:r>
    </w:p>
    <w:p w14:paraId="208F1F81" w14:textId="2DB86125" w:rsidR="005A3D59" w:rsidRDefault="005A3D59" w:rsidP="00677389">
      <w:pPr>
        <w:autoSpaceDE w:val="0"/>
        <w:autoSpaceDN w:val="0"/>
        <w:adjustRightInd w:val="0"/>
        <w:spacing w:after="0" w:line="23" w:lineRule="atLeast"/>
        <w:rPr>
          <w:rFonts w:cs="Calibri,Bold"/>
          <w:bCs/>
          <w:color w:val="000000" w:themeColor="text1"/>
          <w:lang w:val="en-US"/>
        </w:rPr>
      </w:pPr>
    </w:p>
    <w:p w14:paraId="7BF1443C" w14:textId="2EE987F2" w:rsidR="006E2136" w:rsidRDefault="005A3D59" w:rsidP="00677389">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 xml:space="preserve">The mainstreaming of gender was </w:t>
      </w:r>
      <w:r w:rsidR="00F51711">
        <w:rPr>
          <w:rFonts w:cs="Calibri,Bold"/>
          <w:bCs/>
          <w:color w:val="000000" w:themeColor="text1"/>
          <w:lang w:val="en-US"/>
        </w:rPr>
        <w:t xml:space="preserve">not </w:t>
      </w:r>
      <w:r>
        <w:rPr>
          <w:rFonts w:cs="Calibri,Bold"/>
          <w:bCs/>
          <w:color w:val="000000" w:themeColor="text1"/>
          <w:lang w:val="en-US"/>
        </w:rPr>
        <w:t xml:space="preserve">clearly articulated in the Project document. </w:t>
      </w:r>
      <w:r w:rsidR="00F51711">
        <w:rPr>
          <w:rFonts w:cs="Calibri,Bold"/>
          <w:bCs/>
          <w:color w:val="000000" w:themeColor="text1"/>
          <w:lang w:val="en-US"/>
        </w:rPr>
        <w:t>However, r</w:t>
      </w:r>
      <w:r>
        <w:rPr>
          <w:rFonts w:cs="Calibri,Bold"/>
          <w:bCs/>
          <w:color w:val="000000" w:themeColor="text1"/>
          <w:lang w:val="en-US"/>
        </w:rPr>
        <w:t xml:space="preserve">evisions to the Project Document in 2017 enabled the Project </w:t>
      </w:r>
      <w:r w:rsidRPr="005A3D59">
        <w:rPr>
          <w:rFonts w:cs="Calibri,Bold"/>
          <w:bCs/>
          <w:color w:val="000000" w:themeColor="text1"/>
          <w:lang w:val="en-US"/>
        </w:rPr>
        <w:t>to consider the gender mainstreaming and representation in the project implementation.</w:t>
      </w:r>
      <w:r>
        <w:rPr>
          <w:rFonts w:cs="Calibri,Bold"/>
          <w:bCs/>
          <w:color w:val="000000" w:themeColor="text1"/>
          <w:lang w:val="en-US"/>
        </w:rPr>
        <w:t xml:space="preserve"> </w:t>
      </w:r>
      <w:r w:rsidR="00F51711">
        <w:rPr>
          <w:rFonts w:cs="Calibri,Bold"/>
          <w:bCs/>
          <w:color w:val="000000" w:themeColor="text1"/>
          <w:lang w:val="en-US"/>
        </w:rPr>
        <w:t xml:space="preserve">This was mainly integrated into community activities, where the roles of men and women in managing the peatlands were assessed. </w:t>
      </w:r>
      <w:r w:rsidR="00855C26">
        <w:rPr>
          <w:rFonts w:cs="Calibri,Bold"/>
          <w:bCs/>
          <w:color w:val="000000" w:themeColor="text1"/>
          <w:lang w:val="en-US"/>
        </w:rPr>
        <w:t xml:space="preserve">However, the evaluation team did not identify any negative impact towards women in the implementation of activities. </w:t>
      </w:r>
      <w:r w:rsidR="00F51711" w:rsidRPr="00F51711">
        <w:rPr>
          <w:rFonts w:cs="Calibri,Bold"/>
          <w:bCs/>
          <w:color w:val="000000" w:themeColor="text1"/>
          <w:lang w:val="en-US"/>
        </w:rPr>
        <w:t xml:space="preserve">The BRG model on </w:t>
      </w:r>
      <w:r w:rsidR="00F51711">
        <w:rPr>
          <w:rFonts w:cs="Calibri,Bold"/>
          <w:bCs/>
          <w:color w:val="000000" w:themeColor="text1"/>
          <w:lang w:val="en-US"/>
        </w:rPr>
        <w:t>C</w:t>
      </w:r>
      <w:r w:rsidR="00F51711" w:rsidRPr="00F51711">
        <w:rPr>
          <w:rFonts w:cs="Calibri,Bold"/>
          <w:bCs/>
          <w:color w:val="000000" w:themeColor="text1"/>
          <w:lang w:val="en-US"/>
        </w:rPr>
        <w:t xml:space="preserve">omprehensive </w:t>
      </w:r>
      <w:r w:rsidR="00F51711">
        <w:rPr>
          <w:rFonts w:cs="Calibri,Bold"/>
          <w:bCs/>
          <w:color w:val="000000" w:themeColor="text1"/>
          <w:lang w:val="en-US"/>
        </w:rPr>
        <w:t>P</w:t>
      </w:r>
      <w:r w:rsidR="00F51711" w:rsidRPr="00F51711">
        <w:rPr>
          <w:rFonts w:cs="Calibri,Bold"/>
          <w:bCs/>
          <w:color w:val="000000" w:themeColor="text1"/>
          <w:lang w:val="en-US"/>
        </w:rPr>
        <w:t xml:space="preserve">eat </w:t>
      </w:r>
      <w:r w:rsidR="00F51711">
        <w:rPr>
          <w:rFonts w:cs="Calibri,Bold"/>
          <w:bCs/>
          <w:color w:val="000000" w:themeColor="text1"/>
          <w:lang w:val="en-US"/>
        </w:rPr>
        <w:t>R</w:t>
      </w:r>
      <w:r w:rsidR="00F51711" w:rsidRPr="00F51711">
        <w:rPr>
          <w:rFonts w:cs="Calibri,Bold"/>
          <w:bCs/>
          <w:color w:val="000000" w:themeColor="text1"/>
          <w:lang w:val="en-US"/>
        </w:rPr>
        <w:t>estoration</w:t>
      </w:r>
      <w:r w:rsidR="00F51711">
        <w:rPr>
          <w:rFonts w:cs="Calibri,Bold"/>
          <w:bCs/>
          <w:color w:val="000000" w:themeColor="text1"/>
          <w:lang w:val="en-US"/>
        </w:rPr>
        <w:t>,</w:t>
      </w:r>
      <w:r w:rsidR="00F51711" w:rsidRPr="00F51711">
        <w:rPr>
          <w:rFonts w:cs="Calibri,Bold"/>
          <w:bCs/>
          <w:color w:val="000000" w:themeColor="text1"/>
          <w:lang w:val="en-US"/>
        </w:rPr>
        <w:t xml:space="preserve"> piloted in Pulau Padang, Riau Province, is</w:t>
      </w:r>
      <w:r w:rsidR="00F51711">
        <w:rPr>
          <w:rFonts w:cs="Calibri,Bold"/>
          <w:bCs/>
          <w:color w:val="000000" w:themeColor="text1"/>
          <w:lang w:val="en-US"/>
        </w:rPr>
        <w:t xml:space="preserve"> </w:t>
      </w:r>
      <w:r w:rsidR="00F51711" w:rsidRPr="00F51711">
        <w:rPr>
          <w:rFonts w:cs="Calibri,Bold"/>
          <w:bCs/>
          <w:color w:val="000000" w:themeColor="text1"/>
          <w:lang w:val="en-US"/>
        </w:rPr>
        <w:t>an</w:t>
      </w:r>
      <w:r w:rsidR="00FD1E3E">
        <w:rPr>
          <w:rFonts w:cs="Calibri,Bold"/>
          <w:bCs/>
          <w:color w:val="000000" w:themeColor="text1"/>
          <w:lang w:val="en-US"/>
        </w:rPr>
        <w:t xml:space="preserve"> </w:t>
      </w:r>
      <w:r w:rsidR="00F51711" w:rsidRPr="00F51711">
        <w:rPr>
          <w:rFonts w:cs="Calibri,Bold"/>
          <w:bCs/>
          <w:color w:val="000000" w:themeColor="text1"/>
          <w:lang w:val="en-US"/>
        </w:rPr>
        <w:t>example o</w:t>
      </w:r>
      <w:r w:rsidR="00FD1E3E">
        <w:rPr>
          <w:rFonts w:cs="Calibri,Bold"/>
          <w:bCs/>
          <w:color w:val="000000" w:themeColor="text1"/>
          <w:lang w:val="en-US"/>
        </w:rPr>
        <w:t>f</w:t>
      </w:r>
      <w:r w:rsidR="00F51711" w:rsidRPr="00F51711">
        <w:rPr>
          <w:rFonts w:cs="Calibri,Bold"/>
          <w:bCs/>
          <w:color w:val="000000" w:themeColor="text1"/>
          <w:lang w:val="en-US"/>
        </w:rPr>
        <w:t xml:space="preserve"> women’s involvement in peatland restoration. This pilot has been able to map the division of labour between men and women.</w:t>
      </w:r>
      <w:r w:rsidR="00F51711">
        <w:rPr>
          <w:rFonts w:cs="Calibri,Bold"/>
          <w:bCs/>
          <w:color w:val="000000" w:themeColor="text1"/>
          <w:lang w:val="en-US"/>
        </w:rPr>
        <w:t xml:space="preserve"> Men were mainly involved in the management of sago plantations, while women were engaged in the downstream processing of sago flour and foods.</w:t>
      </w:r>
      <w:r w:rsidR="00D05FB3">
        <w:rPr>
          <w:rFonts w:cs="Calibri,Bold"/>
          <w:bCs/>
          <w:color w:val="000000" w:themeColor="text1"/>
          <w:lang w:val="en-US"/>
        </w:rPr>
        <w:t xml:space="preserve"> </w:t>
      </w:r>
    </w:p>
    <w:p w14:paraId="0BEAB965" w14:textId="46D71D60" w:rsidR="005D29CF" w:rsidRDefault="005D29CF" w:rsidP="00677389">
      <w:pPr>
        <w:autoSpaceDE w:val="0"/>
        <w:autoSpaceDN w:val="0"/>
        <w:adjustRightInd w:val="0"/>
        <w:spacing w:after="0" w:line="23" w:lineRule="atLeast"/>
        <w:rPr>
          <w:rFonts w:cs="Calibri,Bold"/>
          <w:bCs/>
          <w:color w:val="000000" w:themeColor="text1"/>
          <w:lang w:val="en-US"/>
        </w:rPr>
      </w:pPr>
    </w:p>
    <w:p w14:paraId="458EC2DE" w14:textId="501129A7" w:rsidR="005D29CF" w:rsidRDefault="005D29CF" w:rsidP="00677389">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Gender mainstreaming could have been better managed from the onset of the Project</w:t>
      </w:r>
      <w:r w:rsidR="001F36B1">
        <w:rPr>
          <w:rFonts w:cs="Calibri,Bold"/>
          <w:bCs/>
          <w:color w:val="000000" w:themeColor="text1"/>
          <w:lang w:val="en-US"/>
        </w:rPr>
        <w:t xml:space="preserve">, as </w:t>
      </w:r>
      <w:r>
        <w:rPr>
          <w:rFonts w:cs="Calibri,Bold"/>
          <w:bCs/>
          <w:color w:val="000000" w:themeColor="text1"/>
          <w:lang w:val="en-US"/>
        </w:rPr>
        <w:t>it was only in 2018 that UNDP mobilized a gender safeguards consultant for BRG to better mainstream gender issues within their overall program.</w:t>
      </w:r>
    </w:p>
    <w:p w14:paraId="71D3BD50" w14:textId="77777777" w:rsidR="006E2136" w:rsidRDefault="006E2136" w:rsidP="00677389">
      <w:pPr>
        <w:autoSpaceDE w:val="0"/>
        <w:autoSpaceDN w:val="0"/>
        <w:adjustRightInd w:val="0"/>
        <w:spacing w:after="0" w:line="23" w:lineRule="atLeast"/>
        <w:rPr>
          <w:rFonts w:cs="Calibri,Bold"/>
          <w:bCs/>
          <w:color w:val="000000" w:themeColor="text1"/>
          <w:lang w:val="en-US"/>
        </w:rPr>
      </w:pPr>
    </w:p>
    <w:p w14:paraId="6312884B" w14:textId="77777777" w:rsidR="006E2136" w:rsidRDefault="006E2136" w:rsidP="00842AD9">
      <w:pPr>
        <w:pStyle w:val="Heading3"/>
        <w:rPr>
          <w:rFonts w:cs="Calibri,Bold"/>
          <w:bCs/>
          <w:color w:val="000000" w:themeColor="text1"/>
          <w:lang w:val="en-US"/>
        </w:rPr>
      </w:pPr>
      <w:bookmarkStart w:id="19" w:name="_Toc528998437"/>
      <w:r w:rsidRPr="007D4907">
        <w:t>Effectiveness of implementation</w:t>
      </w:r>
      <w:bookmarkEnd w:id="19"/>
    </w:p>
    <w:p w14:paraId="5903842E" w14:textId="77777777" w:rsidR="006E2136" w:rsidRDefault="006E2136" w:rsidP="00677389">
      <w:pPr>
        <w:autoSpaceDE w:val="0"/>
        <w:autoSpaceDN w:val="0"/>
        <w:adjustRightInd w:val="0"/>
        <w:spacing w:after="0" w:line="23" w:lineRule="atLeast"/>
        <w:rPr>
          <w:rFonts w:cs="Calibri,Bold"/>
          <w:bCs/>
          <w:color w:val="000000" w:themeColor="text1"/>
          <w:lang w:val="en-US"/>
        </w:rPr>
      </w:pPr>
    </w:p>
    <w:p w14:paraId="5463BA84" w14:textId="36B00019" w:rsidR="00810A03" w:rsidRDefault="00BE70B5" w:rsidP="00677389">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 xml:space="preserve">Implementation was assessed </w:t>
      </w:r>
      <w:r w:rsidR="001F36B1">
        <w:rPr>
          <w:rFonts w:cs="Calibri,Bold"/>
          <w:bCs/>
          <w:color w:val="000000" w:themeColor="text1"/>
          <w:lang w:val="en-US"/>
        </w:rPr>
        <w:t xml:space="preserve">to be </w:t>
      </w:r>
      <w:r>
        <w:rPr>
          <w:rFonts w:cs="Calibri,Bold"/>
          <w:bCs/>
          <w:color w:val="000000" w:themeColor="text1"/>
          <w:lang w:val="en-US"/>
        </w:rPr>
        <w:t>effective</w:t>
      </w:r>
      <w:r w:rsidR="001F36B1">
        <w:rPr>
          <w:rFonts w:cs="Calibri,Bold"/>
          <w:bCs/>
          <w:color w:val="000000" w:themeColor="text1"/>
          <w:lang w:val="en-US"/>
        </w:rPr>
        <w:t xml:space="preserve"> overall</w:t>
      </w:r>
      <w:r>
        <w:rPr>
          <w:rFonts w:cs="Calibri,Bold"/>
          <w:bCs/>
          <w:color w:val="000000" w:themeColor="text1"/>
          <w:lang w:val="en-US"/>
        </w:rPr>
        <w:t xml:space="preserve">. </w:t>
      </w:r>
      <w:r w:rsidR="00810A03">
        <w:rPr>
          <w:rFonts w:cs="Calibri,Bold"/>
          <w:bCs/>
          <w:color w:val="000000" w:themeColor="text1"/>
          <w:lang w:val="en-US"/>
        </w:rPr>
        <w:t>The support provided to BRG was appropriate. Over two years, it enabled BRG to grow from a very small organization to a fully functioning agency with significant national government funding. UNDP</w:t>
      </w:r>
      <w:r w:rsidR="001F36B1">
        <w:rPr>
          <w:rFonts w:cs="Calibri,Bold"/>
          <w:bCs/>
          <w:color w:val="000000" w:themeColor="text1"/>
          <w:lang w:val="en-US"/>
        </w:rPr>
        <w:t>’</w:t>
      </w:r>
      <w:r w:rsidR="00810A03">
        <w:rPr>
          <w:rFonts w:cs="Calibri,Bold"/>
          <w:bCs/>
          <w:color w:val="000000" w:themeColor="text1"/>
          <w:lang w:val="en-US"/>
        </w:rPr>
        <w:t xml:space="preserve">s support enabled both BRG and KLHK to procure equipment and services that would have been difficult to procure under government procurement regulations in a short time frame. The achievements highlighted above demonstrate the value of this support. </w:t>
      </w:r>
    </w:p>
    <w:p w14:paraId="5884B3B6" w14:textId="6924AC42" w:rsidR="006F6E81" w:rsidRDefault="006F6E81" w:rsidP="00677389">
      <w:pPr>
        <w:autoSpaceDE w:val="0"/>
        <w:autoSpaceDN w:val="0"/>
        <w:adjustRightInd w:val="0"/>
        <w:spacing w:after="0" w:line="23" w:lineRule="atLeast"/>
        <w:rPr>
          <w:rFonts w:cs="Calibri,Bold"/>
          <w:bCs/>
          <w:color w:val="000000" w:themeColor="text1"/>
          <w:lang w:val="en-US"/>
        </w:rPr>
      </w:pPr>
    </w:p>
    <w:p w14:paraId="07DCC706" w14:textId="71AC0360" w:rsidR="00BC0A2E" w:rsidRDefault="004D1589" w:rsidP="00677389">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 xml:space="preserve">UNDP support to KLHK was significant in developing a command </w:t>
      </w:r>
      <w:r w:rsidR="006724DF">
        <w:rPr>
          <w:rFonts w:cs="Calibri,Bold"/>
          <w:bCs/>
          <w:color w:val="000000" w:themeColor="text1"/>
          <w:lang w:val="en-US"/>
        </w:rPr>
        <w:t>C</w:t>
      </w:r>
      <w:r>
        <w:rPr>
          <w:rFonts w:cs="Calibri,Bold"/>
          <w:bCs/>
          <w:color w:val="000000" w:themeColor="text1"/>
          <w:lang w:val="en-US"/>
        </w:rPr>
        <w:t>ent</w:t>
      </w:r>
      <w:r w:rsidR="006724DF">
        <w:rPr>
          <w:rFonts w:cs="Calibri,Bold"/>
          <w:bCs/>
          <w:color w:val="000000" w:themeColor="text1"/>
          <w:lang w:val="en-US"/>
        </w:rPr>
        <w:t>re</w:t>
      </w:r>
      <w:r>
        <w:rPr>
          <w:rFonts w:cs="Calibri,Bold"/>
          <w:bCs/>
          <w:color w:val="000000" w:themeColor="text1"/>
          <w:lang w:val="en-US"/>
        </w:rPr>
        <w:t xml:space="preserve"> for Law Enforcement. Using UNDP procurement procedures, appropriate equipment and software could be supplied to the Ministry. </w:t>
      </w:r>
      <w:r w:rsidR="00735D7F">
        <w:rPr>
          <w:rFonts w:cs="Calibri,Bold"/>
          <w:bCs/>
          <w:color w:val="000000" w:themeColor="text1"/>
          <w:lang w:val="en-US"/>
        </w:rPr>
        <w:t xml:space="preserve">This procurement process was seen by KLHK as highly effective, as </w:t>
      </w:r>
      <w:r>
        <w:rPr>
          <w:rFonts w:cs="Calibri,Bold"/>
          <w:bCs/>
          <w:color w:val="000000" w:themeColor="text1"/>
          <w:lang w:val="en-US"/>
        </w:rPr>
        <w:t>G</w:t>
      </w:r>
      <w:r w:rsidR="001F36B1">
        <w:rPr>
          <w:rFonts w:cs="Calibri,Bold"/>
          <w:bCs/>
          <w:color w:val="000000" w:themeColor="text1"/>
          <w:lang w:val="en-US"/>
        </w:rPr>
        <w:t>O</w:t>
      </w:r>
      <w:r>
        <w:rPr>
          <w:rFonts w:cs="Calibri,Bold"/>
          <w:bCs/>
          <w:color w:val="000000" w:themeColor="text1"/>
          <w:lang w:val="en-US"/>
        </w:rPr>
        <w:t xml:space="preserve">I procurement procedures that require the cheapest price would have resulted in suboptimal equipment being </w:t>
      </w:r>
      <w:r w:rsidR="00735D7F">
        <w:rPr>
          <w:rFonts w:cs="Calibri,Bold"/>
          <w:bCs/>
          <w:color w:val="000000" w:themeColor="text1"/>
          <w:lang w:val="en-US"/>
        </w:rPr>
        <w:t>installed</w:t>
      </w:r>
      <w:r>
        <w:rPr>
          <w:rFonts w:cs="Calibri,Bold"/>
          <w:bCs/>
          <w:color w:val="000000" w:themeColor="text1"/>
          <w:lang w:val="en-US"/>
        </w:rPr>
        <w:t>.</w:t>
      </w:r>
      <w:r w:rsidR="00735D7F">
        <w:rPr>
          <w:rFonts w:cs="Calibri,Bold"/>
          <w:bCs/>
          <w:color w:val="000000" w:themeColor="text1"/>
          <w:lang w:val="en-US"/>
        </w:rPr>
        <w:t xml:space="preserve"> KLHK now has a fully functional Command Cent</w:t>
      </w:r>
      <w:r w:rsidR="006724DF">
        <w:rPr>
          <w:rFonts w:cs="Calibri,Bold"/>
          <w:bCs/>
          <w:color w:val="000000" w:themeColor="text1"/>
          <w:lang w:val="en-US"/>
        </w:rPr>
        <w:t>re</w:t>
      </w:r>
      <w:r w:rsidR="00735D7F">
        <w:rPr>
          <w:rFonts w:cs="Calibri,Bold"/>
          <w:bCs/>
          <w:color w:val="000000" w:themeColor="text1"/>
          <w:lang w:val="en-US"/>
        </w:rPr>
        <w:t xml:space="preserve"> at the national level and a function</w:t>
      </w:r>
      <w:r w:rsidR="00FD1E3E">
        <w:rPr>
          <w:rFonts w:cs="Calibri,Bold"/>
          <w:bCs/>
          <w:color w:val="000000" w:themeColor="text1"/>
          <w:lang w:val="en-US"/>
        </w:rPr>
        <w:t>al</w:t>
      </w:r>
      <w:r w:rsidR="00735D7F">
        <w:rPr>
          <w:rFonts w:cs="Calibri,Bold"/>
          <w:bCs/>
          <w:color w:val="000000" w:themeColor="text1"/>
          <w:lang w:val="en-US"/>
        </w:rPr>
        <w:t xml:space="preserve"> facility in Palembang. The final functionality of the Pontianak Opsroom is uncertain while the M</w:t>
      </w:r>
      <w:r w:rsidR="00FD1E3E">
        <w:rPr>
          <w:rFonts w:cs="Calibri,Bold"/>
          <w:bCs/>
          <w:color w:val="000000" w:themeColor="text1"/>
          <w:lang w:val="en-US"/>
        </w:rPr>
        <w:t>a</w:t>
      </w:r>
      <w:r w:rsidR="00735D7F">
        <w:rPr>
          <w:rFonts w:cs="Calibri,Bold"/>
          <w:bCs/>
          <w:color w:val="000000" w:themeColor="text1"/>
          <w:lang w:val="en-US"/>
        </w:rPr>
        <w:t>nokw</w:t>
      </w:r>
      <w:r w:rsidR="00FD1E3E">
        <w:rPr>
          <w:rFonts w:cs="Calibri,Bold"/>
          <w:bCs/>
          <w:color w:val="000000" w:themeColor="text1"/>
          <w:lang w:val="en-US"/>
        </w:rPr>
        <w:t>ar</w:t>
      </w:r>
      <w:r w:rsidR="00735D7F">
        <w:rPr>
          <w:rFonts w:cs="Calibri,Bold"/>
          <w:bCs/>
          <w:color w:val="000000" w:themeColor="text1"/>
          <w:lang w:val="en-US"/>
        </w:rPr>
        <w:t xml:space="preserve">i facility may require APBN financing. </w:t>
      </w:r>
      <w:r>
        <w:rPr>
          <w:rFonts w:cs="Calibri,Bold"/>
          <w:bCs/>
          <w:color w:val="000000" w:themeColor="text1"/>
          <w:lang w:val="en-US"/>
        </w:rPr>
        <w:t xml:space="preserve">The challenge now with UNDP’s contract being completed is the </w:t>
      </w:r>
      <w:r w:rsidR="00FD1E3E">
        <w:rPr>
          <w:rFonts w:cs="Calibri,Bold"/>
          <w:bCs/>
          <w:color w:val="000000" w:themeColor="text1"/>
          <w:lang w:val="en-US"/>
        </w:rPr>
        <w:t xml:space="preserve">uncertainty regarding the </w:t>
      </w:r>
      <w:r>
        <w:rPr>
          <w:rFonts w:cs="Calibri,Bold"/>
          <w:bCs/>
          <w:color w:val="000000" w:themeColor="text1"/>
          <w:lang w:val="en-US"/>
        </w:rPr>
        <w:t>formal transfer of assets through the BAST</w:t>
      </w:r>
      <w:r w:rsidR="00B30CF9">
        <w:rPr>
          <w:rFonts w:cs="Calibri,Bold"/>
          <w:bCs/>
          <w:color w:val="000000" w:themeColor="text1"/>
          <w:lang w:val="en-US"/>
        </w:rPr>
        <w:t xml:space="preserve"> process</w:t>
      </w:r>
      <w:r w:rsidR="0020682E">
        <w:rPr>
          <w:rFonts w:cs="Calibri,Bold"/>
          <w:bCs/>
          <w:color w:val="000000" w:themeColor="text1"/>
          <w:lang w:val="en-US"/>
        </w:rPr>
        <w:t xml:space="preserve">. </w:t>
      </w:r>
    </w:p>
    <w:p w14:paraId="1A6897AD" w14:textId="77777777" w:rsidR="00BC0A2E" w:rsidRDefault="00BC0A2E" w:rsidP="00677389">
      <w:pPr>
        <w:autoSpaceDE w:val="0"/>
        <w:autoSpaceDN w:val="0"/>
        <w:adjustRightInd w:val="0"/>
        <w:spacing w:after="0" w:line="23" w:lineRule="atLeast"/>
        <w:rPr>
          <w:rFonts w:cs="Calibri,Bold"/>
          <w:bCs/>
          <w:color w:val="000000" w:themeColor="text1"/>
          <w:lang w:val="en-US"/>
        </w:rPr>
      </w:pPr>
    </w:p>
    <w:p w14:paraId="3EF14AD3" w14:textId="7D5C6138" w:rsidR="004D1589" w:rsidRDefault="0020682E" w:rsidP="00677389">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The BAST process is the formal hand over of assets to the Government of Indonesia Asset Register to enable ongoing operation and maintenance through APBN budget processes. For KL</w:t>
      </w:r>
      <w:r w:rsidR="00735D7F">
        <w:rPr>
          <w:rFonts w:cs="Calibri,Bold"/>
          <w:bCs/>
          <w:color w:val="000000" w:themeColor="text1"/>
          <w:lang w:val="en-US"/>
        </w:rPr>
        <w:t>HK</w:t>
      </w:r>
      <w:r>
        <w:rPr>
          <w:rFonts w:cs="Calibri,Bold"/>
          <w:bCs/>
          <w:color w:val="000000" w:themeColor="text1"/>
          <w:lang w:val="en-US"/>
        </w:rPr>
        <w:t xml:space="preserve"> assets, this requires documentation of assets purchased by UNDP through the Norwegian grant in accordance </w:t>
      </w:r>
      <w:r>
        <w:rPr>
          <w:rFonts w:cs="Calibri,Bold"/>
          <w:bCs/>
          <w:color w:val="000000" w:themeColor="text1"/>
          <w:lang w:val="en-US"/>
        </w:rPr>
        <w:lastRenderedPageBreak/>
        <w:t xml:space="preserve">with </w:t>
      </w:r>
      <w:r w:rsidR="00FD1E3E">
        <w:rPr>
          <w:rFonts w:cs="Calibri,Bold"/>
          <w:bCs/>
          <w:color w:val="000000" w:themeColor="text1"/>
          <w:lang w:val="en-US"/>
        </w:rPr>
        <w:t xml:space="preserve">the </w:t>
      </w:r>
      <w:r>
        <w:rPr>
          <w:rFonts w:cs="Calibri,Bold"/>
          <w:bCs/>
          <w:color w:val="000000" w:themeColor="text1"/>
          <w:lang w:val="en-US"/>
        </w:rPr>
        <w:t>Ministry of Finance procedures. For assets</w:t>
      </w:r>
      <w:r w:rsidR="00B30CF9">
        <w:rPr>
          <w:rFonts w:cs="Calibri,Bold"/>
          <w:bCs/>
          <w:color w:val="000000" w:themeColor="text1"/>
          <w:lang w:val="en-US"/>
        </w:rPr>
        <w:t xml:space="preserve"> supplied by the grant</w:t>
      </w:r>
      <w:r>
        <w:rPr>
          <w:rFonts w:cs="Calibri,Bold"/>
          <w:bCs/>
          <w:color w:val="000000" w:themeColor="text1"/>
          <w:lang w:val="en-US"/>
        </w:rPr>
        <w:t xml:space="preserve">, they need to </w:t>
      </w:r>
      <w:r w:rsidR="00AD1188">
        <w:rPr>
          <w:rFonts w:cs="Calibri,Bold"/>
          <w:bCs/>
          <w:color w:val="000000" w:themeColor="text1"/>
          <w:lang w:val="en-US"/>
        </w:rPr>
        <w:t>be</w:t>
      </w:r>
      <w:r>
        <w:rPr>
          <w:rFonts w:cs="Calibri,Bold"/>
          <w:bCs/>
          <w:color w:val="000000" w:themeColor="text1"/>
          <w:lang w:val="en-US"/>
        </w:rPr>
        <w:t xml:space="preserve"> documented on the Ministry’s asset register to ensure </w:t>
      </w:r>
      <w:r w:rsidR="00FD1E3E">
        <w:rPr>
          <w:rFonts w:cs="Calibri,Bold"/>
          <w:bCs/>
          <w:color w:val="000000" w:themeColor="text1"/>
          <w:lang w:val="en-US"/>
        </w:rPr>
        <w:t xml:space="preserve">the </w:t>
      </w:r>
      <w:r>
        <w:rPr>
          <w:rFonts w:cs="Calibri,Bold"/>
          <w:bCs/>
          <w:color w:val="000000" w:themeColor="text1"/>
          <w:lang w:val="en-US"/>
        </w:rPr>
        <w:t>budget can be provided to operate and maintain the system, as well as further enhanc</w:t>
      </w:r>
      <w:r w:rsidR="00FD1E3E">
        <w:rPr>
          <w:rFonts w:cs="Calibri,Bold"/>
          <w:bCs/>
          <w:color w:val="000000" w:themeColor="text1"/>
          <w:lang w:val="en-US"/>
        </w:rPr>
        <w:t>e</w:t>
      </w:r>
      <w:r>
        <w:rPr>
          <w:rFonts w:cs="Calibri,Bold"/>
          <w:bCs/>
          <w:color w:val="000000" w:themeColor="text1"/>
          <w:lang w:val="en-US"/>
        </w:rPr>
        <w:t xml:space="preserve"> the system in the future as</w:t>
      </w:r>
      <w:r w:rsidR="00FD1E3E">
        <w:rPr>
          <w:rFonts w:cs="Calibri,Bold"/>
          <w:bCs/>
          <w:color w:val="000000" w:themeColor="text1"/>
          <w:lang w:val="en-US"/>
        </w:rPr>
        <w:t xml:space="preserve"> changes are</w:t>
      </w:r>
      <w:r>
        <w:rPr>
          <w:rFonts w:cs="Calibri,Bold"/>
          <w:bCs/>
          <w:color w:val="000000" w:themeColor="text1"/>
          <w:lang w:val="en-US"/>
        </w:rPr>
        <w:t xml:space="preserve"> need</w:t>
      </w:r>
      <w:r w:rsidR="00FD1E3E">
        <w:rPr>
          <w:rFonts w:cs="Calibri,Bold"/>
          <w:bCs/>
          <w:color w:val="000000" w:themeColor="text1"/>
          <w:lang w:val="en-US"/>
        </w:rPr>
        <w:t>ed</w:t>
      </w:r>
      <w:r>
        <w:rPr>
          <w:rFonts w:cs="Calibri,Bold"/>
          <w:bCs/>
          <w:color w:val="000000" w:themeColor="text1"/>
          <w:lang w:val="en-US"/>
        </w:rPr>
        <w:t>. As the grantee is BRG, the BAST asset transfer is further complicated. This may impact the ongoing</w:t>
      </w:r>
      <w:r w:rsidR="00FD1E3E">
        <w:rPr>
          <w:rFonts w:cs="Calibri,Bold"/>
          <w:bCs/>
          <w:color w:val="000000" w:themeColor="text1"/>
          <w:lang w:val="en-US"/>
        </w:rPr>
        <w:t xml:space="preserve"> and future</w:t>
      </w:r>
      <w:r>
        <w:rPr>
          <w:rFonts w:cs="Calibri,Bold"/>
          <w:bCs/>
          <w:color w:val="000000" w:themeColor="text1"/>
          <w:lang w:val="en-US"/>
        </w:rPr>
        <w:t xml:space="preserve"> sustainability of the Cent</w:t>
      </w:r>
      <w:r w:rsidR="006724DF">
        <w:rPr>
          <w:rFonts w:cs="Calibri,Bold"/>
          <w:bCs/>
          <w:color w:val="000000" w:themeColor="text1"/>
          <w:lang w:val="en-US"/>
        </w:rPr>
        <w:t>re</w:t>
      </w:r>
      <w:r>
        <w:rPr>
          <w:rFonts w:cs="Calibri,Bold"/>
          <w:bCs/>
          <w:color w:val="000000" w:themeColor="text1"/>
          <w:lang w:val="en-US"/>
        </w:rPr>
        <w:t xml:space="preserve">s and Opsrooms in Pontianak and Palembang. It is uncertain as to whether or not future grant funds will </w:t>
      </w:r>
      <w:r w:rsidR="00D63AE4">
        <w:rPr>
          <w:rFonts w:cs="Calibri,Bold"/>
          <w:bCs/>
          <w:color w:val="000000" w:themeColor="text1"/>
          <w:lang w:val="en-US"/>
        </w:rPr>
        <w:t>be</w:t>
      </w:r>
      <w:r>
        <w:rPr>
          <w:rFonts w:cs="Calibri,Bold"/>
          <w:bCs/>
          <w:color w:val="000000" w:themeColor="text1"/>
          <w:lang w:val="en-US"/>
        </w:rPr>
        <w:t xml:space="preserve"> made available for the Manokw</w:t>
      </w:r>
      <w:r w:rsidR="00FD1E3E">
        <w:rPr>
          <w:rFonts w:cs="Calibri,Bold"/>
          <w:bCs/>
          <w:color w:val="000000" w:themeColor="text1"/>
          <w:lang w:val="en-US"/>
        </w:rPr>
        <w:t>ar</w:t>
      </w:r>
      <w:r>
        <w:rPr>
          <w:rFonts w:cs="Calibri,Bold"/>
          <w:bCs/>
          <w:color w:val="000000" w:themeColor="text1"/>
          <w:lang w:val="en-US"/>
        </w:rPr>
        <w:t xml:space="preserve">i Opsroom. </w:t>
      </w:r>
    </w:p>
    <w:p w14:paraId="3E56EA9B" w14:textId="77777777" w:rsidR="004D1589" w:rsidRDefault="004D1589" w:rsidP="00677389">
      <w:pPr>
        <w:autoSpaceDE w:val="0"/>
        <w:autoSpaceDN w:val="0"/>
        <w:adjustRightInd w:val="0"/>
        <w:spacing w:after="0" w:line="23" w:lineRule="atLeast"/>
        <w:rPr>
          <w:rFonts w:cs="Calibri,Bold"/>
          <w:bCs/>
          <w:color w:val="000000" w:themeColor="text1"/>
          <w:lang w:val="en-US"/>
        </w:rPr>
      </w:pPr>
    </w:p>
    <w:p w14:paraId="75EF34E4" w14:textId="17FDEA38" w:rsidR="006F6E81" w:rsidRDefault="006F6E81" w:rsidP="00677389">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The engagement of NGOs to support BRG activities in the field was very effective</w:t>
      </w:r>
      <w:r w:rsidR="00D63AE4">
        <w:rPr>
          <w:rFonts w:cs="Calibri,Bold"/>
          <w:bCs/>
          <w:color w:val="000000" w:themeColor="text1"/>
          <w:lang w:val="en-US"/>
        </w:rPr>
        <w:t>.</w:t>
      </w:r>
      <w:r>
        <w:rPr>
          <w:rFonts w:cs="Calibri,Bold"/>
          <w:bCs/>
          <w:color w:val="000000" w:themeColor="text1"/>
          <w:lang w:val="en-US"/>
        </w:rPr>
        <w:t xml:space="preserve"> The NGOs were able to</w:t>
      </w:r>
      <w:r w:rsidR="00D63AE4">
        <w:rPr>
          <w:rFonts w:cs="Calibri,Bold"/>
          <w:bCs/>
          <w:color w:val="000000" w:themeColor="text1"/>
          <w:lang w:val="en-US"/>
        </w:rPr>
        <w:t xml:space="preserve"> establish pilot activities and</w:t>
      </w:r>
      <w:r>
        <w:rPr>
          <w:rFonts w:cs="Calibri,Bold"/>
          <w:bCs/>
          <w:color w:val="000000" w:themeColor="text1"/>
          <w:lang w:val="en-US"/>
        </w:rPr>
        <w:t xml:space="preserve"> implement a wide range of </w:t>
      </w:r>
      <w:r w:rsidR="00D63AE4">
        <w:rPr>
          <w:rFonts w:cs="Calibri,Bold"/>
          <w:bCs/>
          <w:color w:val="000000" w:themeColor="text1"/>
          <w:lang w:val="en-US"/>
        </w:rPr>
        <w:t>interventions,</w:t>
      </w:r>
      <w:r>
        <w:rPr>
          <w:rFonts w:cs="Calibri,Bold"/>
          <w:bCs/>
          <w:color w:val="000000" w:themeColor="text1"/>
          <w:lang w:val="en-US"/>
        </w:rPr>
        <w:t xml:space="preserve"> including drilling deep wells and setting up demonstrations.</w:t>
      </w:r>
      <w:r w:rsidR="00D63AE4">
        <w:rPr>
          <w:rFonts w:cs="Calibri,Bold"/>
          <w:bCs/>
          <w:color w:val="000000" w:themeColor="text1"/>
          <w:lang w:val="en-US"/>
        </w:rPr>
        <w:t xml:space="preserve"> Through </w:t>
      </w:r>
      <w:r w:rsidR="00FD1E3E">
        <w:rPr>
          <w:rFonts w:cs="Calibri,Bold"/>
          <w:bCs/>
          <w:color w:val="000000" w:themeColor="text1"/>
          <w:lang w:val="en-US"/>
        </w:rPr>
        <w:t xml:space="preserve">the provision of </w:t>
      </w:r>
      <w:r w:rsidR="00B30CF9">
        <w:rPr>
          <w:rFonts w:cs="Calibri,Bold"/>
          <w:bCs/>
          <w:color w:val="000000" w:themeColor="text1"/>
          <w:lang w:val="en-US"/>
        </w:rPr>
        <w:t>no-</w:t>
      </w:r>
      <w:r w:rsidR="00D63AE4">
        <w:rPr>
          <w:rFonts w:cs="Calibri,Bold"/>
          <w:bCs/>
          <w:color w:val="000000" w:themeColor="text1"/>
          <w:lang w:val="en-US"/>
        </w:rPr>
        <w:t xml:space="preserve">cost extensions over the life of the Project, NGOs were able to implement their agreed </w:t>
      </w:r>
      <w:r w:rsidR="00FD1E3E">
        <w:rPr>
          <w:rFonts w:cs="Calibri,Bold"/>
          <w:bCs/>
          <w:color w:val="000000" w:themeColor="text1"/>
          <w:lang w:val="en-US"/>
        </w:rPr>
        <w:t>upon work plan</w:t>
      </w:r>
      <w:r w:rsidR="00D63AE4">
        <w:rPr>
          <w:rFonts w:cs="Calibri,Bold"/>
          <w:bCs/>
          <w:color w:val="000000" w:themeColor="text1"/>
          <w:lang w:val="en-US"/>
        </w:rPr>
        <w:t xml:space="preserve">. </w:t>
      </w:r>
      <w:r>
        <w:rPr>
          <w:rFonts w:cs="Calibri,Bold"/>
          <w:bCs/>
          <w:color w:val="000000" w:themeColor="text1"/>
          <w:lang w:val="en-US"/>
        </w:rPr>
        <w:t xml:space="preserve">Although the NGO grant activities were able to generally meet their agreed outputs in the limited time available, more effective outcomes would have been achieved through a longer timeframe. </w:t>
      </w:r>
      <w:r w:rsidR="00D63AE4">
        <w:rPr>
          <w:rFonts w:cs="Calibri,Bold"/>
          <w:bCs/>
          <w:color w:val="000000" w:themeColor="text1"/>
          <w:lang w:val="en-US"/>
        </w:rPr>
        <w:t xml:space="preserve">It is now up to BRG to continue supporting the NGOs through APBN funding. </w:t>
      </w:r>
    </w:p>
    <w:p w14:paraId="74CCFE9E" w14:textId="77777777" w:rsidR="006E2136" w:rsidRDefault="006E2136" w:rsidP="00677389">
      <w:pPr>
        <w:autoSpaceDE w:val="0"/>
        <w:autoSpaceDN w:val="0"/>
        <w:adjustRightInd w:val="0"/>
        <w:spacing w:after="0" w:line="23" w:lineRule="atLeast"/>
        <w:rPr>
          <w:rFonts w:cs="Calibri,Bold"/>
          <w:bCs/>
          <w:color w:val="000000" w:themeColor="text1"/>
          <w:lang w:val="en-US"/>
        </w:rPr>
      </w:pPr>
    </w:p>
    <w:p w14:paraId="7750F3E6" w14:textId="030F2D28" w:rsidR="006E2136" w:rsidRPr="00677389" w:rsidRDefault="006E2136" w:rsidP="00842AD9">
      <w:pPr>
        <w:pStyle w:val="Heading3"/>
        <w:rPr>
          <w:rFonts w:cs="Calibri,Bold"/>
          <w:bCs/>
          <w:color w:val="000000" w:themeColor="text1"/>
          <w:lang w:val="en-US"/>
        </w:rPr>
      </w:pPr>
      <w:bookmarkStart w:id="20" w:name="_Toc528998438"/>
      <w:r w:rsidRPr="007D4907">
        <w:t>Effectiveness of management arrangements</w:t>
      </w:r>
      <w:bookmarkEnd w:id="20"/>
    </w:p>
    <w:p w14:paraId="77A9AC2C" w14:textId="77777777" w:rsidR="00291938" w:rsidRDefault="00291938" w:rsidP="00197DDF">
      <w:pPr>
        <w:autoSpaceDE w:val="0"/>
        <w:autoSpaceDN w:val="0"/>
        <w:adjustRightInd w:val="0"/>
        <w:spacing w:after="0" w:line="23" w:lineRule="atLeast"/>
        <w:rPr>
          <w:rFonts w:cs="Calibri,Bold"/>
          <w:bCs/>
          <w:color w:val="000000" w:themeColor="text1"/>
          <w:lang w:val="en-US"/>
        </w:rPr>
      </w:pPr>
    </w:p>
    <w:p w14:paraId="433F0A4C" w14:textId="3537C0F5" w:rsidR="006E2136" w:rsidRDefault="00BE70B5" w:rsidP="00197DDF">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 xml:space="preserve">Management arrangements </w:t>
      </w:r>
      <w:r w:rsidR="0050584E">
        <w:rPr>
          <w:rFonts w:cs="Calibri,Bold"/>
          <w:bCs/>
          <w:color w:val="000000" w:themeColor="text1"/>
          <w:lang w:val="en-US"/>
        </w:rPr>
        <w:t>were generally assessed as good</w:t>
      </w:r>
      <w:r>
        <w:rPr>
          <w:rFonts w:cs="Calibri,Bold"/>
          <w:bCs/>
          <w:color w:val="000000" w:themeColor="text1"/>
          <w:lang w:val="en-US"/>
        </w:rPr>
        <w:t xml:space="preserve">. </w:t>
      </w:r>
      <w:r w:rsidR="0050584E">
        <w:rPr>
          <w:rFonts w:cs="Calibri,Bold"/>
          <w:bCs/>
          <w:color w:val="000000" w:themeColor="text1"/>
          <w:lang w:val="en-US"/>
        </w:rPr>
        <w:t>The Program</w:t>
      </w:r>
      <w:r w:rsidR="00D012BA">
        <w:rPr>
          <w:rFonts w:cs="Calibri,Bold"/>
          <w:bCs/>
          <w:color w:val="000000" w:themeColor="text1"/>
          <w:lang w:val="en-US"/>
        </w:rPr>
        <w:t>me</w:t>
      </w:r>
      <w:r w:rsidR="0050584E">
        <w:rPr>
          <w:rFonts w:cs="Calibri,Bold"/>
          <w:bCs/>
          <w:color w:val="000000" w:themeColor="text1"/>
          <w:lang w:val="en-US"/>
        </w:rPr>
        <w:t xml:space="preserve"> Manager</w:t>
      </w:r>
      <w:r w:rsidR="00A8741A">
        <w:rPr>
          <w:rFonts w:cs="Calibri,Bold"/>
          <w:bCs/>
          <w:color w:val="000000" w:themeColor="text1"/>
          <w:lang w:val="en-US"/>
        </w:rPr>
        <w:t xml:space="preserve">, </w:t>
      </w:r>
      <w:r w:rsidR="0050584E">
        <w:rPr>
          <w:rFonts w:cs="Calibri,Bold"/>
          <w:bCs/>
          <w:color w:val="000000" w:themeColor="text1"/>
          <w:lang w:val="en-US"/>
        </w:rPr>
        <w:t>Dr Abdul Situmorang</w:t>
      </w:r>
      <w:r w:rsidR="00D012BA">
        <w:rPr>
          <w:rFonts w:cs="Calibri,Bold"/>
          <w:bCs/>
          <w:color w:val="000000" w:themeColor="text1"/>
          <w:lang w:val="en-US"/>
        </w:rPr>
        <w:t>, played a key role in liaising with the key stakeholders, namely BRG, KLHK</w:t>
      </w:r>
      <w:r w:rsidR="00B30CF9">
        <w:rPr>
          <w:rFonts w:cs="Calibri,Bold"/>
          <w:bCs/>
          <w:color w:val="000000" w:themeColor="text1"/>
          <w:lang w:val="en-US"/>
        </w:rPr>
        <w:t>,</w:t>
      </w:r>
      <w:r w:rsidR="00D012BA">
        <w:rPr>
          <w:rFonts w:cs="Calibri,Bold"/>
          <w:bCs/>
          <w:color w:val="000000" w:themeColor="text1"/>
          <w:lang w:val="en-US"/>
        </w:rPr>
        <w:t xml:space="preserve"> and the </w:t>
      </w:r>
      <w:r w:rsidR="00FD1E3E">
        <w:rPr>
          <w:rFonts w:cs="Calibri,Bold"/>
          <w:bCs/>
          <w:color w:val="000000" w:themeColor="text1"/>
          <w:lang w:val="en-US"/>
        </w:rPr>
        <w:t xml:space="preserve">Embassy of </w:t>
      </w:r>
      <w:r w:rsidR="00D012BA">
        <w:rPr>
          <w:rFonts w:cs="Calibri,Bold"/>
          <w:bCs/>
          <w:color w:val="000000" w:themeColor="text1"/>
          <w:lang w:val="en-US"/>
        </w:rPr>
        <w:t xml:space="preserve">Norway. </w:t>
      </w:r>
      <w:r w:rsidR="001F3836">
        <w:rPr>
          <w:rFonts w:cs="Calibri,Bold"/>
          <w:bCs/>
          <w:color w:val="000000" w:themeColor="text1"/>
          <w:lang w:val="en-US"/>
        </w:rPr>
        <w:t xml:space="preserve">UNDP management team effectively monitored all activities and responded in a timely </w:t>
      </w:r>
      <w:r w:rsidR="00FD1E3E">
        <w:rPr>
          <w:rFonts w:cs="Calibri,Bold"/>
          <w:bCs/>
          <w:color w:val="000000" w:themeColor="text1"/>
          <w:lang w:val="en-US"/>
        </w:rPr>
        <w:t xml:space="preserve">manner </w:t>
      </w:r>
      <w:r w:rsidR="001F3836">
        <w:rPr>
          <w:rFonts w:cs="Calibri,Bold"/>
          <w:bCs/>
          <w:color w:val="000000" w:themeColor="text1"/>
          <w:lang w:val="en-US"/>
        </w:rPr>
        <w:t>to requests from BRG through the PMU.</w:t>
      </w:r>
    </w:p>
    <w:p w14:paraId="647AD841" w14:textId="77777777" w:rsidR="006E2136" w:rsidRDefault="006E2136" w:rsidP="00197DDF">
      <w:pPr>
        <w:autoSpaceDE w:val="0"/>
        <w:autoSpaceDN w:val="0"/>
        <w:adjustRightInd w:val="0"/>
        <w:spacing w:after="0" w:line="23" w:lineRule="atLeast"/>
        <w:rPr>
          <w:rFonts w:cs="Calibri,Bold"/>
          <w:bCs/>
          <w:color w:val="000000" w:themeColor="text1"/>
          <w:lang w:val="en-US"/>
        </w:rPr>
      </w:pPr>
    </w:p>
    <w:p w14:paraId="57C71CDD" w14:textId="66D3A613" w:rsidR="006E2136" w:rsidRDefault="00D63AE4" w:rsidP="00197DDF">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 xml:space="preserve">The Project Board met in November 2016 and was consulted throughout 2017. </w:t>
      </w:r>
      <w:r w:rsidR="005D29CF">
        <w:rPr>
          <w:rFonts w:cs="Calibri,Bold"/>
          <w:bCs/>
          <w:color w:val="000000" w:themeColor="text1"/>
          <w:lang w:val="en-US"/>
        </w:rPr>
        <w:t xml:space="preserve">A </w:t>
      </w:r>
      <w:r>
        <w:rPr>
          <w:rFonts w:cs="Calibri,Bold"/>
          <w:bCs/>
          <w:color w:val="000000" w:themeColor="text1"/>
          <w:lang w:val="en-US"/>
        </w:rPr>
        <w:t>final Project board meeting was held in September 2017.</w:t>
      </w:r>
      <w:r w:rsidR="00D05FB3">
        <w:rPr>
          <w:rFonts w:cs="Calibri,Bold"/>
          <w:bCs/>
          <w:color w:val="000000" w:themeColor="text1"/>
          <w:lang w:val="en-US"/>
        </w:rPr>
        <w:t xml:space="preserve"> </w:t>
      </w:r>
      <w:r w:rsidR="00F86CF6">
        <w:rPr>
          <w:rFonts w:cs="Calibri,Bold"/>
          <w:bCs/>
          <w:color w:val="000000" w:themeColor="text1"/>
          <w:lang w:val="en-US"/>
        </w:rPr>
        <w:t>The</w:t>
      </w:r>
      <w:r w:rsidR="005D29CF">
        <w:rPr>
          <w:rFonts w:cs="Calibri,Bold"/>
          <w:bCs/>
          <w:color w:val="000000" w:themeColor="text1"/>
          <w:lang w:val="en-US"/>
        </w:rPr>
        <w:t xml:space="preserve"> </w:t>
      </w:r>
      <w:r>
        <w:rPr>
          <w:rFonts w:cs="Calibri,Bold"/>
          <w:bCs/>
          <w:color w:val="000000" w:themeColor="text1"/>
          <w:lang w:val="en-US"/>
        </w:rPr>
        <w:t xml:space="preserve">Project Board members </w:t>
      </w:r>
      <w:r w:rsidR="005D29CF">
        <w:rPr>
          <w:rFonts w:cs="Calibri,Bold"/>
          <w:bCs/>
          <w:color w:val="000000" w:themeColor="text1"/>
          <w:lang w:val="en-US"/>
        </w:rPr>
        <w:t>were kept informed as to progress through</w:t>
      </w:r>
      <w:r w:rsidR="007811DE">
        <w:rPr>
          <w:rFonts w:cs="Calibri,Bold"/>
          <w:bCs/>
          <w:color w:val="000000" w:themeColor="text1"/>
          <w:lang w:val="en-US"/>
        </w:rPr>
        <w:t xml:space="preserve"> the Quarterly Progress Reports and annual reports. The Kingdom of Norway was regularly updated as to any potential issues.</w:t>
      </w:r>
      <w:r w:rsidR="00D05FB3">
        <w:rPr>
          <w:rFonts w:cs="Calibri,Bold"/>
          <w:bCs/>
          <w:color w:val="000000" w:themeColor="text1"/>
          <w:lang w:val="en-US"/>
        </w:rPr>
        <w:t xml:space="preserve"> </w:t>
      </w:r>
    </w:p>
    <w:p w14:paraId="3A8C199D" w14:textId="77777777" w:rsidR="00D63AE4" w:rsidRDefault="00D63AE4" w:rsidP="00197DDF">
      <w:pPr>
        <w:autoSpaceDE w:val="0"/>
        <w:autoSpaceDN w:val="0"/>
        <w:adjustRightInd w:val="0"/>
        <w:spacing w:after="0" w:line="23" w:lineRule="atLeast"/>
        <w:rPr>
          <w:rFonts w:cs="Calibri,Bold"/>
          <w:bCs/>
          <w:color w:val="000000" w:themeColor="text1"/>
          <w:lang w:val="en-US"/>
        </w:rPr>
      </w:pPr>
    </w:p>
    <w:p w14:paraId="0CAB2FAB" w14:textId="77777777" w:rsidR="006E2136" w:rsidRDefault="006E2136" w:rsidP="00842AD9">
      <w:pPr>
        <w:pStyle w:val="Heading3"/>
      </w:pPr>
      <w:bookmarkStart w:id="21" w:name="_Toc528998439"/>
      <w:r w:rsidRPr="007D4907">
        <w:t>Efficiency of resource use</w:t>
      </w:r>
      <w:bookmarkEnd w:id="21"/>
    </w:p>
    <w:p w14:paraId="1E505D62" w14:textId="77777777" w:rsidR="006E2136" w:rsidRDefault="006E2136" w:rsidP="00197DDF">
      <w:pPr>
        <w:autoSpaceDE w:val="0"/>
        <w:autoSpaceDN w:val="0"/>
        <w:adjustRightInd w:val="0"/>
        <w:spacing w:after="0" w:line="23" w:lineRule="atLeast"/>
        <w:rPr>
          <w:rFonts w:cs="Calibri,Bold"/>
          <w:bCs/>
          <w:color w:val="000000" w:themeColor="text1"/>
          <w:lang w:val="en-US"/>
        </w:rPr>
      </w:pPr>
    </w:p>
    <w:p w14:paraId="4736B4C4" w14:textId="6EC81FA1" w:rsidR="001F3836" w:rsidRDefault="00BE70B5" w:rsidP="00197DDF">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 xml:space="preserve">Resources were very </w:t>
      </w:r>
      <w:r w:rsidR="00A84BD8">
        <w:rPr>
          <w:rFonts w:cs="Calibri,Bold"/>
          <w:bCs/>
          <w:color w:val="000000" w:themeColor="text1"/>
          <w:lang w:val="en-US"/>
        </w:rPr>
        <w:t xml:space="preserve">appropriately </w:t>
      </w:r>
      <w:r>
        <w:rPr>
          <w:rFonts w:cs="Calibri,Bold"/>
          <w:bCs/>
          <w:color w:val="000000" w:themeColor="text1"/>
          <w:lang w:val="en-US"/>
        </w:rPr>
        <w:t xml:space="preserve">used. </w:t>
      </w:r>
      <w:r w:rsidR="007811DE">
        <w:rPr>
          <w:rFonts w:cs="Calibri,Bold"/>
          <w:bCs/>
          <w:color w:val="000000" w:themeColor="text1"/>
          <w:lang w:val="en-US"/>
        </w:rPr>
        <w:t>UNDP was able to manage the budget</w:t>
      </w:r>
      <w:r w:rsidR="00F9260B">
        <w:rPr>
          <w:rFonts w:cs="Calibri,Bold"/>
          <w:bCs/>
          <w:color w:val="000000" w:themeColor="text1"/>
          <w:lang w:val="en-US"/>
        </w:rPr>
        <w:t xml:space="preserve"> (Table 2)</w:t>
      </w:r>
      <w:r w:rsidR="007811DE">
        <w:rPr>
          <w:rFonts w:cs="Calibri,Bold"/>
          <w:bCs/>
          <w:color w:val="000000" w:themeColor="text1"/>
          <w:lang w:val="en-US"/>
        </w:rPr>
        <w:t xml:space="preserve"> in a timely way and ensure expenditure was in line with the overall strategy. In 2017, there were delays in procurement that were reprogrammed in the 2018 budget. </w:t>
      </w:r>
    </w:p>
    <w:p w14:paraId="0E724AAB" w14:textId="51A73A3E" w:rsidR="00F9260B" w:rsidRDefault="00F9260B" w:rsidP="00197DDF">
      <w:pPr>
        <w:autoSpaceDE w:val="0"/>
        <w:autoSpaceDN w:val="0"/>
        <w:adjustRightInd w:val="0"/>
        <w:spacing w:after="0" w:line="23" w:lineRule="atLeast"/>
        <w:rPr>
          <w:rFonts w:cs="Calibri,Bold"/>
          <w:bCs/>
          <w:color w:val="000000" w:themeColor="text1"/>
          <w:lang w:val="en-US"/>
        </w:rPr>
      </w:pPr>
    </w:p>
    <w:p w14:paraId="1772383D" w14:textId="6529C2A8" w:rsidR="00F9260B" w:rsidRDefault="00F9260B" w:rsidP="00197DDF">
      <w:pPr>
        <w:autoSpaceDE w:val="0"/>
        <w:autoSpaceDN w:val="0"/>
        <w:adjustRightInd w:val="0"/>
        <w:spacing w:after="0" w:line="23" w:lineRule="atLeast"/>
        <w:rPr>
          <w:rFonts w:cs="Calibri,Bold"/>
          <w:bCs/>
          <w:color w:val="000000" w:themeColor="text1"/>
          <w:lang w:val="en-US"/>
        </w:rPr>
      </w:pPr>
    </w:p>
    <w:p w14:paraId="0E1D896A" w14:textId="1E2D6DF1" w:rsidR="006724DF" w:rsidRDefault="006724DF" w:rsidP="00197DDF">
      <w:pPr>
        <w:autoSpaceDE w:val="0"/>
        <w:autoSpaceDN w:val="0"/>
        <w:adjustRightInd w:val="0"/>
        <w:spacing w:after="0" w:line="23" w:lineRule="atLeast"/>
        <w:rPr>
          <w:rFonts w:cs="Calibri,Bold"/>
          <w:bCs/>
          <w:color w:val="000000" w:themeColor="text1"/>
          <w:lang w:val="en-US"/>
        </w:rPr>
      </w:pPr>
    </w:p>
    <w:p w14:paraId="4FDF8680" w14:textId="4D37AF12" w:rsidR="006724DF" w:rsidRDefault="006724DF" w:rsidP="00197DDF">
      <w:pPr>
        <w:autoSpaceDE w:val="0"/>
        <w:autoSpaceDN w:val="0"/>
        <w:adjustRightInd w:val="0"/>
        <w:spacing w:after="0" w:line="23" w:lineRule="atLeast"/>
        <w:rPr>
          <w:rFonts w:cs="Calibri,Bold"/>
          <w:bCs/>
          <w:color w:val="000000" w:themeColor="text1"/>
          <w:lang w:val="en-US"/>
        </w:rPr>
      </w:pPr>
    </w:p>
    <w:p w14:paraId="6C4425D2" w14:textId="77777777" w:rsidR="006724DF" w:rsidRDefault="006724DF" w:rsidP="00197DDF">
      <w:pPr>
        <w:autoSpaceDE w:val="0"/>
        <w:autoSpaceDN w:val="0"/>
        <w:adjustRightInd w:val="0"/>
        <w:spacing w:after="0" w:line="23" w:lineRule="atLeast"/>
        <w:rPr>
          <w:rFonts w:cs="Calibri,Bold"/>
          <w:bCs/>
          <w:color w:val="000000" w:themeColor="text1"/>
          <w:lang w:val="en-US"/>
        </w:rPr>
      </w:pPr>
    </w:p>
    <w:p w14:paraId="35E73C29" w14:textId="3D89F069" w:rsidR="00F9260B" w:rsidRDefault="00F9260B" w:rsidP="00197DDF">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 xml:space="preserve">Table 2 Budget against expenditure per annum </w:t>
      </w:r>
    </w:p>
    <w:p w14:paraId="5CA4EC03" w14:textId="3DFF11EC" w:rsidR="007811DE" w:rsidRDefault="007811DE" w:rsidP="00197DDF">
      <w:pPr>
        <w:autoSpaceDE w:val="0"/>
        <w:autoSpaceDN w:val="0"/>
        <w:adjustRightInd w:val="0"/>
        <w:spacing w:after="0" w:line="23" w:lineRule="atLeast"/>
        <w:rPr>
          <w:rFonts w:cs="Calibri,Bold"/>
          <w:bCs/>
          <w:color w:val="000000" w:themeColor="text1"/>
          <w:lang w:val="en-US"/>
        </w:rPr>
      </w:pPr>
    </w:p>
    <w:p w14:paraId="7D5F549C" w14:textId="77777777" w:rsidR="007811DE" w:rsidRDefault="007811DE" w:rsidP="00197DDF">
      <w:pPr>
        <w:autoSpaceDE w:val="0"/>
        <w:autoSpaceDN w:val="0"/>
        <w:adjustRightInd w:val="0"/>
        <w:spacing w:after="0" w:line="23" w:lineRule="atLeast"/>
        <w:rPr>
          <w:rFonts w:cs="Calibri,Bold"/>
          <w:bCs/>
          <w:color w:val="000000" w:themeColor="text1"/>
          <w:lang w:val="en-US"/>
        </w:rPr>
      </w:pPr>
    </w:p>
    <w:tbl>
      <w:tblPr>
        <w:tblW w:w="8934" w:type="dxa"/>
        <w:tblLook w:val="04A0" w:firstRow="1" w:lastRow="0" w:firstColumn="1" w:lastColumn="0" w:noHBand="0" w:noVBand="1"/>
      </w:tblPr>
      <w:tblGrid>
        <w:gridCol w:w="1210"/>
        <w:gridCol w:w="1969"/>
        <w:gridCol w:w="5755"/>
      </w:tblGrid>
      <w:tr w:rsidR="00C439D8" w:rsidRPr="007D4B43" w14:paraId="6FECD006" w14:textId="77777777" w:rsidTr="002763ED">
        <w:trPr>
          <w:trHeight w:val="262"/>
        </w:trPr>
        <w:tc>
          <w:tcPr>
            <w:tcW w:w="121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897F15D" w14:textId="77777777" w:rsidR="00BE0D4F" w:rsidRPr="007D4B43" w:rsidRDefault="00BE0D4F" w:rsidP="007D4B43">
            <w:pPr>
              <w:spacing w:after="0" w:line="240" w:lineRule="auto"/>
              <w:jc w:val="center"/>
              <w:rPr>
                <w:rFonts w:eastAsia="Times New Roman" w:cs="Calibri"/>
                <w:b/>
                <w:bCs/>
                <w:color w:val="000000"/>
                <w:lang w:val="en-ID" w:eastAsia="ja-JP"/>
              </w:rPr>
            </w:pPr>
            <w:r w:rsidRPr="007D4B43">
              <w:rPr>
                <w:rFonts w:eastAsia="Times New Roman" w:cs="Calibri"/>
                <w:b/>
                <w:bCs/>
                <w:color w:val="000000"/>
                <w:lang w:val="en-ID" w:eastAsia="ja-JP"/>
              </w:rPr>
              <w:t>No.</w:t>
            </w:r>
          </w:p>
        </w:tc>
        <w:tc>
          <w:tcPr>
            <w:tcW w:w="1969" w:type="dxa"/>
            <w:tcBorders>
              <w:top w:val="single" w:sz="4" w:space="0" w:color="auto"/>
              <w:left w:val="nil"/>
              <w:bottom w:val="single" w:sz="4" w:space="0" w:color="auto"/>
              <w:right w:val="single" w:sz="4" w:space="0" w:color="auto"/>
            </w:tcBorders>
            <w:shd w:val="clear" w:color="000000" w:fill="FFE699"/>
            <w:noWrap/>
            <w:vAlign w:val="center"/>
            <w:hideMark/>
          </w:tcPr>
          <w:p w14:paraId="1813447F" w14:textId="77777777" w:rsidR="00BE0D4F" w:rsidRPr="007D4B43" w:rsidRDefault="00BE0D4F" w:rsidP="007D4B43">
            <w:pPr>
              <w:spacing w:after="0" w:line="240" w:lineRule="auto"/>
              <w:jc w:val="center"/>
              <w:rPr>
                <w:rFonts w:eastAsia="Times New Roman" w:cs="Calibri"/>
                <w:b/>
                <w:bCs/>
                <w:color w:val="000000"/>
                <w:lang w:val="en-ID" w:eastAsia="ja-JP"/>
              </w:rPr>
            </w:pPr>
            <w:r w:rsidRPr="007D4B43">
              <w:rPr>
                <w:rFonts w:eastAsia="Times New Roman" w:cs="Calibri"/>
                <w:b/>
                <w:bCs/>
                <w:color w:val="000000"/>
                <w:lang w:val="en-ID" w:eastAsia="ja-JP"/>
              </w:rPr>
              <w:t>Year</w:t>
            </w:r>
          </w:p>
        </w:tc>
        <w:tc>
          <w:tcPr>
            <w:tcW w:w="5755" w:type="dxa"/>
            <w:tcBorders>
              <w:top w:val="single" w:sz="4" w:space="0" w:color="auto"/>
              <w:left w:val="nil"/>
              <w:bottom w:val="single" w:sz="4" w:space="0" w:color="auto"/>
              <w:right w:val="single" w:sz="4" w:space="0" w:color="auto"/>
            </w:tcBorders>
            <w:shd w:val="clear" w:color="000000" w:fill="FFE699"/>
            <w:noWrap/>
            <w:vAlign w:val="center"/>
            <w:hideMark/>
          </w:tcPr>
          <w:p w14:paraId="06C796F6" w14:textId="35969E4B" w:rsidR="00BE0D4F" w:rsidRPr="00F26811" w:rsidRDefault="00BE0D4F" w:rsidP="007D4B43">
            <w:pPr>
              <w:spacing w:after="0" w:line="240" w:lineRule="auto"/>
              <w:jc w:val="center"/>
              <w:rPr>
                <w:rFonts w:eastAsia="Times New Roman" w:cs="Calibri"/>
                <w:b/>
                <w:bCs/>
                <w:color w:val="000000"/>
                <w:lang w:val="en-US" w:eastAsia="ja-JP"/>
              </w:rPr>
            </w:pPr>
            <w:r w:rsidRPr="007D4B43">
              <w:rPr>
                <w:rFonts w:eastAsia="Times New Roman" w:cs="Calibri"/>
                <w:b/>
                <w:bCs/>
                <w:color w:val="000000"/>
                <w:lang w:val="en-ID" w:eastAsia="ja-JP"/>
              </w:rPr>
              <w:t>Expense + Full Asset Cost</w:t>
            </w:r>
            <w:r>
              <w:rPr>
                <w:rFonts w:eastAsia="Times New Roman" w:cs="Calibri"/>
                <w:b/>
                <w:bCs/>
                <w:color w:val="000000"/>
                <w:lang w:val="en-ID" w:eastAsia="ja-JP"/>
              </w:rPr>
              <w:t xml:space="preserve"> + Commitment</w:t>
            </w:r>
            <w:r>
              <w:rPr>
                <w:rStyle w:val="FootnoteReference"/>
                <w:rFonts w:cs="Calibri,Bold"/>
                <w:bCs/>
                <w:color w:val="000000" w:themeColor="text1"/>
                <w:highlight w:val="yellow"/>
                <w:lang w:val="en-US"/>
              </w:rPr>
              <w:footnoteReference w:id="1"/>
            </w:r>
          </w:p>
        </w:tc>
      </w:tr>
      <w:tr w:rsidR="00C439D8" w:rsidRPr="007D4B43" w14:paraId="5B8DDF2D" w14:textId="77777777" w:rsidTr="002763ED">
        <w:trPr>
          <w:trHeight w:val="262"/>
        </w:trPr>
        <w:tc>
          <w:tcPr>
            <w:tcW w:w="1210" w:type="dxa"/>
            <w:tcBorders>
              <w:top w:val="nil"/>
              <w:left w:val="single" w:sz="4" w:space="0" w:color="auto"/>
              <w:bottom w:val="single" w:sz="4" w:space="0" w:color="auto"/>
              <w:right w:val="single" w:sz="4" w:space="0" w:color="auto"/>
            </w:tcBorders>
            <w:shd w:val="clear" w:color="auto" w:fill="auto"/>
            <w:noWrap/>
            <w:hideMark/>
          </w:tcPr>
          <w:p w14:paraId="6AF567C5" w14:textId="47512528" w:rsidR="00BE0D4F" w:rsidRPr="007D4B43" w:rsidRDefault="00BE0D4F" w:rsidP="007D4B43">
            <w:pPr>
              <w:spacing w:after="0" w:line="240" w:lineRule="auto"/>
              <w:jc w:val="center"/>
              <w:rPr>
                <w:rFonts w:eastAsia="Times New Roman" w:cs="Calibri"/>
                <w:color w:val="000000"/>
                <w:lang w:val="en-ID" w:eastAsia="ja-JP"/>
              </w:rPr>
            </w:pPr>
            <w:r w:rsidRPr="007D4B43">
              <w:rPr>
                <w:rFonts w:eastAsia="Times New Roman" w:cs="Calibri"/>
                <w:color w:val="000000"/>
                <w:lang w:val="en-ID" w:eastAsia="ja-JP"/>
              </w:rPr>
              <w:t>1</w:t>
            </w:r>
          </w:p>
        </w:tc>
        <w:tc>
          <w:tcPr>
            <w:tcW w:w="1969" w:type="dxa"/>
            <w:tcBorders>
              <w:top w:val="nil"/>
              <w:left w:val="nil"/>
              <w:bottom w:val="single" w:sz="4" w:space="0" w:color="auto"/>
              <w:right w:val="single" w:sz="4" w:space="0" w:color="auto"/>
            </w:tcBorders>
            <w:shd w:val="clear" w:color="auto" w:fill="auto"/>
            <w:noWrap/>
            <w:hideMark/>
          </w:tcPr>
          <w:p w14:paraId="639AD87D" w14:textId="77777777" w:rsidR="00BE0D4F" w:rsidRPr="007D4B43" w:rsidRDefault="00BE0D4F" w:rsidP="007D4B43">
            <w:pPr>
              <w:spacing w:after="0" w:line="240" w:lineRule="auto"/>
              <w:jc w:val="center"/>
              <w:rPr>
                <w:rFonts w:eastAsia="Times New Roman" w:cs="Calibri"/>
                <w:color w:val="000000"/>
                <w:lang w:val="en-ID" w:eastAsia="ja-JP"/>
              </w:rPr>
            </w:pPr>
            <w:r w:rsidRPr="007D4B43">
              <w:rPr>
                <w:rFonts w:eastAsia="Times New Roman" w:cs="Calibri"/>
                <w:color w:val="000000"/>
                <w:lang w:val="en-ID" w:eastAsia="ja-JP"/>
              </w:rPr>
              <w:t>2016</w:t>
            </w:r>
          </w:p>
        </w:tc>
        <w:tc>
          <w:tcPr>
            <w:tcW w:w="5755" w:type="dxa"/>
            <w:tcBorders>
              <w:top w:val="nil"/>
              <w:left w:val="nil"/>
              <w:bottom w:val="single" w:sz="4" w:space="0" w:color="auto"/>
              <w:right w:val="single" w:sz="4" w:space="0" w:color="auto"/>
            </w:tcBorders>
            <w:shd w:val="clear" w:color="auto" w:fill="auto"/>
            <w:noWrap/>
            <w:hideMark/>
          </w:tcPr>
          <w:p w14:paraId="591CE3D8" w14:textId="5EF55DA2" w:rsidR="00BE0D4F" w:rsidRPr="007D4B43" w:rsidRDefault="00BE0D4F" w:rsidP="007D4B43">
            <w:pPr>
              <w:spacing w:after="0" w:line="240" w:lineRule="auto"/>
              <w:jc w:val="center"/>
              <w:rPr>
                <w:rFonts w:eastAsia="Times New Roman" w:cs="Calibri"/>
                <w:color w:val="000000"/>
                <w:lang w:val="en-ID" w:eastAsia="ja-JP"/>
              </w:rPr>
            </w:pPr>
            <w:r>
              <w:rPr>
                <w:rFonts w:eastAsia="Times New Roman" w:cs="Calibri"/>
                <w:color w:val="000000"/>
                <w:lang w:val="en-ID" w:eastAsia="ja-JP"/>
              </w:rPr>
              <w:t>1,886,661.50</w:t>
            </w:r>
          </w:p>
        </w:tc>
      </w:tr>
      <w:tr w:rsidR="00C439D8" w:rsidRPr="007D4B43" w14:paraId="1F2AD188" w14:textId="77777777" w:rsidTr="002763ED">
        <w:trPr>
          <w:trHeight w:val="262"/>
        </w:trPr>
        <w:tc>
          <w:tcPr>
            <w:tcW w:w="1210" w:type="dxa"/>
            <w:tcBorders>
              <w:top w:val="nil"/>
              <w:left w:val="single" w:sz="4" w:space="0" w:color="auto"/>
              <w:bottom w:val="single" w:sz="4" w:space="0" w:color="auto"/>
              <w:right w:val="single" w:sz="4" w:space="0" w:color="auto"/>
            </w:tcBorders>
            <w:shd w:val="clear" w:color="auto" w:fill="auto"/>
            <w:noWrap/>
            <w:hideMark/>
          </w:tcPr>
          <w:p w14:paraId="6CB7B110" w14:textId="77777777" w:rsidR="00BE0D4F" w:rsidRPr="007D4B43" w:rsidRDefault="00BE0D4F" w:rsidP="007D4B43">
            <w:pPr>
              <w:spacing w:after="0" w:line="240" w:lineRule="auto"/>
              <w:jc w:val="center"/>
              <w:rPr>
                <w:rFonts w:eastAsia="Times New Roman" w:cs="Calibri"/>
                <w:color w:val="000000"/>
                <w:lang w:val="en-ID" w:eastAsia="ja-JP"/>
              </w:rPr>
            </w:pPr>
            <w:r w:rsidRPr="007D4B43">
              <w:rPr>
                <w:rFonts w:eastAsia="Times New Roman" w:cs="Calibri"/>
                <w:color w:val="000000"/>
                <w:lang w:val="en-ID" w:eastAsia="ja-JP"/>
              </w:rPr>
              <w:t>2</w:t>
            </w:r>
          </w:p>
        </w:tc>
        <w:tc>
          <w:tcPr>
            <w:tcW w:w="1969" w:type="dxa"/>
            <w:tcBorders>
              <w:top w:val="nil"/>
              <w:left w:val="nil"/>
              <w:bottom w:val="single" w:sz="4" w:space="0" w:color="auto"/>
              <w:right w:val="single" w:sz="4" w:space="0" w:color="auto"/>
            </w:tcBorders>
            <w:shd w:val="clear" w:color="auto" w:fill="auto"/>
            <w:noWrap/>
            <w:hideMark/>
          </w:tcPr>
          <w:p w14:paraId="5E10AC58" w14:textId="77777777" w:rsidR="00BE0D4F" w:rsidRPr="007D4B43" w:rsidRDefault="00BE0D4F" w:rsidP="007D4B43">
            <w:pPr>
              <w:spacing w:after="0" w:line="240" w:lineRule="auto"/>
              <w:jc w:val="center"/>
              <w:rPr>
                <w:rFonts w:eastAsia="Times New Roman" w:cs="Calibri"/>
                <w:color w:val="000000"/>
                <w:lang w:val="en-ID" w:eastAsia="ja-JP"/>
              </w:rPr>
            </w:pPr>
            <w:r w:rsidRPr="007D4B43">
              <w:rPr>
                <w:rFonts w:eastAsia="Times New Roman" w:cs="Calibri"/>
                <w:color w:val="000000"/>
                <w:lang w:val="en-ID" w:eastAsia="ja-JP"/>
              </w:rPr>
              <w:t>2017</w:t>
            </w:r>
          </w:p>
        </w:tc>
        <w:tc>
          <w:tcPr>
            <w:tcW w:w="5755" w:type="dxa"/>
            <w:tcBorders>
              <w:top w:val="nil"/>
              <w:left w:val="nil"/>
              <w:bottom w:val="single" w:sz="4" w:space="0" w:color="auto"/>
              <w:right w:val="single" w:sz="4" w:space="0" w:color="auto"/>
            </w:tcBorders>
            <w:shd w:val="clear" w:color="auto" w:fill="auto"/>
            <w:noWrap/>
            <w:hideMark/>
          </w:tcPr>
          <w:p w14:paraId="52A1FE7C" w14:textId="0615E6EC" w:rsidR="00BE0D4F" w:rsidRPr="007D4B43" w:rsidRDefault="00BE0D4F" w:rsidP="007D4B43">
            <w:pPr>
              <w:spacing w:after="0" w:line="240" w:lineRule="auto"/>
              <w:jc w:val="center"/>
              <w:rPr>
                <w:rFonts w:eastAsia="Times New Roman" w:cs="Calibri"/>
                <w:color w:val="000000"/>
                <w:lang w:val="en-ID" w:eastAsia="ja-JP"/>
              </w:rPr>
            </w:pPr>
            <w:r>
              <w:rPr>
                <w:rFonts w:eastAsia="Times New Roman" w:cs="Calibri"/>
                <w:color w:val="000000"/>
                <w:lang w:val="en-ID" w:eastAsia="ja-JP"/>
              </w:rPr>
              <w:t>2,622,098.22</w:t>
            </w:r>
          </w:p>
        </w:tc>
      </w:tr>
      <w:tr w:rsidR="00C439D8" w:rsidRPr="007D4B43" w14:paraId="18A72AE2" w14:textId="77777777" w:rsidTr="002763ED">
        <w:trPr>
          <w:trHeight w:val="262"/>
        </w:trPr>
        <w:tc>
          <w:tcPr>
            <w:tcW w:w="1210" w:type="dxa"/>
            <w:tcBorders>
              <w:top w:val="nil"/>
              <w:left w:val="single" w:sz="4" w:space="0" w:color="auto"/>
              <w:bottom w:val="single" w:sz="4" w:space="0" w:color="auto"/>
              <w:right w:val="single" w:sz="4" w:space="0" w:color="auto"/>
            </w:tcBorders>
            <w:shd w:val="clear" w:color="auto" w:fill="auto"/>
            <w:noWrap/>
            <w:hideMark/>
          </w:tcPr>
          <w:p w14:paraId="48B50BC6" w14:textId="77777777" w:rsidR="00BE0D4F" w:rsidRPr="007D4B43" w:rsidRDefault="00BE0D4F" w:rsidP="007D4B43">
            <w:pPr>
              <w:spacing w:after="0" w:line="240" w:lineRule="auto"/>
              <w:jc w:val="center"/>
              <w:rPr>
                <w:rFonts w:eastAsia="Times New Roman" w:cs="Calibri"/>
                <w:color w:val="000000"/>
                <w:lang w:val="en-ID" w:eastAsia="ja-JP"/>
              </w:rPr>
            </w:pPr>
            <w:r w:rsidRPr="007D4B43">
              <w:rPr>
                <w:rFonts w:eastAsia="Times New Roman" w:cs="Calibri"/>
                <w:color w:val="000000"/>
                <w:lang w:val="en-ID" w:eastAsia="ja-JP"/>
              </w:rPr>
              <w:t>3</w:t>
            </w:r>
          </w:p>
        </w:tc>
        <w:tc>
          <w:tcPr>
            <w:tcW w:w="1969" w:type="dxa"/>
            <w:tcBorders>
              <w:top w:val="nil"/>
              <w:left w:val="nil"/>
              <w:bottom w:val="single" w:sz="4" w:space="0" w:color="auto"/>
              <w:right w:val="single" w:sz="4" w:space="0" w:color="auto"/>
            </w:tcBorders>
            <w:shd w:val="clear" w:color="auto" w:fill="auto"/>
            <w:noWrap/>
            <w:hideMark/>
          </w:tcPr>
          <w:p w14:paraId="64917BB3" w14:textId="77777777" w:rsidR="00BE0D4F" w:rsidRPr="007D4B43" w:rsidRDefault="00BE0D4F" w:rsidP="007D4B43">
            <w:pPr>
              <w:spacing w:after="0" w:line="240" w:lineRule="auto"/>
              <w:jc w:val="center"/>
              <w:rPr>
                <w:rFonts w:eastAsia="Times New Roman" w:cs="Calibri"/>
                <w:color w:val="000000"/>
                <w:lang w:val="en-ID" w:eastAsia="ja-JP"/>
              </w:rPr>
            </w:pPr>
            <w:r w:rsidRPr="007D4B43">
              <w:rPr>
                <w:rFonts w:eastAsia="Times New Roman" w:cs="Calibri"/>
                <w:color w:val="000000"/>
                <w:lang w:val="en-ID" w:eastAsia="ja-JP"/>
              </w:rPr>
              <w:t>2018</w:t>
            </w:r>
          </w:p>
        </w:tc>
        <w:tc>
          <w:tcPr>
            <w:tcW w:w="5755" w:type="dxa"/>
            <w:tcBorders>
              <w:top w:val="nil"/>
              <w:left w:val="nil"/>
              <w:bottom w:val="single" w:sz="4" w:space="0" w:color="auto"/>
              <w:right w:val="single" w:sz="4" w:space="0" w:color="auto"/>
            </w:tcBorders>
            <w:shd w:val="clear" w:color="auto" w:fill="auto"/>
            <w:noWrap/>
            <w:hideMark/>
          </w:tcPr>
          <w:p w14:paraId="03CE2FC9" w14:textId="1148A1C3" w:rsidR="00BE0D4F" w:rsidRPr="007D4B43" w:rsidRDefault="00BE0D4F" w:rsidP="007D4B43">
            <w:pPr>
              <w:spacing w:after="0" w:line="240" w:lineRule="auto"/>
              <w:jc w:val="center"/>
              <w:rPr>
                <w:rFonts w:eastAsia="Times New Roman" w:cs="Calibri"/>
                <w:color w:val="000000"/>
                <w:lang w:val="en-ID" w:eastAsia="ja-JP"/>
              </w:rPr>
            </w:pPr>
            <w:r>
              <w:rPr>
                <w:rFonts w:eastAsia="Times New Roman" w:cs="Calibri"/>
                <w:color w:val="000000"/>
                <w:lang w:val="en-ID" w:eastAsia="ja-JP"/>
              </w:rPr>
              <w:t>6,537,524.67</w:t>
            </w:r>
          </w:p>
        </w:tc>
      </w:tr>
      <w:tr w:rsidR="00C439D8" w:rsidRPr="007D4B43" w14:paraId="62547B7E" w14:textId="77777777" w:rsidTr="002763ED">
        <w:trPr>
          <w:trHeight w:val="262"/>
        </w:trPr>
        <w:tc>
          <w:tcPr>
            <w:tcW w:w="3179" w:type="dxa"/>
            <w:gridSpan w:val="2"/>
            <w:tcBorders>
              <w:top w:val="single" w:sz="4" w:space="0" w:color="auto"/>
              <w:left w:val="single" w:sz="4" w:space="0" w:color="auto"/>
              <w:bottom w:val="single" w:sz="4" w:space="0" w:color="auto"/>
              <w:right w:val="single" w:sz="4" w:space="0" w:color="auto"/>
            </w:tcBorders>
            <w:shd w:val="clear" w:color="000000" w:fill="BDD7EE"/>
            <w:noWrap/>
            <w:hideMark/>
          </w:tcPr>
          <w:p w14:paraId="6024EBB4" w14:textId="77777777" w:rsidR="00BE0D4F" w:rsidRPr="007D4B43" w:rsidRDefault="00BE0D4F" w:rsidP="007D4B43">
            <w:pPr>
              <w:spacing w:after="0" w:line="240" w:lineRule="auto"/>
              <w:jc w:val="center"/>
              <w:rPr>
                <w:rFonts w:eastAsia="Times New Roman" w:cs="Calibri"/>
                <w:b/>
                <w:bCs/>
                <w:color w:val="000000"/>
                <w:lang w:val="en-ID" w:eastAsia="ja-JP"/>
              </w:rPr>
            </w:pPr>
            <w:r w:rsidRPr="007D4B43">
              <w:rPr>
                <w:rFonts w:eastAsia="Times New Roman" w:cs="Calibri"/>
                <w:b/>
                <w:bCs/>
                <w:color w:val="000000"/>
                <w:lang w:val="en-ID" w:eastAsia="ja-JP"/>
              </w:rPr>
              <w:t>Total</w:t>
            </w:r>
          </w:p>
        </w:tc>
        <w:tc>
          <w:tcPr>
            <w:tcW w:w="5755" w:type="dxa"/>
            <w:tcBorders>
              <w:top w:val="nil"/>
              <w:left w:val="nil"/>
              <w:bottom w:val="single" w:sz="4" w:space="0" w:color="auto"/>
              <w:right w:val="single" w:sz="4" w:space="0" w:color="auto"/>
            </w:tcBorders>
            <w:shd w:val="clear" w:color="000000" w:fill="BDD7EE"/>
            <w:noWrap/>
            <w:hideMark/>
          </w:tcPr>
          <w:p w14:paraId="76F020DE" w14:textId="2A7267E5" w:rsidR="00BE0D4F" w:rsidRPr="007D4B43" w:rsidRDefault="00C439D8" w:rsidP="007D4B43">
            <w:pPr>
              <w:spacing w:after="0" w:line="240" w:lineRule="auto"/>
              <w:jc w:val="center"/>
              <w:rPr>
                <w:rFonts w:eastAsia="Times New Roman" w:cs="Calibri"/>
                <w:b/>
                <w:bCs/>
                <w:color w:val="000000"/>
                <w:lang w:val="en-ID" w:eastAsia="ja-JP"/>
              </w:rPr>
            </w:pPr>
            <w:r>
              <w:rPr>
                <w:rFonts w:eastAsia="Times New Roman" w:cs="Calibri"/>
                <w:b/>
                <w:bCs/>
                <w:color w:val="000000"/>
                <w:lang w:val="en-ID" w:eastAsia="ja-JP"/>
              </w:rPr>
              <w:t>11,046,284.40</w:t>
            </w:r>
          </w:p>
        </w:tc>
      </w:tr>
    </w:tbl>
    <w:p w14:paraId="591F59CF" w14:textId="77777777" w:rsidR="007D4B43" w:rsidRDefault="007D4B43" w:rsidP="00197DDF">
      <w:pPr>
        <w:autoSpaceDE w:val="0"/>
        <w:autoSpaceDN w:val="0"/>
        <w:adjustRightInd w:val="0"/>
        <w:spacing w:after="0" w:line="23" w:lineRule="atLeast"/>
        <w:rPr>
          <w:rFonts w:cs="Calibri,Bold"/>
          <w:bCs/>
          <w:color w:val="000000" w:themeColor="text1"/>
          <w:lang w:val="en-US"/>
        </w:rPr>
      </w:pPr>
    </w:p>
    <w:p w14:paraId="0B1FCA37" w14:textId="19590CF4" w:rsidR="00C439D8" w:rsidRDefault="00C439D8" w:rsidP="00197DDF">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 xml:space="preserve">Total Funds Available 2016-2018: </w:t>
      </w:r>
      <w:r w:rsidRPr="002763ED">
        <w:rPr>
          <w:rFonts w:cs="Calibri,Bold"/>
          <w:b/>
          <w:bCs/>
          <w:color w:val="000000" w:themeColor="text1"/>
          <w:lang w:val="en-US"/>
        </w:rPr>
        <w:t>11,143,204</w:t>
      </w:r>
    </w:p>
    <w:p w14:paraId="46021718" w14:textId="0852A0F2" w:rsidR="00C439D8" w:rsidRDefault="00C439D8" w:rsidP="00197DDF">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Total Estimated Expenditures</w:t>
      </w:r>
      <w:r w:rsidR="00D05FB3">
        <w:rPr>
          <w:rFonts w:cs="Calibri,Bold"/>
          <w:bCs/>
          <w:color w:val="000000" w:themeColor="text1"/>
          <w:lang w:val="en-US"/>
        </w:rPr>
        <w:t xml:space="preserve"> </w:t>
      </w:r>
      <w:r>
        <w:rPr>
          <w:rFonts w:cs="Calibri,Bold"/>
          <w:bCs/>
          <w:color w:val="000000" w:themeColor="text1"/>
          <w:lang w:val="en-US"/>
        </w:rPr>
        <w:t xml:space="preserve">2016-2018: </w:t>
      </w:r>
      <w:r w:rsidRPr="002763ED">
        <w:rPr>
          <w:rFonts w:cs="Calibri,Bold"/>
          <w:b/>
          <w:bCs/>
          <w:color w:val="000000" w:themeColor="text1"/>
          <w:lang w:val="en-US"/>
        </w:rPr>
        <w:t>11,046,284.40</w:t>
      </w:r>
    </w:p>
    <w:p w14:paraId="79B2F8F3" w14:textId="3461EF0F" w:rsidR="00C439D8" w:rsidRDefault="00C439D8" w:rsidP="00197DDF">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lastRenderedPageBreak/>
        <w:t>Overall Implementation Rate:</w:t>
      </w:r>
      <w:r w:rsidRPr="002763ED">
        <w:rPr>
          <w:rFonts w:cs="Calibri,Bold"/>
          <w:b/>
          <w:bCs/>
          <w:color w:val="000000" w:themeColor="text1"/>
          <w:lang w:val="en-US"/>
        </w:rPr>
        <w:t xml:space="preserve"> 99%</w:t>
      </w:r>
    </w:p>
    <w:p w14:paraId="347CE102" w14:textId="35D0CBF7" w:rsidR="00F70998" w:rsidRDefault="00F70998" w:rsidP="00197DDF">
      <w:pPr>
        <w:autoSpaceDE w:val="0"/>
        <w:autoSpaceDN w:val="0"/>
        <w:adjustRightInd w:val="0"/>
        <w:spacing w:after="0" w:line="23" w:lineRule="atLeast"/>
        <w:rPr>
          <w:rFonts w:cs="Calibri,Bold"/>
          <w:bCs/>
          <w:color w:val="000000" w:themeColor="text1"/>
          <w:lang w:val="en-US"/>
        </w:rPr>
      </w:pPr>
    </w:p>
    <w:p w14:paraId="262D9797" w14:textId="67C99E54" w:rsidR="00F70998" w:rsidRDefault="007811DE" w:rsidP="00197DDF">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UNDP resources to provide support were efficiently used, a</w:t>
      </w:r>
      <w:r w:rsidR="00F86CF6">
        <w:rPr>
          <w:rFonts w:cs="Calibri,Bold"/>
          <w:bCs/>
          <w:color w:val="000000" w:themeColor="text1"/>
          <w:lang w:val="en-US"/>
        </w:rPr>
        <w:t>s</w:t>
      </w:r>
      <w:r>
        <w:rPr>
          <w:rFonts w:cs="Calibri,Bold"/>
          <w:bCs/>
          <w:color w:val="000000" w:themeColor="text1"/>
          <w:lang w:val="en-US"/>
        </w:rPr>
        <w:t xml:space="preserve"> they were integrated within UNDP’s existing procurement systems to minimize duplication of resources. </w:t>
      </w:r>
      <w:r w:rsidR="00F70998">
        <w:rPr>
          <w:rFonts w:cs="Calibri,Bold"/>
          <w:bCs/>
          <w:color w:val="000000" w:themeColor="text1"/>
          <w:lang w:val="en-US"/>
        </w:rPr>
        <w:t xml:space="preserve">UNDP recruited two staff to manage the procurement process to ensure all procurement was undertaken in line with UNDP procedures, while at the same time meeting BRG requirements to have services and goods delivered in a timely </w:t>
      </w:r>
      <w:r w:rsidR="00F86CF6">
        <w:rPr>
          <w:rFonts w:cs="Calibri,Bold"/>
          <w:bCs/>
          <w:color w:val="000000" w:themeColor="text1"/>
          <w:lang w:val="en-US"/>
        </w:rPr>
        <w:t>manner</w:t>
      </w:r>
      <w:r w:rsidR="00F70998">
        <w:rPr>
          <w:rFonts w:cs="Calibri,Bold"/>
          <w:bCs/>
          <w:color w:val="000000" w:themeColor="text1"/>
          <w:lang w:val="en-US"/>
        </w:rPr>
        <w:t>. UNDP staff met PMU and BRG staff</w:t>
      </w:r>
      <w:r w:rsidR="00E924D2">
        <w:rPr>
          <w:rFonts w:cs="Calibri,Bold"/>
          <w:bCs/>
          <w:color w:val="000000" w:themeColor="text1"/>
          <w:lang w:val="en-US"/>
        </w:rPr>
        <w:t xml:space="preserve"> on a regular basis </w:t>
      </w:r>
      <w:r w:rsidR="00F70998">
        <w:rPr>
          <w:rFonts w:cs="Calibri,Bold"/>
          <w:bCs/>
          <w:color w:val="000000" w:themeColor="text1"/>
          <w:lang w:val="en-US"/>
        </w:rPr>
        <w:t>to make sure all procurement met stakeholders</w:t>
      </w:r>
      <w:r w:rsidR="00F86CF6">
        <w:rPr>
          <w:rFonts w:cs="Calibri,Bold"/>
          <w:bCs/>
          <w:color w:val="000000" w:themeColor="text1"/>
          <w:lang w:val="en-US"/>
        </w:rPr>
        <w:t>’</w:t>
      </w:r>
      <w:r w:rsidR="00F70998">
        <w:rPr>
          <w:rFonts w:cs="Calibri,Bold"/>
          <w:bCs/>
          <w:color w:val="000000" w:themeColor="text1"/>
          <w:lang w:val="en-US"/>
        </w:rPr>
        <w:t xml:space="preserve"> expectations. </w:t>
      </w:r>
    </w:p>
    <w:p w14:paraId="0C062F74" w14:textId="77777777" w:rsidR="006E2136" w:rsidRDefault="006E2136" w:rsidP="00197DDF">
      <w:pPr>
        <w:autoSpaceDE w:val="0"/>
        <w:autoSpaceDN w:val="0"/>
        <w:adjustRightInd w:val="0"/>
        <w:spacing w:after="0" w:line="23" w:lineRule="atLeast"/>
        <w:rPr>
          <w:rFonts w:cs="Calibri,Bold"/>
          <w:bCs/>
          <w:color w:val="000000" w:themeColor="text1"/>
          <w:lang w:val="en-US"/>
        </w:rPr>
      </w:pPr>
    </w:p>
    <w:p w14:paraId="64573BA5" w14:textId="77777777" w:rsidR="006E2136" w:rsidRDefault="006E2136" w:rsidP="00842AD9">
      <w:pPr>
        <w:pStyle w:val="Heading3"/>
      </w:pPr>
      <w:bookmarkStart w:id="22" w:name="_Toc528998440"/>
      <w:r w:rsidRPr="007D4907">
        <w:t>Sustainability</w:t>
      </w:r>
      <w:bookmarkEnd w:id="22"/>
    </w:p>
    <w:p w14:paraId="0198263A" w14:textId="77777777" w:rsidR="006E2136" w:rsidRDefault="006E2136" w:rsidP="00197DDF">
      <w:pPr>
        <w:autoSpaceDE w:val="0"/>
        <w:autoSpaceDN w:val="0"/>
        <w:adjustRightInd w:val="0"/>
        <w:spacing w:after="0" w:line="23" w:lineRule="atLeast"/>
        <w:rPr>
          <w:rFonts w:cs="Calibri,Bold"/>
          <w:bCs/>
          <w:color w:val="000000" w:themeColor="text1"/>
          <w:lang w:val="en-US"/>
        </w:rPr>
      </w:pPr>
    </w:p>
    <w:p w14:paraId="44FF2728" w14:textId="64F50F25" w:rsidR="006E2136" w:rsidRDefault="00FA31A4" w:rsidP="00197DDF">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UNDP</w:t>
      </w:r>
      <w:r w:rsidR="00B30CF9">
        <w:rPr>
          <w:rFonts w:cs="Calibri,Bold"/>
          <w:bCs/>
          <w:color w:val="000000" w:themeColor="text1"/>
          <w:lang w:val="en-US"/>
        </w:rPr>
        <w:t>’</w:t>
      </w:r>
      <w:r>
        <w:rPr>
          <w:rFonts w:cs="Calibri,Bold"/>
          <w:bCs/>
          <w:color w:val="000000" w:themeColor="text1"/>
          <w:lang w:val="en-US"/>
        </w:rPr>
        <w:t>s support</w:t>
      </w:r>
      <w:r w:rsidR="00F86CF6">
        <w:rPr>
          <w:rFonts w:cs="Calibri,Bold"/>
          <w:bCs/>
          <w:color w:val="000000" w:themeColor="text1"/>
          <w:lang w:val="en-US"/>
        </w:rPr>
        <w:t xml:space="preserve"> </w:t>
      </w:r>
      <w:r>
        <w:rPr>
          <w:rFonts w:cs="Calibri,Bold"/>
          <w:bCs/>
          <w:color w:val="000000" w:themeColor="text1"/>
          <w:lang w:val="en-US"/>
        </w:rPr>
        <w:t>w</w:t>
      </w:r>
      <w:r w:rsidR="00F86CF6">
        <w:rPr>
          <w:rFonts w:cs="Calibri,Bold"/>
          <w:bCs/>
          <w:color w:val="000000" w:themeColor="text1"/>
          <w:lang w:val="en-US"/>
        </w:rPr>
        <w:t>as</w:t>
      </w:r>
      <w:r>
        <w:rPr>
          <w:rFonts w:cs="Calibri,Bold"/>
          <w:bCs/>
          <w:color w:val="000000" w:themeColor="text1"/>
          <w:lang w:val="en-US"/>
        </w:rPr>
        <w:t xml:space="preserve"> completed in 2018, </w:t>
      </w:r>
      <w:r w:rsidR="00F86CF6">
        <w:rPr>
          <w:rFonts w:cs="Calibri,Bold"/>
          <w:bCs/>
          <w:color w:val="000000" w:themeColor="text1"/>
          <w:lang w:val="en-US"/>
        </w:rPr>
        <w:t xml:space="preserve">and is </w:t>
      </w:r>
      <w:r w:rsidR="00E63FEC">
        <w:rPr>
          <w:rFonts w:cs="Calibri,Bold"/>
          <w:bCs/>
          <w:color w:val="000000" w:themeColor="text1"/>
          <w:lang w:val="en-US"/>
        </w:rPr>
        <w:t>considered</w:t>
      </w:r>
      <w:r>
        <w:rPr>
          <w:rFonts w:cs="Calibri,Bold"/>
          <w:bCs/>
          <w:color w:val="000000" w:themeColor="text1"/>
          <w:lang w:val="en-US"/>
        </w:rPr>
        <w:t xml:space="preserve"> sustainable in terms of enabling BRG to continue to effectively operat</w:t>
      </w:r>
      <w:r w:rsidR="00F86CF6">
        <w:rPr>
          <w:rFonts w:cs="Calibri,Bold"/>
          <w:bCs/>
          <w:color w:val="000000" w:themeColor="text1"/>
          <w:lang w:val="en-US"/>
        </w:rPr>
        <w:t>e</w:t>
      </w:r>
      <w:r>
        <w:rPr>
          <w:rFonts w:cs="Calibri,Bold"/>
          <w:bCs/>
          <w:color w:val="000000" w:themeColor="text1"/>
          <w:lang w:val="en-US"/>
        </w:rPr>
        <w:t xml:space="preserve"> </w:t>
      </w:r>
      <w:r w:rsidR="00F86CF6">
        <w:rPr>
          <w:rFonts w:cs="Calibri,Bold"/>
          <w:bCs/>
          <w:color w:val="000000" w:themeColor="text1"/>
          <w:lang w:val="en-US"/>
        </w:rPr>
        <w:t xml:space="preserve">until </w:t>
      </w:r>
      <w:r>
        <w:rPr>
          <w:rFonts w:cs="Calibri,Bold"/>
          <w:bCs/>
          <w:color w:val="000000" w:themeColor="text1"/>
          <w:lang w:val="en-US"/>
        </w:rPr>
        <w:t>2020. Through the support by providing essential equipment, recruiting staff</w:t>
      </w:r>
      <w:r w:rsidR="00B30CF9">
        <w:rPr>
          <w:rFonts w:cs="Calibri,Bold"/>
          <w:bCs/>
          <w:color w:val="000000" w:themeColor="text1"/>
          <w:lang w:val="en-US"/>
        </w:rPr>
        <w:t>,</w:t>
      </w:r>
      <w:r>
        <w:rPr>
          <w:rFonts w:cs="Calibri,Bold"/>
          <w:bCs/>
          <w:color w:val="000000" w:themeColor="text1"/>
          <w:lang w:val="en-US"/>
        </w:rPr>
        <w:t xml:space="preserve"> and contracting NGOs, BRG will be able to continue implementing its activities </w:t>
      </w:r>
      <w:r w:rsidR="00B30CF9">
        <w:rPr>
          <w:rFonts w:cs="Calibri,Bold"/>
          <w:bCs/>
          <w:color w:val="000000" w:themeColor="text1"/>
          <w:lang w:val="en-US"/>
        </w:rPr>
        <w:t>post-</w:t>
      </w:r>
      <w:r>
        <w:rPr>
          <w:rFonts w:cs="Calibri,Bold"/>
          <w:bCs/>
          <w:color w:val="000000" w:themeColor="text1"/>
          <w:lang w:val="en-US"/>
        </w:rPr>
        <w:t>UNDP support</w:t>
      </w:r>
      <w:r w:rsidR="005D29CF">
        <w:rPr>
          <w:rFonts w:cs="Calibri,Bold"/>
          <w:bCs/>
          <w:color w:val="000000" w:themeColor="text1"/>
          <w:lang w:val="en-US"/>
        </w:rPr>
        <w:t xml:space="preserve"> through APBN funding</w:t>
      </w:r>
      <w:r>
        <w:rPr>
          <w:rFonts w:cs="Calibri,Bold"/>
          <w:bCs/>
          <w:color w:val="000000" w:themeColor="text1"/>
          <w:lang w:val="en-US"/>
        </w:rPr>
        <w:t>. Through this initial support</w:t>
      </w:r>
      <w:r w:rsidR="00B30CF9">
        <w:rPr>
          <w:rFonts w:cs="Calibri,Bold"/>
          <w:bCs/>
          <w:color w:val="000000" w:themeColor="text1"/>
          <w:lang w:val="en-US"/>
        </w:rPr>
        <w:t>,</w:t>
      </w:r>
      <w:r>
        <w:rPr>
          <w:rFonts w:cs="Calibri,Bold"/>
          <w:bCs/>
          <w:color w:val="000000" w:themeColor="text1"/>
          <w:lang w:val="en-US"/>
        </w:rPr>
        <w:t xml:space="preserve"> it is expected that the Government of Indonesia will be able to develop appropriate policies and practices </w:t>
      </w:r>
      <w:r w:rsidR="00F86CF6">
        <w:rPr>
          <w:rFonts w:cs="Calibri,Bold"/>
          <w:bCs/>
          <w:color w:val="000000" w:themeColor="text1"/>
          <w:lang w:val="en-US"/>
        </w:rPr>
        <w:t xml:space="preserve">for </w:t>
      </w:r>
      <w:r>
        <w:rPr>
          <w:rFonts w:cs="Calibri,Bold"/>
          <w:bCs/>
          <w:color w:val="000000" w:themeColor="text1"/>
          <w:lang w:val="en-US"/>
        </w:rPr>
        <w:t>the sustainable management of Indonesia’s peatlands</w:t>
      </w:r>
      <w:r w:rsidR="00F86CF6">
        <w:rPr>
          <w:rFonts w:cs="Calibri,Bold"/>
          <w:bCs/>
          <w:color w:val="000000" w:themeColor="text1"/>
          <w:lang w:val="en-US"/>
        </w:rPr>
        <w:t xml:space="preserve"> by the end of 2020</w:t>
      </w:r>
      <w:r>
        <w:rPr>
          <w:rFonts w:cs="Calibri,Bold"/>
          <w:bCs/>
          <w:color w:val="000000" w:themeColor="text1"/>
          <w:lang w:val="en-US"/>
        </w:rPr>
        <w:t xml:space="preserve">. </w:t>
      </w:r>
    </w:p>
    <w:p w14:paraId="0B8E0A32" w14:textId="77777777" w:rsidR="00FA31A4" w:rsidRDefault="00FA31A4" w:rsidP="00197DDF">
      <w:pPr>
        <w:autoSpaceDE w:val="0"/>
        <w:autoSpaceDN w:val="0"/>
        <w:adjustRightInd w:val="0"/>
        <w:spacing w:after="0" w:line="23" w:lineRule="atLeast"/>
        <w:rPr>
          <w:rFonts w:cs="Calibri,Bold"/>
          <w:bCs/>
          <w:color w:val="000000" w:themeColor="text1"/>
          <w:lang w:val="en-US"/>
        </w:rPr>
      </w:pPr>
    </w:p>
    <w:p w14:paraId="6329C4E1" w14:textId="55DE5A3F" w:rsidR="00FA31A4" w:rsidRDefault="006F6E81" w:rsidP="00197DDF">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 xml:space="preserve">The ongoing </w:t>
      </w:r>
      <w:r w:rsidR="00E32E10">
        <w:rPr>
          <w:rFonts w:cs="Calibri,Bold"/>
          <w:bCs/>
          <w:color w:val="000000" w:themeColor="text1"/>
          <w:lang w:val="en-US"/>
        </w:rPr>
        <w:t xml:space="preserve">NGO </w:t>
      </w:r>
      <w:r>
        <w:rPr>
          <w:rFonts w:cs="Calibri,Bold"/>
          <w:bCs/>
          <w:color w:val="000000" w:themeColor="text1"/>
          <w:lang w:val="en-US"/>
        </w:rPr>
        <w:t xml:space="preserve">support </w:t>
      </w:r>
      <w:r w:rsidR="00B30CF9">
        <w:rPr>
          <w:rFonts w:cs="Calibri,Bold"/>
          <w:bCs/>
          <w:color w:val="000000" w:themeColor="text1"/>
          <w:lang w:val="en-US"/>
        </w:rPr>
        <w:t>post-</w:t>
      </w:r>
      <w:r>
        <w:rPr>
          <w:rFonts w:cs="Calibri,Bold"/>
          <w:bCs/>
          <w:color w:val="000000" w:themeColor="text1"/>
          <w:lang w:val="en-US"/>
        </w:rPr>
        <w:t xml:space="preserve">UNDP is uncertain, which will impact the sustainability of many of the activities that have been undertaken. The development of alternative livelihoods to replace palm </w:t>
      </w:r>
      <w:r w:rsidR="00CC22B0">
        <w:rPr>
          <w:rFonts w:cs="Calibri,Bold"/>
          <w:bCs/>
          <w:color w:val="000000" w:themeColor="text1"/>
          <w:lang w:val="en-US"/>
        </w:rPr>
        <w:t xml:space="preserve">oil </w:t>
      </w:r>
      <w:r>
        <w:rPr>
          <w:rFonts w:cs="Calibri,Bold"/>
          <w:bCs/>
          <w:color w:val="000000" w:themeColor="text1"/>
          <w:lang w:val="en-US"/>
        </w:rPr>
        <w:t xml:space="preserve">is uncertain as the replacement crops (pineapples and ginger) have poor market opportunities. </w:t>
      </w:r>
      <w:r w:rsidR="00E32E10">
        <w:rPr>
          <w:rFonts w:cs="Calibri,Bold"/>
          <w:bCs/>
          <w:color w:val="000000" w:themeColor="text1"/>
          <w:lang w:val="en-US"/>
        </w:rPr>
        <w:t xml:space="preserve">BRG will need to ensure that APBN funding is available </w:t>
      </w:r>
      <w:r w:rsidR="001F3836">
        <w:rPr>
          <w:rFonts w:cs="Calibri,Bold"/>
          <w:bCs/>
          <w:color w:val="000000" w:themeColor="text1"/>
          <w:lang w:val="en-US"/>
        </w:rPr>
        <w:t xml:space="preserve">to sustain these activities and transition to longer term interventions, most likely implemented by Provincial and District agencies. The new regulation that enables the government to easily grant funding to NGOs through </w:t>
      </w:r>
      <w:r w:rsidR="00B30CF9">
        <w:rPr>
          <w:rFonts w:cs="Calibri,Bold"/>
          <w:bCs/>
          <w:color w:val="000000" w:themeColor="text1"/>
          <w:lang w:val="en-US"/>
        </w:rPr>
        <w:t>self-management,</w:t>
      </w:r>
      <w:r w:rsidR="001F3836">
        <w:rPr>
          <w:rFonts w:cs="Calibri,Bold"/>
          <w:bCs/>
          <w:color w:val="000000" w:themeColor="text1"/>
          <w:lang w:val="en-US"/>
        </w:rPr>
        <w:t xml:space="preserve"> or swakalola</w:t>
      </w:r>
      <w:r w:rsidR="001F3836">
        <w:rPr>
          <w:rStyle w:val="FootnoteReference"/>
          <w:rFonts w:cs="Calibri,Bold"/>
          <w:bCs/>
          <w:color w:val="000000" w:themeColor="text1"/>
          <w:lang w:val="en-US"/>
        </w:rPr>
        <w:footnoteReference w:id="2"/>
      </w:r>
      <w:r w:rsidR="00F86CF6">
        <w:rPr>
          <w:rFonts w:cs="Calibri,Bold"/>
          <w:bCs/>
          <w:color w:val="000000" w:themeColor="text1"/>
          <w:lang w:val="en-US"/>
        </w:rPr>
        <w:t>,</w:t>
      </w:r>
      <w:r w:rsidR="001F3836">
        <w:rPr>
          <w:rFonts w:cs="Calibri,Bold"/>
          <w:bCs/>
          <w:color w:val="000000" w:themeColor="text1"/>
          <w:lang w:val="en-US"/>
        </w:rPr>
        <w:t xml:space="preserve"> will </w:t>
      </w:r>
      <w:r w:rsidR="00F86CF6">
        <w:rPr>
          <w:rFonts w:cs="Calibri,Bold"/>
          <w:bCs/>
          <w:color w:val="000000" w:themeColor="text1"/>
          <w:lang w:val="en-US"/>
        </w:rPr>
        <w:t xml:space="preserve">allow </w:t>
      </w:r>
      <w:r w:rsidR="001F3836">
        <w:rPr>
          <w:rFonts w:cs="Calibri,Bold"/>
          <w:bCs/>
          <w:color w:val="000000" w:themeColor="text1"/>
          <w:lang w:val="en-US"/>
        </w:rPr>
        <w:t>NGO grants to be continued without too much difficulty as l</w:t>
      </w:r>
      <w:r w:rsidR="00CC22B0">
        <w:rPr>
          <w:rFonts w:cs="Calibri,Bold"/>
          <w:bCs/>
          <w:color w:val="000000" w:themeColor="text1"/>
          <w:lang w:val="en-US"/>
        </w:rPr>
        <w:t>ong</w:t>
      </w:r>
      <w:r w:rsidR="001F3836">
        <w:rPr>
          <w:rFonts w:cs="Calibri,Bold"/>
          <w:bCs/>
          <w:color w:val="000000" w:themeColor="text1"/>
          <w:lang w:val="en-US"/>
        </w:rPr>
        <w:t xml:space="preserve"> as there is government commitment.</w:t>
      </w:r>
      <w:r w:rsidR="00D05FB3">
        <w:rPr>
          <w:rFonts w:cs="Calibri,Bold"/>
          <w:bCs/>
          <w:color w:val="000000" w:themeColor="text1"/>
          <w:lang w:val="en-US"/>
        </w:rPr>
        <w:t xml:space="preserve"> </w:t>
      </w:r>
    </w:p>
    <w:p w14:paraId="5472C5BA" w14:textId="77777777" w:rsidR="006F6E81" w:rsidRDefault="006F6E81" w:rsidP="00197DDF">
      <w:pPr>
        <w:autoSpaceDE w:val="0"/>
        <w:autoSpaceDN w:val="0"/>
        <w:adjustRightInd w:val="0"/>
        <w:spacing w:after="0" w:line="23" w:lineRule="atLeast"/>
        <w:rPr>
          <w:rFonts w:cs="Calibri,Bold"/>
          <w:bCs/>
          <w:color w:val="000000" w:themeColor="text1"/>
          <w:lang w:val="en-US"/>
        </w:rPr>
      </w:pPr>
    </w:p>
    <w:p w14:paraId="09C8C5DD" w14:textId="77777777" w:rsidR="00197DDF" w:rsidRDefault="00197DDF" w:rsidP="00291938">
      <w:pPr>
        <w:pStyle w:val="Heading2"/>
        <w:rPr>
          <w:lang w:val="en-US"/>
        </w:rPr>
      </w:pPr>
      <w:bookmarkStart w:id="23" w:name="_Toc528998441"/>
      <w:r w:rsidRPr="0061157C">
        <w:rPr>
          <w:lang w:val="en-US"/>
        </w:rPr>
        <w:t>General Recommendations</w:t>
      </w:r>
      <w:bookmarkEnd w:id="23"/>
    </w:p>
    <w:p w14:paraId="765B57E5" w14:textId="77777777" w:rsidR="00291938" w:rsidRDefault="00291938" w:rsidP="00197DDF">
      <w:pPr>
        <w:autoSpaceDE w:val="0"/>
        <w:autoSpaceDN w:val="0"/>
        <w:adjustRightInd w:val="0"/>
        <w:spacing w:after="0" w:line="23" w:lineRule="atLeast"/>
        <w:rPr>
          <w:rFonts w:cs="Calibri,Bold"/>
          <w:bCs/>
          <w:color w:val="000000" w:themeColor="text1"/>
          <w:lang w:val="en-US"/>
        </w:rPr>
      </w:pPr>
    </w:p>
    <w:p w14:paraId="0A862226" w14:textId="4E3918C0" w:rsidR="003107D3" w:rsidRPr="00613E3D" w:rsidRDefault="003107D3" w:rsidP="003107D3">
      <w:pPr>
        <w:autoSpaceDE w:val="0"/>
        <w:autoSpaceDN w:val="0"/>
        <w:adjustRightInd w:val="0"/>
        <w:spacing w:after="0" w:line="240" w:lineRule="auto"/>
        <w:jc w:val="both"/>
        <w:rPr>
          <w:rFonts w:asciiTheme="minorHAnsi" w:hAnsiTheme="minorHAnsi" w:cstheme="minorHAnsi"/>
        </w:rPr>
      </w:pPr>
      <w:r w:rsidRPr="00613E3D">
        <w:rPr>
          <w:rFonts w:asciiTheme="minorHAnsi" w:hAnsiTheme="minorHAnsi" w:cstheme="minorHAnsi"/>
        </w:rPr>
        <w:t xml:space="preserve">As peat restoration efforts continue beyond 2020, </w:t>
      </w:r>
      <w:r>
        <w:rPr>
          <w:rFonts w:asciiTheme="minorHAnsi" w:hAnsiTheme="minorHAnsi" w:cstheme="minorHAnsi"/>
          <w:lang w:val="en-ID"/>
        </w:rPr>
        <w:t>P</w:t>
      </w:r>
      <w:r w:rsidRPr="00613E3D">
        <w:rPr>
          <w:rFonts w:asciiTheme="minorHAnsi" w:hAnsiTheme="minorHAnsi" w:cstheme="minorHAnsi"/>
        </w:rPr>
        <w:t>rovincial governments are expected</w:t>
      </w:r>
      <w:r w:rsidR="00F86CF6">
        <w:rPr>
          <w:rFonts w:asciiTheme="minorHAnsi" w:hAnsiTheme="minorHAnsi" w:cstheme="minorHAnsi"/>
        </w:rPr>
        <w:t xml:space="preserve"> to</w:t>
      </w:r>
      <w:r w:rsidRPr="00613E3D">
        <w:rPr>
          <w:rFonts w:asciiTheme="minorHAnsi" w:hAnsiTheme="minorHAnsi" w:cstheme="minorHAnsi"/>
        </w:rPr>
        <w:t xml:space="preserve"> </w:t>
      </w:r>
      <w:r>
        <w:rPr>
          <w:rFonts w:asciiTheme="minorHAnsi" w:hAnsiTheme="minorHAnsi" w:cstheme="minorHAnsi"/>
          <w:lang w:val="en-ID"/>
        </w:rPr>
        <w:t xml:space="preserve">continue </w:t>
      </w:r>
      <w:r w:rsidRPr="00613E3D">
        <w:rPr>
          <w:rFonts w:asciiTheme="minorHAnsi" w:hAnsiTheme="minorHAnsi" w:cstheme="minorHAnsi"/>
        </w:rPr>
        <w:t>these programs</w:t>
      </w:r>
      <w:r>
        <w:rPr>
          <w:rFonts w:asciiTheme="minorHAnsi" w:hAnsiTheme="minorHAnsi" w:cstheme="minorHAnsi"/>
          <w:lang w:val="en-ID"/>
        </w:rPr>
        <w:t xml:space="preserve"> with APBD funding</w:t>
      </w:r>
      <w:r w:rsidRPr="00613E3D">
        <w:rPr>
          <w:rFonts w:asciiTheme="minorHAnsi" w:hAnsiTheme="minorHAnsi" w:cstheme="minorHAnsi"/>
        </w:rPr>
        <w:t xml:space="preserve">. To </w:t>
      </w:r>
      <w:r w:rsidR="00F86CF6">
        <w:rPr>
          <w:rFonts w:asciiTheme="minorHAnsi" w:hAnsiTheme="minorHAnsi" w:cstheme="minorHAnsi"/>
        </w:rPr>
        <w:t>ensure</w:t>
      </w:r>
      <w:r w:rsidR="00F86CF6" w:rsidRPr="00613E3D">
        <w:rPr>
          <w:rFonts w:asciiTheme="minorHAnsi" w:hAnsiTheme="minorHAnsi" w:cstheme="minorHAnsi"/>
        </w:rPr>
        <w:t xml:space="preserve"> </w:t>
      </w:r>
      <w:r w:rsidRPr="00613E3D">
        <w:rPr>
          <w:rFonts w:asciiTheme="minorHAnsi" w:hAnsiTheme="minorHAnsi" w:cstheme="minorHAnsi"/>
        </w:rPr>
        <w:t>this</w:t>
      </w:r>
      <w:r>
        <w:rPr>
          <w:rFonts w:asciiTheme="minorHAnsi" w:hAnsiTheme="minorHAnsi" w:cstheme="minorHAnsi"/>
          <w:lang w:val="en-ID"/>
        </w:rPr>
        <w:t xml:space="preserve"> happen</w:t>
      </w:r>
      <w:r w:rsidR="00F86CF6">
        <w:rPr>
          <w:rFonts w:asciiTheme="minorHAnsi" w:hAnsiTheme="minorHAnsi" w:cstheme="minorHAnsi"/>
          <w:lang w:val="en-ID"/>
        </w:rPr>
        <w:t>s</w:t>
      </w:r>
      <w:r w:rsidRPr="00613E3D">
        <w:rPr>
          <w:rFonts w:asciiTheme="minorHAnsi" w:hAnsiTheme="minorHAnsi" w:cstheme="minorHAnsi"/>
        </w:rPr>
        <w:t xml:space="preserve">, </w:t>
      </w:r>
      <w:r>
        <w:rPr>
          <w:rFonts w:asciiTheme="minorHAnsi" w:hAnsiTheme="minorHAnsi" w:cstheme="minorHAnsi"/>
          <w:lang w:val="en-ID"/>
        </w:rPr>
        <w:t xml:space="preserve">the </w:t>
      </w:r>
      <w:r w:rsidRPr="00613E3D">
        <w:rPr>
          <w:rFonts w:asciiTheme="minorHAnsi" w:hAnsiTheme="minorHAnsi" w:cstheme="minorHAnsi"/>
        </w:rPr>
        <w:t xml:space="preserve">legal framework for </w:t>
      </w:r>
      <w:r>
        <w:rPr>
          <w:rFonts w:asciiTheme="minorHAnsi" w:hAnsiTheme="minorHAnsi" w:cstheme="minorHAnsi"/>
          <w:lang w:val="en-ID"/>
        </w:rPr>
        <w:t xml:space="preserve">confirming the Provincial government’s role should be finalised. </w:t>
      </w:r>
      <w:r w:rsidRPr="00613E3D">
        <w:rPr>
          <w:rFonts w:asciiTheme="minorHAnsi" w:hAnsiTheme="minorHAnsi" w:cstheme="minorHAnsi"/>
        </w:rPr>
        <w:t xml:space="preserve">Therefore, it is recommended that by the end of BRG’s mandate the national government should have prepared the policy reform that enables peat restoration work to be mainstreamed in the provincial government’s priority programs, especially for the seven provinces with peatlands. </w:t>
      </w:r>
    </w:p>
    <w:p w14:paraId="56D8B491" w14:textId="77777777" w:rsidR="003107D3" w:rsidRPr="00613E3D" w:rsidRDefault="003107D3" w:rsidP="003107D3">
      <w:pPr>
        <w:autoSpaceDE w:val="0"/>
        <w:autoSpaceDN w:val="0"/>
        <w:adjustRightInd w:val="0"/>
        <w:spacing w:after="0" w:line="240" w:lineRule="auto"/>
        <w:jc w:val="both"/>
        <w:rPr>
          <w:rFonts w:asciiTheme="minorHAnsi" w:hAnsiTheme="minorHAnsi" w:cstheme="minorHAnsi"/>
          <w:lang w:val="en-ID"/>
        </w:rPr>
      </w:pPr>
    </w:p>
    <w:p w14:paraId="250323A3" w14:textId="74F9E074" w:rsidR="003107D3" w:rsidRPr="00783169" w:rsidRDefault="003107D3" w:rsidP="003107D3">
      <w:pPr>
        <w:autoSpaceDE w:val="0"/>
        <w:autoSpaceDN w:val="0"/>
        <w:adjustRightInd w:val="0"/>
        <w:spacing w:after="0" w:line="240" w:lineRule="auto"/>
        <w:jc w:val="both"/>
        <w:rPr>
          <w:rFonts w:asciiTheme="minorHAnsi" w:hAnsiTheme="minorHAnsi" w:cstheme="minorHAnsi"/>
          <w:lang w:val="en-ID"/>
        </w:rPr>
      </w:pPr>
      <w:r>
        <w:rPr>
          <w:rFonts w:asciiTheme="minorHAnsi" w:hAnsiTheme="minorHAnsi" w:cstheme="minorHAnsi"/>
          <w:lang w:val="en-ID"/>
        </w:rPr>
        <w:t xml:space="preserve">Drafting and improving the clarity of </w:t>
      </w:r>
      <w:r w:rsidRPr="00613E3D">
        <w:rPr>
          <w:rFonts w:asciiTheme="minorHAnsi" w:hAnsiTheme="minorHAnsi" w:cstheme="minorHAnsi"/>
        </w:rPr>
        <w:t>regulations ha</w:t>
      </w:r>
      <w:r>
        <w:rPr>
          <w:rFonts w:asciiTheme="minorHAnsi" w:hAnsiTheme="minorHAnsi" w:cstheme="minorHAnsi"/>
          <w:lang w:val="en-ID"/>
        </w:rPr>
        <w:t xml:space="preserve">s been critical </w:t>
      </w:r>
      <w:r w:rsidR="00F86CF6">
        <w:rPr>
          <w:rFonts w:asciiTheme="minorHAnsi" w:hAnsiTheme="minorHAnsi" w:cstheme="minorHAnsi"/>
          <w:lang w:val="en-ID"/>
        </w:rPr>
        <w:t xml:space="preserve">to </w:t>
      </w:r>
      <w:r>
        <w:rPr>
          <w:rFonts w:asciiTheme="minorHAnsi" w:hAnsiTheme="minorHAnsi" w:cstheme="minorHAnsi"/>
          <w:lang w:val="en-ID"/>
        </w:rPr>
        <w:t>the</w:t>
      </w:r>
      <w:r w:rsidRPr="00613E3D">
        <w:rPr>
          <w:rFonts w:asciiTheme="minorHAnsi" w:hAnsiTheme="minorHAnsi" w:cstheme="minorHAnsi"/>
        </w:rPr>
        <w:t xml:space="preserve"> success of peatland restoration. The process of producing regulations required a significant amount of time and money.</w:t>
      </w:r>
      <w:r>
        <w:rPr>
          <w:rFonts w:asciiTheme="minorHAnsi" w:hAnsiTheme="minorHAnsi" w:cstheme="minorHAnsi"/>
          <w:lang w:val="en-ID"/>
        </w:rPr>
        <w:t xml:space="preserve"> Through </w:t>
      </w:r>
      <w:r w:rsidRPr="00613E3D">
        <w:rPr>
          <w:rFonts w:asciiTheme="minorHAnsi" w:hAnsiTheme="minorHAnsi" w:cstheme="minorHAnsi"/>
        </w:rPr>
        <w:t>the project’s support, an important regulation on environment protection, especially peatland, was accelerated</w:t>
      </w:r>
      <w:r>
        <w:rPr>
          <w:rFonts w:asciiTheme="minorHAnsi" w:hAnsiTheme="minorHAnsi" w:cstheme="minorHAnsi"/>
          <w:lang w:val="en-ID"/>
        </w:rPr>
        <w:t xml:space="preserve"> in its promulgation.</w:t>
      </w:r>
      <w:r w:rsidRPr="00613E3D">
        <w:rPr>
          <w:rFonts w:asciiTheme="minorHAnsi" w:hAnsiTheme="minorHAnsi" w:cstheme="minorHAnsi"/>
        </w:rPr>
        <w:t xml:space="preserve"> The project also supported the development of related regulations</w:t>
      </w:r>
      <w:r>
        <w:rPr>
          <w:rFonts w:asciiTheme="minorHAnsi" w:hAnsiTheme="minorHAnsi" w:cstheme="minorHAnsi"/>
          <w:lang w:val="en-ID"/>
        </w:rPr>
        <w:t>, through</w:t>
      </w:r>
      <w:r w:rsidRPr="00613E3D">
        <w:rPr>
          <w:rFonts w:asciiTheme="minorHAnsi" w:hAnsiTheme="minorHAnsi" w:cstheme="minorHAnsi"/>
        </w:rPr>
        <w:t xml:space="preserve"> MOU</w:t>
      </w:r>
      <w:r>
        <w:rPr>
          <w:rFonts w:asciiTheme="minorHAnsi" w:hAnsiTheme="minorHAnsi" w:cstheme="minorHAnsi"/>
          <w:lang w:val="en-ID"/>
        </w:rPr>
        <w:t>s</w:t>
      </w:r>
      <w:r w:rsidRPr="00613E3D">
        <w:rPr>
          <w:rFonts w:asciiTheme="minorHAnsi" w:hAnsiTheme="minorHAnsi" w:cstheme="minorHAnsi"/>
        </w:rPr>
        <w:t xml:space="preserve"> between BRG and provincial level </w:t>
      </w:r>
      <w:r w:rsidR="00AA0CF5" w:rsidRPr="00613E3D">
        <w:rPr>
          <w:rFonts w:asciiTheme="minorHAnsi" w:hAnsiTheme="minorHAnsi" w:cstheme="minorHAnsi"/>
        </w:rPr>
        <w:t>institution</w:t>
      </w:r>
      <w:r w:rsidR="00AA0CF5">
        <w:rPr>
          <w:rFonts w:asciiTheme="minorHAnsi" w:hAnsiTheme="minorHAnsi" w:cstheme="minorHAnsi"/>
          <w:lang w:val="en-ID"/>
        </w:rPr>
        <w:t>s—</w:t>
      </w:r>
      <w:r w:rsidR="00F86CF6">
        <w:rPr>
          <w:rFonts w:asciiTheme="minorHAnsi" w:hAnsiTheme="minorHAnsi" w:cstheme="minorHAnsi"/>
          <w:lang w:val="en-ID"/>
        </w:rPr>
        <w:t>i.e.</w:t>
      </w:r>
      <w:r w:rsidR="00AA0CF5">
        <w:rPr>
          <w:rFonts w:asciiTheme="minorHAnsi" w:hAnsiTheme="minorHAnsi" w:cstheme="minorHAnsi"/>
          <w:lang w:val="en-ID"/>
        </w:rPr>
        <w:t>,</w:t>
      </w:r>
      <w:r w:rsidR="00F86CF6">
        <w:rPr>
          <w:rFonts w:asciiTheme="minorHAnsi" w:hAnsiTheme="minorHAnsi" w:cstheme="minorHAnsi"/>
          <w:lang w:val="en-ID"/>
        </w:rPr>
        <w:t xml:space="preserve"> </w:t>
      </w:r>
      <w:r w:rsidRPr="00613E3D">
        <w:rPr>
          <w:rFonts w:asciiTheme="minorHAnsi" w:hAnsiTheme="minorHAnsi" w:cstheme="minorHAnsi"/>
        </w:rPr>
        <w:t>universities and CSOs.</w:t>
      </w:r>
      <w:r w:rsidR="00D05FB3">
        <w:rPr>
          <w:rFonts w:asciiTheme="minorHAnsi" w:hAnsiTheme="minorHAnsi" w:cstheme="minorHAnsi"/>
        </w:rPr>
        <w:t xml:space="preserve"> </w:t>
      </w:r>
    </w:p>
    <w:p w14:paraId="0D7988EA" w14:textId="77777777" w:rsidR="003107D3" w:rsidRDefault="003107D3" w:rsidP="00197DDF">
      <w:pPr>
        <w:autoSpaceDE w:val="0"/>
        <w:autoSpaceDN w:val="0"/>
        <w:adjustRightInd w:val="0"/>
        <w:spacing w:after="0" w:line="23" w:lineRule="atLeast"/>
        <w:rPr>
          <w:rFonts w:cs="Calibri,Bold"/>
          <w:bCs/>
          <w:color w:val="000000" w:themeColor="text1"/>
          <w:lang w:val="en-US"/>
        </w:rPr>
      </w:pPr>
    </w:p>
    <w:p w14:paraId="441A14E8" w14:textId="679D0AC5" w:rsidR="00322132" w:rsidRDefault="00322132" w:rsidP="00197DDF">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The UNDP DIM modality is highly relevant for these types of activities, as it allows UNDP to quickly mobili</w:t>
      </w:r>
      <w:r w:rsidR="00F86CF6">
        <w:rPr>
          <w:rFonts w:cs="Calibri,Bold"/>
          <w:bCs/>
          <w:color w:val="000000" w:themeColor="text1"/>
          <w:lang w:val="en-US"/>
        </w:rPr>
        <w:t>z</w:t>
      </w:r>
      <w:r>
        <w:rPr>
          <w:rFonts w:cs="Calibri,Bold"/>
          <w:bCs/>
          <w:color w:val="000000" w:themeColor="text1"/>
          <w:lang w:val="en-US"/>
        </w:rPr>
        <w:t>e resources to meet the needs of an immediate response</w:t>
      </w:r>
      <w:r w:rsidR="00F11D51">
        <w:rPr>
          <w:rFonts w:cs="Calibri,Bold"/>
          <w:bCs/>
          <w:color w:val="000000" w:themeColor="text1"/>
          <w:lang w:val="en-US"/>
        </w:rPr>
        <w:t xml:space="preserve"> when </w:t>
      </w:r>
      <w:r>
        <w:rPr>
          <w:rFonts w:cs="Calibri,Bold"/>
          <w:bCs/>
          <w:color w:val="000000" w:themeColor="text1"/>
          <w:lang w:val="en-US"/>
        </w:rPr>
        <w:t xml:space="preserve">coupled with UNDP’s </w:t>
      </w:r>
      <w:r w:rsidR="00F11D51">
        <w:rPr>
          <w:rFonts w:cs="Calibri,Bold"/>
          <w:bCs/>
          <w:color w:val="000000" w:themeColor="text1"/>
          <w:lang w:val="en-US"/>
        </w:rPr>
        <w:t xml:space="preserve">fast-tracking </w:t>
      </w:r>
      <w:r w:rsidR="00BB5899">
        <w:rPr>
          <w:rFonts w:cs="Calibri,Bold"/>
          <w:bCs/>
          <w:color w:val="000000" w:themeColor="text1"/>
          <w:lang w:val="en-US"/>
        </w:rPr>
        <w:t xml:space="preserve">procedures. </w:t>
      </w:r>
    </w:p>
    <w:p w14:paraId="37A0F3E1" w14:textId="77777777" w:rsidR="00322132" w:rsidRDefault="00322132" w:rsidP="00197DDF">
      <w:pPr>
        <w:autoSpaceDE w:val="0"/>
        <w:autoSpaceDN w:val="0"/>
        <w:adjustRightInd w:val="0"/>
        <w:spacing w:after="0" w:line="23" w:lineRule="atLeast"/>
        <w:rPr>
          <w:rFonts w:cs="Calibri,Bold"/>
          <w:bCs/>
          <w:color w:val="000000" w:themeColor="text1"/>
          <w:lang w:val="en-US"/>
        </w:rPr>
      </w:pPr>
    </w:p>
    <w:p w14:paraId="34B8D249" w14:textId="4A2AA888" w:rsidR="00291938" w:rsidRDefault="00CA3B7C" w:rsidP="00197DDF">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UNDP requires mechanisms to quickly source independent consultants to ensure</w:t>
      </w:r>
      <w:r w:rsidR="00F11D51">
        <w:rPr>
          <w:rFonts w:cs="Calibri,Bold"/>
          <w:bCs/>
          <w:color w:val="000000" w:themeColor="text1"/>
          <w:lang w:val="en-US"/>
        </w:rPr>
        <w:t xml:space="preserve"> that the</w:t>
      </w:r>
      <w:r>
        <w:rPr>
          <w:rFonts w:cs="Calibri,Bold"/>
          <w:bCs/>
          <w:color w:val="000000" w:themeColor="text1"/>
          <w:lang w:val="en-US"/>
        </w:rPr>
        <w:t xml:space="preserve"> consultant recruitment processes can be quickly implemented. </w:t>
      </w:r>
    </w:p>
    <w:p w14:paraId="3168024D" w14:textId="77777777" w:rsidR="00CA3B7C" w:rsidRDefault="00CA3B7C" w:rsidP="00197DDF">
      <w:pPr>
        <w:autoSpaceDE w:val="0"/>
        <w:autoSpaceDN w:val="0"/>
        <w:adjustRightInd w:val="0"/>
        <w:spacing w:after="0" w:line="23" w:lineRule="atLeast"/>
        <w:rPr>
          <w:rFonts w:cs="Calibri,Bold"/>
          <w:bCs/>
          <w:color w:val="000000" w:themeColor="text1"/>
          <w:lang w:val="en-US"/>
        </w:rPr>
      </w:pPr>
    </w:p>
    <w:p w14:paraId="7E2D1E42" w14:textId="77777777" w:rsidR="00CA3B7C" w:rsidRDefault="00322132" w:rsidP="00197DDF">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lastRenderedPageBreak/>
        <w:t xml:space="preserve">Use of </w:t>
      </w:r>
      <w:r w:rsidRPr="001D19F3">
        <w:rPr>
          <w:lang w:val="en-US"/>
        </w:rPr>
        <w:t>UNDP Social and Environmental Standards</w:t>
      </w:r>
      <w:r>
        <w:rPr>
          <w:lang w:val="en-US"/>
        </w:rPr>
        <w:t xml:space="preserve"> to assess all activities was highly appropriate and minimized the likelihood of any potential environmental and social risks. </w:t>
      </w:r>
    </w:p>
    <w:p w14:paraId="1A1A0088" w14:textId="77777777" w:rsidR="00CA3B7C" w:rsidRPr="0061157C" w:rsidRDefault="00CA3B7C" w:rsidP="00197DDF">
      <w:pPr>
        <w:autoSpaceDE w:val="0"/>
        <w:autoSpaceDN w:val="0"/>
        <w:adjustRightInd w:val="0"/>
        <w:spacing w:after="0" w:line="23" w:lineRule="atLeast"/>
        <w:rPr>
          <w:rFonts w:cs="Calibri,Bold"/>
          <w:bCs/>
          <w:color w:val="000000" w:themeColor="text1"/>
          <w:lang w:val="en-US"/>
        </w:rPr>
      </w:pPr>
    </w:p>
    <w:p w14:paraId="729331E0" w14:textId="3B77E1A5" w:rsidR="00197DDF" w:rsidRDefault="00197DDF" w:rsidP="00291938">
      <w:pPr>
        <w:pStyle w:val="Heading2"/>
        <w:rPr>
          <w:lang w:val="en-US"/>
        </w:rPr>
      </w:pPr>
      <w:bookmarkStart w:id="24" w:name="_Toc528998442"/>
      <w:r w:rsidRPr="0061157C">
        <w:rPr>
          <w:lang w:val="en-US"/>
        </w:rPr>
        <w:t xml:space="preserve">Specific </w:t>
      </w:r>
      <w:r w:rsidR="00291938">
        <w:rPr>
          <w:lang w:val="en-US"/>
        </w:rPr>
        <w:t>R</w:t>
      </w:r>
      <w:r w:rsidRPr="0061157C">
        <w:rPr>
          <w:lang w:val="en-US"/>
        </w:rPr>
        <w:t xml:space="preserve">ecommendations </w:t>
      </w:r>
      <w:r w:rsidR="00F11D51">
        <w:rPr>
          <w:lang w:val="en-US"/>
        </w:rPr>
        <w:t>for</w:t>
      </w:r>
      <w:r w:rsidRPr="0061157C">
        <w:rPr>
          <w:lang w:val="en-US"/>
        </w:rPr>
        <w:t xml:space="preserve"> </w:t>
      </w:r>
      <w:r w:rsidR="00291938">
        <w:rPr>
          <w:lang w:val="en-US"/>
        </w:rPr>
        <w:t>R</w:t>
      </w:r>
      <w:r w:rsidRPr="0061157C">
        <w:rPr>
          <w:lang w:val="en-US"/>
        </w:rPr>
        <w:t xml:space="preserve">eplication </w:t>
      </w:r>
      <w:r w:rsidR="00F11D51">
        <w:rPr>
          <w:lang w:val="en-US"/>
        </w:rPr>
        <w:t>within</w:t>
      </w:r>
      <w:r w:rsidRPr="0061157C">
        <w:rPr>
          <w:lang w:val="en-US"/>
        </w:rPr>
        <w:t xml:space="preserve"> </w:t>
      </w:r>
      <w:r w:rsidR="00291938">
        <w:rPr>
          <w:lang w:val="en-US"/>
        </w:rPr>
        <w:t>E</w:t>
      </w:r>
      <w:r w:rsidRPr="0061157C">
        <w:rPr>
          <w:lang w:val="en-US"/>
        </w:rPr>
        <w:t xml:space="preserve">xisting </w:t>
      </w:r>
      <w:r w:rsidR="00291938">
        <w:rPr>
          <w:lang w:val="en-US"/>
        </w:rPr>
        <w:t>G</w:t>
      </w:r>
      <w:r w:rsidRPr="0061157C">
        <w:rPr>
          <w:lang w:val="en-US"/>
        </w:rPr>
        <w:t xml:space="preserve">overnment </w:t>
      </w:r>
      <w:r w:rsidR="00291938">
        <w:rPr>
          <w:lang w:val="en-US"/>
        </w:rPr>
        <w:t>I</w:t>
      </w:r>
      <w:r w:rsidRPr="0061157C">
        <w:rPr>
          <w:lang w:val="en-US"/>
        </w:rPr>
        <w:t xml:space="preserve">nstitutions </w:t>
      </w:r>
      <w:r w:rsidR="00F11D51">
        <w:rPr>
          <w:lang w:val="en-US"/>
        </w:rPr>
        <w:t>and</w:t>
      </w:r>
      <w:r w:rsidRPr="0061157C">
        <w:rPr>
          <w:lang w:val="en-US"/>
        </w:rPr>
        <w:t xml:space="preserve"> </w:t>
      </w:r>
      <w:r w:rsidR="00291938">
        <w:rPr>
          <w:lang w:val="en-US"/>
        </w:rPr>
        <w:t>P</w:t>
      </w:r>
      <w:r w:rsidRPr="0061157C">
        <w:rPr>
          <w:lang w:val="en-US"/>
        </w:rPr>
        <w:t>rogramm</w:t>
      </w:r>
      <w:r w:rsidR="00291938">
        <w:rPr>
          <w:lang w:val="en-US"/>
        </w:rPr>
        <w:t>e</w:t>
      </w:r>
      <w:r w:rsidRPr="0061157C">
        <w:rPr>
          <w:lang w:val="en-US"/>
        </w:rPr>
        <w:t>s</w:t>
      </w:r>
      <w:bookmarkEnd w:id="24"/>
    </w:p>
    <w:p w14:paraId="13ED61BA" w14:textId="77777777" w:rsidR="00291938" w:rsidRDefault="00291938" w:rsidP="00197DDF">
      <w:pPr>
        <w:autoSpaceDE w:val="0"/>
        <w:autoSpaceDN w:val="0"/>
        <w:adjustRightInd w:val="0"/>
        <w:spacing w:after="0" w:line="23" w:lineRule="atLeast"/>
        <w:rPr>
          <w:rFonts w:cs="Calibri,Bold"/>
          <w:bCs/>
          <w:color w:val="000000" w:themeColor="text1"/>
          <w:lang w:val="en-US"/>
        </w:rPr>
      </w:pPr>
    </w:p>
    <w:p w14:paraId="14CAE015" w14:textId="0A7C59CF" w:rsidR="00291938" w:rsidRDefault="00F11D51" w:rsidP="00197DDF">
      <w:pPr>
        <w:autoSpaceDE w:val="0"/>
        <w:autoSpaceDN w:val="0"/>
        <w:adjustRightInd w:val="0"/>
        <w:spacing w:after="0" w:line="23" w:lineRule="atLeast"/>
        <w:rPr>
          <w:rFonts w:cs="Arial"/>
          <w:bCs/>
          <w:lang w:val="en-ID" w:eastAsia="id-ID"/>
        </w:rPr>
      </w:pPr>
      <w:r>
        <w:rPr>
          <w:rFonts w:cs="Calibri,Bold"/>
          <w:bCs/>
          <w:color w:val="000000" w:themeColor="text1"/>
          <w:lang w:val="en-US"/>
        </w:rPr>
        <w:t>I</w:t>
      </w:r>
      <w:r w:rsidR="005C2041">
        <w:rPr>
          <w:rFonts w:cs="Calibri,Bold"/>
          <w:bCs/>
          <w:color w:val="000000" w:themeColor="text1"/>
          <w:lang w:val="en-US"/>
        </w:rPr>
        <w:t>n the future</w:t>
      </w:r>
      <w:r>
        <w:rPr>
          <w:rFonts w:cs="Calibri,Bold"/>
          <w:bCs/>
          <w:color w:val="000000" w:themeColor="text1"/>
          <w:lang w:val="en-US"/>
        </w:rPr>
        <w:t>, UNDP</w:t>
      </w:r>
      <w:r w:rsidR="005C2041">
        <w:rPr>
          <w:rFonts w:cs="Calibri,Bold"/>
          <w:bCs/>
          <w:color w:val="000000" w:themeColor="text1"/>
          <w:lang w:val="en-US"/>
        </w:rPr>
        <w:t xml:space="preserve"> should develop a Financial Management Information System (FMIS) that can enable Government Partners to monitor expenditure</w:t>
      </w:r>
      <w:r w:rsidR="00F86CF6">
        <w:rPr>
          <w:rFonts w:cs="Calibri,Bold"/>
          <w:bCs/>
          <w:color w:val="000000" w:themeColor="text1"/>
          <w:lang w:val="en-US"/>
        </w:rPr>
        <w:t>s</w:t>
      </w:r>
      <w:r w:rsidR="005C2041">
        <w:rPr>
          <w:rFonts w:cs="Calibri,Bold"/>
          <w:bCs/>
          <w:color w:val="000000" w:themeColor="text1"/>
          <w:lang w:val="en-US"/>
        </w:rPr>
        <w:t xml:space="preserve"> against budget</w:t>
      </w:r>
      <w:r w:rsidR="00F86CF6">
        <w:rPr>
          <w:rFonts w:cs="Calibri,Bold"/>
          <w:bCs/>
          <w:color w:val="000000" w:themeColor="text1"/>
          <w:lang w:val="en-US"/>
        </w:rPr>
        <w:t>s</w:t>
      </w:r>
      <w:r w:rsidR="005C2041">
        <w:rPr>
          <w:rFonts w:cs="Calibri,Bold"/>
          <w:bCs/>
          <w:color w:val="000000" w:themeColor="text1"/>
          <w:lang w:val="en-US"/>
        </w:rPr>
        <w:t xml:space="preserve">. Financial information from </w:t>
      </w:r>
      <w:r w:rsidR="005C2041" w:rsidRPr="00284D4C">
        <w:rPr>
          <w:rFonts w:cs="Arial"/>
          <w:bCs/>
          <w:lang w:eastAsia="id-ID"/>
        </w:rPr>
        <w:t>UNDP’s Enterprise Resource P</w:t>
      </w:r>
      <w:r w:rsidR="005C2041" w:rsidRPr="006E7DAB">
        <w:rPr>
          <w:rFonts w:cs="Arial"/>
          <w:bCs/>
          <w:lang w:eastAsia="id-ID"/>
        </w:rPr>
        <w:t>lanning System, ATLAS</w:t>
      </w:r>
      <w:r w:rsidR="005C2041">
        <w:rPr>
          <w:rFonts w:cs="Arial"/>
          <w:bCs/>
          <w:lang w:val="en-ID" w:eastAsia="id-ID"/>
        </w:rPr>
        <w:t xml:space="preserve">, should be able to be readily transferred to a simple FMIS </w:t>
      </w:r>
      <w:r w:rsidR="009D6834">
        <w:rPr>
          <w:rFonts w:cs="Arial"/>
          <w:bCs/>
          <w:lang w:val="en-ID" w:eastAsia="id-ID"/>
        </w:rPr>
        <w:t xml:space="preserve">that Government counterparts can readily monitor against the agreed budget. </w:t>
      </w:r>
      <w:r w:rsidR="00256E07">
        <w:rPr>
          <w:rFonts w:cs="Arial"/>
          <w:bCs/>
          <w:lang w:val="en-ID" w:eastAsia="id-ID"/>
        </w:rPr>
        <w:t>UNDP has been able to do this in previous projects by developing a simple excel spreadsheet that records expenditure</w:t>
      </w:r>
      <w:r w:rsidR="00F86CF6">
        <w:rPr>
          <w:rFonts w:cs="Arial"/>
          <w:bCs/>
          <w:lang w:val="en-ID" w:eastAsia="id-ID"/>
        </w:rPr>
        <w:t>s</w:t>
      </w:r>
      <w:r w:rsidR="00256E07">
        <w:rPr>
          <w:rFonts w:cs="Arial"/>
          <w:bCs/>
          <w:lang w:val="en-ID" w:eastAsia="id-ID"/>
        </w:rPr>
        <w:t xml:space="preserve"> against budget</w:t>
      </w:r>
      <w:r w:rsidR="00F86CF6">
        <w:rPr>
          <w:rFonts w:cs="Arial"/>
          <w:bCs/>
          <w:lang w:val="en-ID" w:eastAsia="id-ID"/>
        </w:rPr>
        <w:t>s</w:t>
      </w:r>
      <w:r w:rsidR="00256E07">
        <w:rPr>
          <w:rFonts w:cs="Arial"/>
          <w:bCs/>
          <w:lang w:val="en-ID" w:eastAsia="id-ID"/>
        </w:rPr>
        <w:t xml:space="preserve"> and variances against budgets. Expenditure is recorded at different stages from initiation of request</w:t>
      </w:r>
      <w:r w:rsidR="00F86CF6">
        <w:rPr>
          <w:rFonts w:cs="Arial"/>
          <w:bCs/>
          <w:lang w:val="en-ID" w:eastAsia="id-ID"/>
        </w:rPr>
        <w:t>s</w:t>
      </w:r>
      <w:r w:rsidR="00256E07">
        <w:rPr>
          <w:rFonts w:cs="Arial"/>
          <w:bCs/>
          <w:lang w:val="en-ID" w:eastAsia="id-ID"/>
        </w:rPr>
        <w:t>, contracting</w:t>
      </w:r>
      <w:r w:rsidR="00F86CF6">
        <w:rPr>
          <w:rFonts w:cs="Arial"/>
          <w:bCs/>
          <w:lang w:val="en-ID" w:eastAsia="id-ID"/>
        </w:rPr>
        <w:t>,</w:t>
      </w:r>
      <w:r w:rsidR="00256E07">
        <w:rPr>
          <w:rFonts w:cs="Arial"/>
          <w:bCs/>
          <w:lang w:val="en-ID" w:eastAsia="id-ID"/>
        </w:rPr>
        <w:t xml:space="preserve"> and actual expenditure. The FMIS could be available </w:t>
      </w:r>
      <w:r w:rsidR="00F86CF6">
        <w:rPr>
          <w:rFonts w:cs="Arial"/>
          <w:bCs/>
          <w:lang w:val="en-ID" w:eastAsia="id-ID"/>
        </w:rPr>
        <w:t xml:space="preserve">in </w:t>
      </w:r>
      <w:r>
        <w:rPr>
          <w:rFonts w:cs="Arial"/>
          <w:bCs/>
          <w:lang w:val="en-ID" w:eastAsia="id-ID"/>
        </w:rPr>
        <w:t>real-time</w:t>
      </w:r>
      <w:r w:rsidR="00256E07">
        <w:rPr>
          <w:rFonts w:cs="Arial"/>
          <w:bCs/>
          <w:lang w:val="en-ID" w:eastAsia="id-ID"/>
        </w:rPr>
        <w:t xml:space="preserve"> to Government counterparts through a shared drive</w:t>
      </w:r>
      <w:r w:rsidR="005D29CF">
        <w:rPr>
          <w:rFonts w:cs="Arial"/>
          <w:bCs/>
          <w:lang w:val="en-ID" w:eastAsia="id-ID"/>
        </w:rPr>
        <w:t xml:space="preserve"> using an application like Google Docs. The information is password protected</w:t>
      </w:r>
      <w:r w:rsidR="00D05FB3">
        <w:rPr>
          <w:rFonts w:cs="Arial"/>
          <w:bCs/>
          <w:lang w:val="en-ID" w:eastAsia="id-ID"/>
        </w:rPr>
        <w:t xml:space="preserve"> </w:t>
      </w:r>
      <w:r w:rsidR="00256E07">
        <w:rPr>
          <w:rFonts w:cs="Arial"/>
          <w:bCs/>
          <w:lang w:val="en-ID" w:eastAsia="id-ID"/>
        </w:rPr>
        <w:t>and only assigned UNDP staff have the authority to</w:t>
      </w:r>
      <w:r w:rsidR="00D05FB3">
        <w:rPr>
          <w:rFonts w:cs="Arial"/>
          <w:bCs/>
          <w:lang w:val="en-ID" w:eastAsia="id-ID"/>
        </w:rPr>
        <w:t xml:space="preserve"> </w:t>
      </w:r>
      <w:r w:rsidR="00FA37A3">
        <w:rPr>
          <w:rFonts w:cs="Arial"/>
          <w:bCs/>
          <w:lang w:val="en-ID" w:eastAsia="id-ID"/>
        </w:rPr>
        <w:t>update</w:t>
      </w:r>
      <w:r w:rsidR="00256E07">
        <w:rPr>
          <w:rFonts w:cs="Arial"/>
          <w:bCs/>
          <w:lang w:val="en-ID" w:eastAsia="id-ID"/>
        </w:rPr>
        <w:t xml:space="preserve"> the spreadsheet</w:t>
      </w:r>
      <w:r w:rsidR="00FA37A3">
        <w:rPr>
          <w:rFonts w:cs="Arial"/>
          <w:bCs/>
          <w:lang w:val="en-ID" w:eastAsia="id-ID"/>
        </w:rPr>
        <w:t xml:space="preserve"> after consultation with the implementing agency. </w:t>
      </w:r>
      <w:r w:rsidR="00256E07">
        <w:rPr>
          <w:rFonts w:cs="Arial"/>
          <w:bCs/>
          <w:lang w:val="en-ID" w:eastAsia="id-ID"/>
        </w:rPr>
        <w:t xml:space="preserve">Realignment of the budget can occur with regular meetings with the </w:t>
      </w:r>
      <w:r w:rsidR="005D29CF">
        <w:rPr>
          <w:rFonts w:cs="Arial"/>
          <w:bCs/>
          <w:lang w:val="en-ID" w:eastAsia="id-ID"/>
        </w:rPr>
        <w:t xml:space="preserve">BRG </w:t>
      </w:r>
      <w:r w:rsidR="00256E07">
        <w:rPr>
          <w:rFonts w:cs="Arial"/>
          <w:bCs/>
          <w:lang w:val="en-ID" w:eastAsia="id-ID"/>
        </w:rPr>
        <w:t xml:space="preserve">leadership group. </w:t>
      </w:r>
    </w:p>
    <w:p w14:paraId="4603525B" w14:textId="77777777" w:rsidR="00FF4BEB" w:rsidRDefault="00FF4BEB" w:rsidP="00197DDF">
      <w:pPr>
        <w:autoSpaceDE w:val="0"/>
        <w:autoSpaceDN w:val="0"/>
        <w:adjustRightInd w:val="0"/>
        <w:spacing w:after="0" w:line="23" w:lineRule="atLeast"/>
        <w:rPr>
          <w:rFonts w:cs="Calibri,Bold"/>
          <w:bCs/>
          <w:color w:val="000000" w:themeColor="text1"/>
          <w:lang w:val="en-ID"/>
        </w:rPr>
      </w:pPr>
    </w:p>
    <w:p w14:paraId="01F181E5" w14:textId="459D5F00" w:rsidR="004D4693" w:rsidRDefault="00FF4BEB" w:rsidP="00197DDF">
      <w:pPr>
        <w:autoSpaceDE w:val="0"/>
        <w:autoSpaceDN w:val="0"/>
        <w:adjustRightInd w:val="0"/>
        <w:spacing w:after="0" w:line="23" w:lineRule="atLeast"/>
        <w:rPr>
          <w:rFonts w:cs="Calibri,Bold"/>
          <w:bCs/>
          <w:color w:val="000000" w:themeColor="text1"/>
          <w:lang w:val="en-ID"/>
        </w:rPr>
      </w:pPr>
      <w:r>
        <w:rPr>
          <w:rFonts w:cs="Calibri,Bold"/>
          <w:bCs/>
          <w:color w:val="000000" w:themeColor="text1"/>
          <w:lang w:val="en-ID"/>
        </w:rPr>
        <w:t xml:space="preserve">Operating guidelines on UNDP procurement processes, especially for </w:t>
      </w:r>
      <w:r w:rsidR="00CD49CF">
        <w:rPr>
          <w:rFonts w:cs="Calibri,Bold"/>
          <w:bCs/>
          <w:color w:val="000000" w:themeColor="text1"/>
          <w:lang w:val="en-ID"/>
        </w:rPr>
        <w:t>contracting companies,</w:t>
      </w:r>
      <w:r>
        <w:rPr>
          <w:rFonts w:cs="Calibri,Bold"/>
          <w:bCs/>
          <w:color w:val="000000" w:themeColor="text1"/>
          <w:lang w:val="en-ID"/>
        </w:rPr>
        <w:t xml:space="preserve"> should be developed to enable partnering Government agencies to fully understand the strengths and weaknesses of UNDP procurement policies. The guidelines should be simple</w:t>
      </w:r>
      <w:r w:rsidR="00F11D51">
        <w:rPr>
          <w:rFonts w:cs="Calibri,Bold"/>
          <w:bCs/>
          <w:color w:val="000000" w:themeColor="text1"/>
          <w:lang w:val="en-ID"/>
        </w:rPr>
        <w:t xml:space="preserve"> and should</w:t>
      </w:r>
      <w:r>
        <w:rPr>
          <w:rFonts w:cs="Calibri,Bold"/>
          <w:bCs/>
          <w:color w:val="000000" w:themeColor="text1"/>
          <w:lang w:val="en-ID"/>
        </w:rPr>
        <w:t xml:space="preserve"> highlight the key requirements UNDP require</w:t>
      </w:r>
      <w:r w:rsidR="00CB6996">
        <w:rPr>
          <w:rFonts w:cs="Calibri,Bold"/>
          <w:bCs/>
          <w:color w:val="000000" w:themeColor="text1"/>
          <w:lang w:val="en-ID"/>
        </w:rPr>
        <w:t>s</w:t>
      </w:r>
      <w:r>
        <w:rPr>
          <w:rFonts w:cs="Calibri,Bold"/>
          <w:bCs/>
          <w:color w:val="000000" w:themeColor="text1"/>
          <w:lang w:val="en-ID"/>
        </w:rPr>
        <w:t xml:space="preserve"> </w:t>
      </w:r>
      <w:r w:rsidR="00F11D51">
        <w:rPr>
          <w:rFonts w:cs="Calibri,Bold"/>
          <w:bCs/>
          <w:color w:val="000000" w:themeColor="text1"/>
          <w:lang w:val="en-ID"/>
        </w:rPr>
        <w:t xml:space="preserve">in order </w:t>
      </w:r>
      <w:r>
        <w:rPr>
          <w:rFonts w:cs="Calibri,Bold"/>
          <w:bCs/>
          <w:color w:val="000000" w:themeColor="text1"/>
          <w:lang w:val="en-ID"/>
        </w:rPr>
        <w:t xml:space="preserve">to </w:t>
      </w:r>
      <w:r w:rsidR="00F11D51">
        <w:rPr>
          <w:rFonts w:cs="Calibri,Bold"/>
          <w:bCs/>
          <w:color w:val="000000" w:themeColor="text1"/>
          <w:lang w:val="en-ID"/>
        </w:rPr>
        <w:t>fast-</w:t>
      </w:r>
      <w:r>
        <w:rPr>
          <w:rFonts w:cs="Calibri,Bold"/>
          <w:bCs/>
          <w:color w:val="000000" w:themeColor="text1"/>
          <w:lang w:val="en-ID"/>
        </w:rPr>
        <w:t>track a streamlined procurement process</w:t>
      </w:r>
      <w:r w:rsidR="00F11D51">
        <w:rPr>
          <w:rFonts w:cs="Calibri,Bold"/>
          <w:bCs/>
          <w:color w:val="000000" w:themeColor="text1"/>
          <w:lang w:val="en-ID"/>
        </w:rPr>
        <w:t>,</w:t>
      </w:r>
      <w:r>
        <w:rPr>
          <w:rFonts w:cs="Calibri,Bold"/>
          <w:bCs/>
          <w:color w:val="000000" w:themeColor="text1"/>
          <w:lang w:val="en-ID"/>
        </w:rPr>
        <w:t xml:space="preserve"> </w:t>
      </w:r>
      <w:r w:rsidR="00F11D51">
        <w:rPr>
          <w:rFonts w:cs="Calibri,Bold"/>
          <w:bCs/>
          <w:color w:val="000000" w:themeColor="text1"/>
          <w:lang w:val="en-ID"/>
        </w:rPr>
        <w:t xml:space="preserve">thereby minimising </w:t>
      </w:r>
      <w:r>
        <w:rPr>
          <w:rFonts w:cs="Calibri,Bold"/>
          <w:bCs/>
          <w:color w:val="000000" w:themeColor="text1"/>
          <w:lang w:val="en-ID"/>
        </w:rPr>
        <w:t>delays.</w:t>
      </w:r>
      <w:r w:rsidR="00D05FB3">
        <w:rPr>
          <w:rFonts w:cs="Calibri,Bold"/>
          <w:bCs/>
          <w:color w:val="000000" w:themeColor="text1"/>
          <w:lang w:val="en-ID"/>
        </w:rPr>
        <w:t xml:space="preserve"> </w:t>
      </w:r>
      <w:r w:rsidR="00CA3B7C">
        <w:rPr>
          <w:rFonts w:cs="Calibri,Bold"/>
          <w:bCs/>
          <w:color w:val="000000" w:themeColor="text1"/>
          <w:lang w:val="en-ID"/>
        </w:rPr>
        <w:t>For example,</w:t>
      </w:r>
      <w:r w:rsidR="00F11D51">
        <w:rPr>
          <w:rFonts w:cs="Calibri,Bold"/>
          <w:bCs/>
          <w:color w:val="000000" w:themeColor="text1"/>
          <w:lang w:val="en-ID"/>
        </w:rPr>
        <w:t xml:space="preserve"> the guidelines should lay out</w:t>
      </w:r>
      <w:r w:rsidR="00CA3B7C">
        <w:rPr>
          <w:rFonts w:cs="Calibri,Bold"/>
          <w:bCs/>
          <w:color w:val="000000" w:themeColor="text1"/>
          <w:lang w:val="en-ID"/>
        </w:rPr>
        <w:t xml:space="preserve"> the minimal timelines to contract a company to deliver goods or services </w:t>
      </w:r>
      <w:r w:rsidR="00F11D51">
        <w:rPr>
          <w:rFonts w:cs="Calibri,Bold"/>
          <w:bCs/>
          <w:color w:val="000000" w:themeColor="text1"/>
          <w:lang w:val="en-ID"/>
        </w:rPr>
        <w:t>(</w:t>
      </w:r>
      <w:r w:rsidR="00CA3B7C">
        <w:rPr>
          <w:rFonts w:cs="Calibri,Bold"/>
          <w:bCs/>
          <w:color w:val="000000" w:themeColor="text1"/>
          <w:lang w:val="en-ID"/>
        </w:rPr>
        <w:t>with respect to the minimum number of days a tender can be advertised</w:t>
      </w:r>
      <w:r w:rsidR="00F11D51">
        <w:rPr>
          <w:rFonts w:cs="Calibri,Bold"/>
          <w:bCs/>
          <w:color w:val="000000" w:themeColor="text1"/>
          <w:lang w:val="en-ID"/>
        </w:rPr>
        <w:t>)</w:t>
      </w:r>
      <w:r w:rsidR="00CA3B7C">
        <w:rPr>
          <w:rFonts w:cs="Calibri,Bold"/>
          <w:bCs/>
          <w:color w:val="000000" w:themeColor="text1"/>
          <w:lang w:val="en-ID"/>
        </w:rPr>
        <w:t xml:space="preserve">, the need for at least </w:t>
      </w:r>
      <w:r w:rsidR="00F11D51">
        <w:rPr>
          <w:rFonts w:cs="Calibri,Bold"/>
          <w:bCs/>
          <w:color w:val="000000" w:themeColor="text1"/>
          <w:lang w:val="en-ID"/>
        </w:rPr>
        <w:t xml:space="preserve">three </w:t>
      </w:r>
      <w:r w:rsidR="00CA3B7C">
        <w:rPr>
          <w:rFonts w:cs="Calibri,Bold"/>
          <w:bCs/>
          <w:color w:val="000000" w:themeColor="text1"/>
          <w:lang w:val="en-ID"/>
        </w:rPr>
        <w:t>competitive quotes ensuring value for money, and the required specifications (scope of services) to ensure a successful tender outcome that can meet UNDP</w:t>
      </w:r>
      <w:r w:rsidR="00CB6996">
        <w:rPr>
          <w:rFonts w:cs="Calibri,Bold"/>
          <w:bCs/>
          <w:color w:val="000000" w:themeColor="text1"/>
          <w:lang w:val="en-ID"/>
        </w:rPr>
        <w:t>’s</w:t>
      </w:r>
      <w:r w:rsidR="00CA3B7C">
        <w:rPr>
          <w:rFonts w:cs="Calibri,Bold"/>
          <w:bCs/>
          <w:color w:val="000000" w:themeColor="text1"/>
          <w:lang w:val="en-ID"/>
        </w:rPr>
        <w:t xml:space="preserve"> review and approval process</w:t>
      </w:r>
      <w:r w:rsidR="00CB6996">
        <w:rPr>
          <w:rFonts w:cs="Calibri,Bold"/>
          <w:bCs/>
          <w:color w:val="000000" w:themeColor="text1"/>
          <w:lang w:val="en-ID"/>
        </w:rPr>
        <w:t>es</w:t>
      </w:r>
      <w:r w:rsidR="00CA3B7C">
        <w:rPr>
          <w:rFonts w:cs="Calibri,Bold"/>
          <w:bCs/>
          <w:color w:val="000000" w:themeColor="text1"/>
          <w:lang w:val="en-ID"/>
        </w:rPr>
        <w:t xml:space="preserve">. </w:t>
      </w:r>
    </w:p>
    <w:p w14:paraId="083268DA" w14:textId="77777777" w:rsidR="004D4693" w:rsidRDefault="004D4693" w:rsidP="00197DDF">
      <w:pPr>
        <w:autoSpaceDE w:val="0"/>
        <w:autoSpaceDN w:val="0"/>
        <w:adjustRightInd w:val="0"/>
        <w:spacing w:after="0" w:line="23" w:lineRule="atLeast"/>
        <w:rPr>
          <w:rFonts w:cs="Calibri,Bold"/>
          <w:bCs/>
          <w:color w:val="000000" w:themeColor="text1"/>
          <w:lang w:val="en-ID"/>
        </w:rPr>
      </w:pPr>
    </w:p>
    <w:p w14:paraId="087B46E7" w14:textId="65D7FC32" w:rsidR="00FF4BEB" w:rsidRPr="005C2041" w:rsidRDefault="004D4693" w:rsidP="00197DDF">
      <w:pPr>
        <w:autoSpaceDE w:val="0"/>
        <w:autoSpaceDN w:val="0"/>
        <w:adjustRightInd w:val="0"/>
        <w:spacing w:after="0" w:line="23" w:lineRule="atLeast"/>
        <w:rPr>
          <w:rFonts w:cs="Calibri,Bold"/>
          <w:bCs/>
          <w:color w:val="000000" w:themeColor="text1"/>
          <w:lang w:val="en-ID"/>
        </w:rPr>
      </w:pPr>
      <w:r>
        <w:rPr>
          <w:rFonts w:cs="Calibri,Bold"/>
          <w:bCs/>
          <w:color w:val="000000" w:themeColor="text1"/>
          <w:lang w:val="en-ID"/>
        </w:rPr>
        <w:t>The UNDP Procurement Plan is a dynamic document in Projects/Programmes that require</w:t>
      </w:r>
      <w:r w:rsidR="00F11D51">
        <w:rPr>
          <w:rFonts w:cs="Calibri,Bold"/>
          <w:bCs/>
          <w:color w:val="000000" w:themeColor="text1"/>
          <w:lang w:val="en-ID"/>
        </w:rPr>
        <w:t>s</w:t>
      </w:r>
      <w:r>
        <w:rPr>
          <w:rFonts w:cs="Calibri,Bold"/>
          <w:bCs/>
          <w:color w:val="000000" w:themeColor="text1"/>
          <w:lang w:val="en-ID"/>
        </w:rPr>
        <w:t xml:space="preserve"> immediate support to help newly defined organisations to be established. The Procurement Plan needs to be regularly discussed with all stakeholders to ensure all parties are aware of the status of any requests (developing scope of services, tendering, generating Purchase Order</w:t>
      </w:r>
      <w:r w:rsidR="00F11D51">
        <w:rPr>
          <w:rFonts w:cs="Calibri,Bold"/>
          <w:bCs/>
          <w:color w:val="000000" w:themeColor="text1"/>
          <w:lang w:val="en-ID"/>
        </w:rPr>
        <w:t>s,</w:t>
      </w:r>
      <w:r>
        <w:rPr>
          <w:rFonts w:cs="Calibri,Bold"/>
          <w:bCs/>
          <w:color w:val="000000" w:themeColor="text1"/>
          <w:lang w:val="en-ID"/>
        </w:rPr>
        <w:t xml:space="preserve"> and closure). </w:t>
      </w:r>
    </w:p>
    <w:p w14:paraId="7C5BB739" w14:textId="77777777" w:rsidR="000143DD" w:rsidRDefault="000143DD" w:rsidP="00197DDF">
      <w:pPr>
        <w:autoSpaceDE w:val="0"/>
        <w:autoSpaceDN w:val="0"/>
        <w:adjustRightInd w:val="0"/>
        <w:spacing w:after="0" w:line="23" w:lineRule="atLeast"/>
        <w:rPr>
          <w:rFonts w:cs="Calibri,Bold"/>
          <w:bCs/>
          <w:color w:val="000000" w:themeColor="text1"/>
          <w:lang w:val="en-US"/>
        </w:rPr>
      </w:pPr>
    </w:p>
    <w:p w14:paraId="65910575" w14:textId="5B2C01A9" w:rsidR="000143DD" w:rsidRDefault="00F70820" w:rsidP="00197DDF">
      <w:pPr>
        <w:autoSpaceDE w:val="0"/>
        <w:autoSpaceDN w:val="0"/>
        <w:adjustRightInd w:val="0"/>
        <w:spacing w:after="0" w:line="23" w:lineRule="atLeast"/>
        <w:rPr>
          <w:rFonts w:cs="Calibri,Bold"/>
          <w:bCs/>
          <w:color w:val="000000" w:themeColor="text1"/>
          <w:lang w:val="en-US"/>
        </w:rPr>
      </w:pPr>
      <w:r>
        <w:rPr>
          <w:rFonts w:cs="Calibri,Bold"/>
          <w:bCs/>
          <w:color w:val="000000" w:themeColor="text1"/>
          <w:lang w:val="en-US"/>
        </w:rPr>
        <w:t xml:space="preserve">Equipment procured for BRG and KLHK needs to be fully transferred from UNDP to the respective agency through the BAST process. All documentation must be compliant </w:t>
      </w:r>
      <w:r w:rsidR="00CB6996">
        <w:rPr>
          <w:rFonts w:cs="Calibri,Bold"/>
          <w:bCs/>
          <w:color w:val="000000" w:themeColor="text1"/>
          <w:lang w:val="en-US"/>
        </w:rPr>
        <w:t xml:space="preserve">with </w:t>
      </w:r>
      <w:r>
        <w:rPr>
          <w:rFonts w:cs="Calibri,Bold"/>
          <w:bCs/>
          <w:color w:val="000000" w:themeColor="text1"/>
          <w:lang w:val="en-US"/>
        </w:rPr>
        <w:t>Ministry of Finance guidelines for transferring assets purchased through grants. If assets are not registe</w:t>
      </w:r>
      <w:r w:rsidR="00365331">
        <w:rPr>
          <w:rFonts w:cs="Calibri,Bold"/>
          <w:bCs/>
          <w:color w:val="000000" w:themeColor="text1"/>
          <w:lang w:val="en-US"/>
        </w:rPr>
        <w:t>r</w:t>
      </w:r>
      <w:r>
        <w:rPr>
          <w:rFonts w:cs="Calibri,Bold"/>
          <w:bCs/>
          <w:color w:val="000000" w:themeColor="text1"/>
          <w:lang w:val="en-US"/>
        </w:rPr>
        <w:t xml:space="preserve">ed on the BRG and KLHK asset </w:t>
      </w:r>
      <w:r w:rsidR="00F11D51">
        <w:rPr>
          <w:rFonts w:cs="Calibri,Bold"/>
          <w:bCs/>
          <w:color w:val="000000" w:themeColor="text1"/>
          <w:lang w:val="en-US"/>
        </w:rPr>
        <w:t>registry,</w:t>
      </w:r>
      <w:r>
        <w:rPr>
          <w:rFonts w:cs="Calibri,Bold"/>
          <w:bCs/>
          <w:color w:val="000000" w:themeColor="text1"/>
          <w:lang w:val="en-US"/>
        </w:rPr>
        <w:t xml:space="preserve"> there may be problems requesting APBN budget to operate and maintain these systems. </w:t>
      </w:r>
      <w:r w:rsidR="00F70998">
        <w:rPr>
          <w:rFonts w:cs="Calibri,Bold"/>
          <w:bCs/>
          <w:color w:val="000000" w:themeColor="text1"/>
          <w:lang w:val="en-US"/>
        </w:rPr>
        <w:t xml:space="preserve">UNDP has recruited an adviser to ensure the timely transfer of all UNDP purchased assets are transferred to BRG. This process could have been streamlined if a </w:t>
      </w:r>
      <w:r w:rsidR="004D4693">
        <w:rPr>
          <w:rFonts w:cs="Calibri,Bold"/>
          <w:bCs/>
          <w:color w:val="000000" w:themeColor="text1"/>
          <w:lang w:val="en-US"/>
        </w:rPr>
        <w:t xml:space="preserve">duplicate asset </w:t>
      </w:r>
      <w:r w:rsidR="00F11D51">
        <w:rPr>
          <w:rFonts w:cs="Calibri,Bold"/>
          <w:bCs/>
          <w:color w:val="000000" w:themeColor="text1"/>
          <w:lang w:val="en-US"/>
        </w:rPr>
        <w:t>registry</w:t>
      </w:r>
      <w:r w:rsidR="004D4693">
        <w:rPr>
          <w:rFonts w:cs="Calibri,Bold"/>
          <w:bCs/>
          <w:color w:val="000000" w:themeColor="text1"/>
          <w:lang w:val="en-US"/>
        </w:rPr>
        <w:t xml:space="preserve"> was established by BRG. This duplicate </w:t>
      </w:r>
      <w:r w:rsidR="00F11D51">
        <w:rPr>
          <w:rFonts w:cs="Calibri,Bold"/>
          <w:bCs/>
          <w:color w:val="000000" w:themeColor="text1"/>
          <w:lang w:val="en-US"/>
        </w:rPr>
        <w:t>registry</w:t>
      </w:r>
      <w:r w:rsidR="004D4693">
        <w:rPr>
          <w:rFonts w:cs="Calibri,Bold"/>
          <w:bCs/>
          <w:color w:val="000000" w:themeColor="text1"/>
          <w:lang w:val="en-US"/>
        </w:rPr>
        <w:t xml:space="preserve"> should include all information required </w:t>
      </w:r>
      <w:r w:rsidR="00F11D51">
        <w:rPr>
          <w:rFonts w:cs="Calibri,Bold"/>
          <w:bCs/>
          <w:color w:val="000000" w:themeColor="text1"/>
          <w:lang w:val="en-US"/>
        </w:rPr>
        <w:t xml:space="preserve">by the </w:t>
      </w:r>
      <w:r w:rsidR="004D4693">
        <w:rPr>
          <w:rFonts w:cs="Calibri,Bold"/>
          <w:bCs/>
          <w:color w:val="000000" w:themeColor="text1"/>
          <w:lang w:val="en-US"/>
        </w:rPr>
        <w:t xml:space="preserve">BAST </w:t>
      </w:r>
      <w:r w:rsidR="00F11D51">
        <w:rPr>
          <w:rFonts w:cs="Calibri,Bold"/>
          <w:bCs/>
          <w:color w:val="000000" w:themeColor="text1"/>
          <w:lang w:val="en-US"/>
        </w:rPr>
        <w:t>process in order to</w:t>
      </w:r>
      <w:r w:rsidR="004D4693">
        <w:rPr>
          <w:rFonts w:cs="Calibri,Bold"/>
          <w:bCs/>
          <w:color w:val="000000" w:themeColor="text1"/>
          <w:lang w:val="en-US"/>
        </w:rPr>
        <w:t xml:space="preserve"> facilitate transfer from UNDP to BRG.</w:t>
      </w:r>
    </w:p>
    <w:p w14:paraId="35127992" w14:textId="20CE9B5A" w:rsidR="00F70820" w:rsidRDefault="00F70820" w:rsidP="00197DDF">
      <w:pPr>
        <w:autoSpaceDE w:val="0"/>
        <w:autoSpaceDN w:val="0"/>
        <w:adjustRightInd w:val="0"/>
        <w:spacing w:after="0" w:line="23" w:lineRule="atLeast"/>
        <w:rPr>
          <w:rFonts w:cs="Calibri,Bold"/>
          <w:bCs/>
          <w:color w:val="000000" w:themeColor="text1"/>
          <w:lang w:val="en-US"/>
        </w:rPr>
      </w:pPr>
    </w:p>
    <w:p w14:paraId="078B4E2C" w14:textId="77777777" w:rsidR="00197DDF" w:rsidRDefault="00197DDF" w:rsidP="00291938">
      <w:pPr>
        <w:pStyle w:val="Heading2"/>
        <w:rPr>
          <w:lang w:val="en-US"/>
        </w:rPr>
      </w:pPr>
      <w:bookmarkStart w:id="25" w:name="_Toc528998443"/>
      <w:r w:rsidRPr="0061157C">
        <w:rPr>
          <w:lang w:val="en-US"/>
        </w:rPr>
        <w:t xml:space="preserve">Lessons </w:t>
      </w:r>
      <w:r w:rsidR="00291938">
        <w:rPr>
          <w:lang w:val="en-US"/>
        </w:rPr>
        <w:t>L</w:t>
      </w:r>
      <w:r w:rsidRPr="0061157C">
        <w:rPr>
          <w:lang w:val="en-US"/>
        </w:rPr>
        <w:t>earned</w:t>
      </w:r>
      <w:bookmarkEnd w:id="25"/>
    </w:p>
    <w:p w14:paraId="06429A59" w14:textId="77777777" w:rsidR="00291938" w:rsidRDefault="00291938" w:rsidP="00197DDF">
      <w:pPr>
        <w:autoSpaceDE w:val="0"/>
        <w:autoSpaceDN w:val="0"/>
        <w:adjustRightInd w:val="0"/>
        <w:spacing w:after="0" w:line="23" w:lineRule="atLeast"/>
        <w:rPr>
          <w:rFonts w:cs="Calibri,Bold"/>
          <w:bCs/>
          <w:color w:val="000000" w:themeColor="text1"/>
          <w:lang w:val="en-US"/>
        </w:rPr>
      </w:pPr>
    </w:p>
    <w:p w14:paraId="4A4224E9" w14:textId="186AC022" w:rsidR="000143DD" w:rsidRDefault="000143DD">
      <w:pPr>
        <w:spacing w:after="160" w:line="259" w:lineRule="auto"/>
        <w:rPr>
          <w:rFonts w:cs="Calibri,Bold"/>
          <w:bCs/>
          <w:color w:val="000000" w:themeColor="text1"/>
          <w:lang w:val="en-US"/>
        </w:rPr>
      </w:pPr>
      <w:r>
        <w:rPr>
          <w:rFonts w:cs="Calibri,Bold"/>
          <w:bCs/>
          <w:color w:val="000000" w:themeColor="text1"/>
          <w:lang w:val="en-US"/>
        </w:rPr>
        <w:t>Supporting newly established organi</w:t>
      </w:r>
      <w:r w:rsidR="00CB6996">
        <w:rPr>
          <w:rFonts w:cs="Calibri,Bold"/>
          <w:bCs/>
          <w:color w:val="000000" w:themeColor="text1"/>
          <w:lang w:val="en-US"/>
        </w:rPr>
        <w:t>z</w:t>
      </w:r>
      <w:r>
        <w:rPr>
          <w:rFonts w:cs="Calibri,Bold"/>
          <w:bCs/>
          <w:color w:val="000000" w:themeColor="text1"/>
          <w:lang w:val="en-US"/>
        </w:rPr>
        <w:t xml:space="preserve">ations like BRG requires appropriate levels of support from procurement and HR teams to ensure resources are mobilized in a timely </w:t>
      </w:r>
      <w:r w:rsidR="00CB6996">
        <w:rPr>
          <w:rFonts w:cs="Calibri,Bold"/>
          <w:bCs/>
          <w:color w:val="000000" w:themeColor="text1"/>
          <w:lang w:val="en-US"/>
        </w:rPr>
        <w:t>manner</w:t>
      </w:r>
      <w:r>
        <w:rPr>
          <w:rFonts w:cs="Calibri,Bold"/>
          <w:bCs/>
          <w:color w:val="000000" w:themeColor="text1"/>
          <w:lang w:val="en-US"/>
        </w:rPr>
        <w:t>. Support is required to draft and finali</w:t>
      </w:r>
      <w:r w:rsidR="00CB6996">
        <w:rPr>
          <w:rFonts w:cs="Calibri,Bold"/>
          <w:bCs/>
          <w:color w:val="000000" w:themeColor="text1"/>
          <w:lang w:val="en-US"/>
        </w:rPr>
        <w:t>z</w:t>
      </w:r>
      <w:r>
        <w:rPr>
          <w:rFonts w:cs="Calibri,Bold"/>
          <w:bCs/>
          <w:color w:val="000000" w:themeColor="text1"/>
          <w:lang w:val="en-US"/>
        </w:rPr>
        <w:t>e scope of services, Terms of Reference, tendering</w:t>
      </w:r>
      <w:r w:rsidR="00CB6996">
        <w:rPr>
          <w:rFonts w:cs="Calibri,Bold"/>
          <w:bCs/>
          <w:color w:val="000000" w:themeColor="text1"/>
          <w:lang w:val="en-US"/>
        </w:rPr>
        <w:t>,</w:t>
      </w:r>
      <w:r>
        <w:rPr>
          <w:rFonts w:cs="Calibri,Bold"/>
          <w:bCs/>
          <w:color w:val="000000" w:themeColor="text1"/>
          <w:lang w:val="en-US"/>
        </w:rPr>
        <w:t xml:space="preserve"> and finali</w:t>
      </w:r>
      <w:r w:rsidR="00CB6996">
        <w:rPr>
          <w:rFonts w:cs="Calibri,Bold"/>
          <w:bCs/>
          <w:color w:val="000000" w:themeColor="text1"/>
          <w:lang w:val="en-US"/>
        </w:rPr>
        <w:t>z</w:t>
      </w:r>
      <w:r>
        <w:rPr>
          <w:rFonts w:cs="Calibri,Bold"/>
          <w:bCs/>
          <w:color w:val="000000" w:themeColor="text1"/>
          <w:lang w:val="en-US"/>
        </w:rPr>
        <w:t>ing all documentation to meet UNDP operational guidelines. For technical procurement</w:t>
      </w:r>
      <w:r w:rsidR="00F11D51">
        <w:rPr>
          <w:rFonts w:cs="Calibri,Bold"/>
          <w:bCs/>
          <w:color w:val="000000" w:themeColor="text1"/>
          <w:lang w:val="en-US"/>
        </w:rPr>
        <w:t>,</w:t>
      </w:r>
      <w:r w:rsidR="00CB6996">
        <w:rPr>
          <w:rFonts w:cs="Calibri,Bold"/>
          <w:bCs/>
          <w:color w:val="000000" w:themeColor="text1"/>
          <w:lang w:val="en-US"/>
        </w:rPr>
        <w:t xml:space="preserve"> there should be some</w:t>
      </w:r>
      <w:r w:rsidR="00135101">
        <w:rPr>
          <w:rFonts w:cs="Calibri,Bold"/>
          <w:bCs/>
          <w:color w:val="000000" w:themeColor="text1"/>
          <w:lang w:val="en-US"/>
        </w:rPr>
        <w:t xml:space="preserve"> </w:t>
      </w:r>
      <w:r>
        <w:rPr>
          <w:rFonts w:cs="Calibri,Bold"/>
          <w:bCs/>
          <w:color w:val="000000" w:themeColor="text1"/>
          <w:lang w:val="en-US"/>
        </w:rPr>
        <w:t xml:space="preserve">flexibility </w:t>
      </w:r>
      <w:r w:rsidR="00CB6996">
        <w:rPr>
          <w:rFonts w:cs="Calibri,Bold"/>
          <w:bCs/>
          <w:color w:val="000000" w:themeColor="text1"/>
          <w:lang w:val="en-US"/>
        </w:rPr>
        <w:t>in order</w:t>
      </w:r>
      <w:r>
        <w:rPr>
          <w:rFonts w:cs="Calibri,Bold"/>
          <w:bCs/>
          <w:color w:val="000000" w:themeColor="text1"/>
          <w:lang w:val="en-US"/>
        </w:rPr>
        <w:t xml:space="preserve"> to recruit additional capacity. </w:t>
      </w:r>
      <w:r w:rsidR="004D4693">
        <w:rPr>
          <w:rFonts w:cs="Calibri,Bold"/>
          <w:bCs/>
          <w:color w:val="000000" w:themeColor="text1"/>
          <w:lang w:val="en-US"/>
        </w:rPr>
        <w:t xml:space="preserve">UNDP provided dedicated procurement staff to facilitate this process. </w:t>
      </w:r>
    </w:p>
    <w:p w14:paraId="0B42E081" w14:textId="201EB529" w:rsidR="00FA37A3" w:rsidRDefault="00FA37A3">
      <w:pPr>
        <w:spacing w:after="160" w:line="259" w:lineRule="auto"/>
        <w:rPr>
          <w:rFonts w:cs="Calibri,Bold"/>
          <w:bCs/>
          <w:color w:val="000000" w:themeColor="text1"/>
          <w:lang w:val="en-US"/>
        </w:rPr>
      </w:pPr>
      <w:r>
        <w:rPr>
          <w:rFonts w:cs="Calibri,Bold"/>
          <w:bCs/>
          <w:color w:val="000000" w:themeColor="text1"/>
          <w:lang w:val="en-US"/>
        </w:rPr>
        <w:lastRenderedPageBreak/>
        <w:t xml:space="preserve">Due to budget limitations, UNDP could only recruit recent graduates at the SC1 and SC2 level for many of the administrative positions. Although </w:t>
      </w:r>
      <w:r w:rsidR="00CB6996">
        <w:rPr>
          <w:rFonts w:cs="Calibri,Bold"/>
          <w:bCs/>
          <w:color w:val="000000" w:themeColor="text1"/>
          <w:lang w:val="en-US"/>
        </w:rPr>
        <w:t xml:space="preserve">the </w:t>
      </w:r>
      <w:r>
        <w:rPr>
          <w:rFonts w:cs="Calibri,Bold"/>
          <w:bCs/>
          <w:color w:val="000000" w:themeColor="text1"/>
          <w:lang w:val="en-US"/>
        </w:rPr>
        <w:t>staff were highly motivated</w:t>
      </w:r>
      <w:r w:rsidR="00CB6996">
        <w:rPr>
          <w:rFonts w:cs="Calibri,Bold"/>
          <w:bCs/>
          <w:color w:val="000000" w:themeColor="text1"/>
          <w:lang w:val="en-US"/>
        </w:rPr>
        <w:t>,</w:t>
      </w:r>
      <w:r>
        <w:rPr>
          <w:rFonts w:cs="Calibri,Bold"/>
          <w:bCs/>
          <w:color w:val="000000" w:themeColor="text1"/>
          <w:lang w:val="en-US"/>
        </w:rPr>
        <w:t xml:space="preserve"> they needed time to be fully inducted into understanding UNDP systems, as they had no prior exper</w:t>
      </w:r>
      <w:r w:rsidR="00CB6996">
        <w:rPr>
          <w:rFonts w:cs="Calibri,Bold"/>
          <w:bCs/>
          <w:color w:val="000000" w:themeColor="text1"/>
          <w:lang w:val="en-US"/>
        </w:rPr>
        <w:t>tise</w:t>
      </w:r>
      <w:r>
        <w:rPr>
          <w:rFonts w:cs="Calibri,Bold"/>
          <w:bCs/>
          <w:color w:val="000000" w:themeColor="text1"/>
          <w:lang w:val="en-US"/>
        </w:rPr>
        <w:t xml:space="preserve"> </w:t>
      </w:r>
      <w:r w:rsidR="00CB6996">
        <w:rPr>
          <w:rFonts w:cs="Calibri,Bold"/>
          <w:bCs/>
          <w:color w:val="000000" w:themeColor="text1"/>
          <w:lang w:val="en-US"/>
        </w:rPr>
        <w:t>with</w:t>
      </w:r>
      <w:r>
        <w:rPr>
          <w:rFonts w:cs="Calibri,Bold"/>
          <w:bCs/>
          <w:color w:val="000000" w:themeColor="text1"/>
          <w:lang w:val="en-US"/>
        </w:rPr>
        <w:t xml:space="preserve"> UNDP systems and policies. </w:t>
      </w:r>
    </w:p>
    <w:p w14:paraId="668ECFA4" w14:textId="6B0D76F2" w:rsidR="000143DD" w:rsidRDefault="00F11D51">
      <w:pPr>
        <w:spacing w:after="160" w:line="259" w:lineRule="auto"/>
        <w:rPr>
          <w:rFonts w:cs="Calibri,Bold"/>
          <w:bCs/>
          <w:color w:val="000000" w:themeColor="text1"/>
          <w:lang w:val="en-US"/>
        </w:rPr>
      </w:pPr>
      <w:r>
        <w:rPr>
          <w:rFonts w:cs="Calibri,Bold"/>
          <w:bCs/>
          <w:color w:val="000000" w:themeColor="text1"/>
          <w:lang w:val="en-US"/>
        </w:rPr>
        <w:t>Fast-</w:t>
      </w:r>
      <w:r w:rsidR="000143DD">
        <w:rPr>
          <w:rFonts w:cs="Calibri,Bold"/>
          <w:bCs/>
          <w:color w:val="000000" w:themeColor="text1"/>
          <w:lang w:val="en-US"/>
        </w:rPr>
        <w:t>track</w:t>
      </w:r>
      <w:r w:rsidR="004D4693">
        <w:rPr>
          <w:rFonts w:cs="Calibri,Bold"/>
          <w:bCs/>
          <w:color w:val="000000" w:themeColor="text1"/>
          <w:lang w:val="en-US"/>
        </w:rPr>
        <w:t xml:space="preserve"> </w:t>
      </w:r>
      <w:r>
        <w:rPr>
          <w:rFonts w:cs="Calibri,Bold"/>
          <w:bCs/>
          <w:color w:val="000000" w:themeColor="text1"/>
          <w:lang w:val="en-US"/>
        </w:rPr>
        <w:t xml:space="preserve">“surge </w:t>
      </w:r>
      <w:r w:rsidR="004D4693">
        <w:rPr>
          <w:rFonts w:cs="Calibri,Bold"/>
          <w:bCs/>
          <w:color w:val="000000" w:themeColor="text1"/>
          <w:lang w:val="en-US"/>
        </w:rPr>
        <w:t>capacity</w:t>
      </w:r>
      <w:r>
        <w:rPr>
          <w:rFonts w:cs="Calibri,Bold"/>
          <w:bCs/>
          <w:color w:val="000000" w:themeColor="text1"/>
          <w:lang w:val="en-US"/>
        </w:rPr>
        <w:t>”</w:t>
      </w:r>
      <w:r w:rsidR="004D4693">
        <w:rPr>
          <w:rFonts w:cs="Calibri,Bold"/>
          <w:bCs/>
          <w:color w:val="000000" w:themeColor="text1"/>
          <w:lang w:val="en-US"/>
        </w:rPr>
        <w:t xml:space="preserve"> enabled UNDP to procure most requests from BRG in a timely </w:t>
      </w:r>
      <w:r w:rsidR="00CB6996">
        <w:rPr>
          <w:rFonts w:cs="Calibri,Bold"/>
          <w:bCs/>
          <w:color w:val="000000" w:themeColor="text1"/>
          <w:lang w:val="en-US"/>
        </w:rPr>
        <w:t>manner</w:t>
      </w:r>
      <w:r w:rsidR="004D4693">
        <w:rPr>
          <w:rFonts w:cs="Calibri,Bold"/>
          <w:bCs/>
          <w:color w:val="000000" w:themeColor="text1"/>
          <w:lang w:val="en-US"/>
        </w:rPr>
        <w:t xml:space="preserve">. </w:t>
      </w:r>
      <w:r w:rsidR="00135101">
        <w:rPr>
          <w:rFonts w:cs="Calibri,Bold"/>
          <w:bCs/>
          <w:color w:val="000000" w:themeColor="text1"/>
          <w:lang w:val="en-US"/>
        </w:rPr>
        <w:t xml:space="preserve">The ability of UNDP to </w:t>
      </w:r>
      <w:r>
        <w:rPr>
          <w:rFonts w:cs="Calibri,Bold"/>
          <w:bCs/>
          <w:color w:val="000000" w:themeColor="text1"/>
          <w:lang w:val="en-US"/>
        </w:rPr>
        <w:t>fast-</w:t>
      </w:r>
      <w:r w:rsidR="00135101">
        <w:rPr>
          <w:rFonts w:cs="Calibri,Bold"/>
          <w:bCs/>
          <w:color w:val="000000" w:themeColor="text1"/>
          <w:lang w:val="en-US"/>
        </w:rPr>
        <w:t>track</w:t>
      </w:r>
      <w:r w:rsidR="00CB6996">
        <w:rPr>
          <w:rFonts w:cs="Calibri,Bold"/>
          <w:bCs/>
          <w:color w:val="000000" w:themeColor="text1"/>
          <w:lang w:val="en-US"/>
        </w:rPr>
        <w:t xml:space="preserve"> </w:t>
      </w:r>
      <w:r w:rsidR="00135101">
        <w:rPr>
          <w:rFonts w:cs="Calibri,Bold"/>
          <w:bCs/>
          <w:color w:val="000000" w:themeColor="text1"/>
          <w:lang w:val="en-US"/>
        </w:rPr>
        <w:t>procurement and support from UNDP regional offices and headquarters facilitate</w:t>
      </w:r>
      <w:r w:rsidR="00CB6996">
        <w:rPr>
          <w:rFonts w:cs="Calibri,Bold"/>
          <w:bCs/>
          <w:color w:val="000000" w:themeColor="text1"/>
          <w:lang w:val="en-US"/>
        </w:rPr>
        <w:t>d</w:t>
      </w:r>
      <w:r w:rsidR="00135101">
        <w:rPr>
          <w:rFonts w:cs="Calibri,Bold"/>
          <w:bCs/>
          <w:color w:val="000000" w:themeColor="text1"/>
          <w:lang w:val="en-US"/>
        </w:rPr>
        <w:t xml:space="preserve"> the timely mobilization of resources. </w:t>
      </w:r>
    </w:p>
    <w:p w14:paraId="057F0909" w14:textId="3B555567" w:rsidR="002834AF" w:rsidRPr="00613E3D" w:rsidRDefault="002834AF" w:rsidP="002834AF">
      <w:pPr>
        <w:autoSpaceDE w:val="0"/>
        <w:autoSpaceDN w:val="0"/>
        <w:adjustRightInd w:val="0"/>
        <w:spacing w:after="0" w:line="240" w:lineRule="auto"/>
        <w:jc w:val="both"/>
        <w:rPr>
          <w:rFonts w:asciiTheme="minorHAnsi" w:hAnsiTheme="minorHAnsi" w:cstheme="minorHAnsi"/>
        </w:rPr>
      </w:pPr>
      <w:bookmarkStart w:id="26" w:name="_Hlk524941912"/>
      <w:r w:rsidRPr="00613E3D">
        <w:rPr>
          <w:rFonts w:asciiTheme="minorHAnsi" w:hAnsiTheme="minorHAnsi" w:cstheme="minorHAnsi"/>
        </w:rPr>
        <w:t xml:space="preserve">There are two factors determining UNDP’s success in supporting the agency. </w:t>
      </w:r>
      <w:r w:rsidRPr="00613E3D">
        <w:rPr>
          <w:rFonts w:asciiTheme="minorHAnsi" w:hAnsiTheme="minorHAnsi" w:cstheme="minorHAnsi"/>
          <w:i/>
        </w:rPr>
        <w:t>First,</w:t>
      </w:r>
      <w:r w:rsidRPr="00613E3D">
        <w:rPr>
          <w:rFonts w:asciiTheme="minorHAnsi" w:hAnsiTheme="minorHAnsi" w:cstheme="minorHAnsi"/>
        </w:rPr>
        <w:t xml:space="preserve"> UNDP has experience providing first-hand support to newly established agencies. The most recent experience was with the REDD+ Agency</w:t>
      </w:r>
      <w:r w:rsidRPr="00613E3D">
        <w:rPr>
          <w:rStyle w:val="FootnoteReference"/>
          <w:rFonts w:asciiTheme="minorHAnsi" w:hAnsiTheme="minorHAnsi" w:cstheme="minorHAnsi"/>
        </w:rPr>
        <w:footnoteReference w:id="3"/>
      </w:r>
      <w:r w:rsidR="00F11D51">
        <w:rPr>
          <w:rFonts w:asciiTheme="minorHAnsi" w:hAnsiTheme="minorHAnsi" w:cstheme="minorHAnsi"/>
          <w:lang w:val="en-US"/>
        </w:rPr>
        <w:t>,</w:t>
      </w:r>
      <w:r w:rsidRPr="00613E3D">
        <w:rPr>
          <w:rFonts w:asciiTheme="minorHAnsi" w:hAnsiTheme="minorHAnsi" w:cstheme="minorHAnsi"/>
        </w:rPr>
        <w:t xml:space="preserve"> and previously the institutional readiness of the Aceh Rehabilitation and Reconstruction Agency established after the 2004 tsunami. </w:t>
      </w:r>
      <w:r w:rsidRPr="00613E3D">
        <w:rPr>
          <w:rFonts w:asciiTheme="minorHAnsi" w:hAnsiTheme="minorHAnsi" w:cstheme="minorHAnsi"/>
          <w:i/>
        </w:rPr>
        <w:t>Second</w:t>
      </w:r>
      <w:r w:rsidRPr="00613E3D">
        <w:rPr>
          <w:rFonts w:asciiTheme="minorHAnsi" w:hAnsiTheme="minorHAnsi" w:cstheme="minorHAnsi"/>
        </w:rPr>
        <w:t>, UNDP has an established system that can deliver rapid support (recruitment, procurement, financial</w:t>
      </w:r>
      <w:r w:rsidR="00CB6996">
        <w:rPr>
          <w:rFonts w:asciiTheme="minorHAnsi" w:hAnsiTheme="minorHAnsi" w:cstheme="minorHAnsi"/>
        </w:rPr>
        <w:t>,</w:t>
      </w:r>
      <w:r w:rsidRPr="00613E3D">
        <w:rPr>
          <w:rFonts w:asciiTheme="minorHAnsi" w:hAnsiTheme="minorHAnsi" w:cstheme="minorHAnsi"/>
        </w:rPr>
        <w:t xml:space="preserve"> and monitoring systems) in a short amount of time, while </w:t>
      </w:r>
      <w:r w:rsidR="00F11D51">
        <w:rPr>
          <w:rFonts w:asciiTheme="minorHAnsi" w:hAnsiTheme="minorHAnsi" w:cstheme="minorHAnsi"/>
          <w:lang w:val="en-US"/>
        </w:rPr>
        <w:t xml:space="preserve">simultaneously </w:t>
      </w:r>
      <w:r w:rsidRPr="00613E3D">
        <w:rPr>
          <w:rFonts w:asciiTheme="minorHAnsi" w:hAnsiTheme="minorHAnsi" w:cstheme="minorHAnsi"/>
        </w:rPr>
        <w:t>upholding transparency and ensuring the efficiency and effectiveness of the</w:t>
      </w:r>
      <w:r w:rsidR="00F11D51" w:rsidRPr="00F11D51">
        <w:rPr>
          <w:rFonts w:asciiTheme="minorHAnsi" w:hAnsiTheme="minorHAnsi" w:cstheme="minorHAnsi"/>
        </w:rPr>
        <w:t xml:space="preserve"> </w:t>
      </w:r>
      <w:r w:rsidR="00F11D51" w:rsidRPr="00613E3D">
        <w:rPr>
          <w:rFonts w:asciiTheme="minorHAnsi" w:hAnsiTheme="minorHAnsi" w:cstheme="minorHAnsi"/>
        </w:rPr>
        <w:t>supported</w:t>
      </w:r>
      <w:r w:rsidRPr="00613E3D">
        <w:rPr>
          <w:rFonts w:asciiTheme="minorHAnsi" w:hAnsiTheme="minorHAnsi" w:cstheme="minorHAnsi"/>
        </w:rPr>
        <w:t xml:space="preserve"> program. UNDP has equipped BRG with adequate technical and administrative staff, experts, and equipment, which then led to the development of maps and planning documents that served as a basis in determining restoration location and planning. </w:t>
      </w:r>
    </w:p>
    <w:p w14:paraId="758A4B13" w14:textId="77777777" w:rsidR="002834AF" w:rsidRPr="00613E3D" w:rsidRDefault="002834AF" w:rsidP="002834AF">
      <w:pPr>
        <w:autoSpaceDE w:val="0"/>
        <w:autoSpaceDN w:val="0"/>
        <w:adjustRightInd w:val="0"/>
        <w:spacing w:after="0" w:line="240" w:lineRule="auto"/>
        <w:jc w:val="both"/>
        <w:rPr>
          <w:rFonts w:asciiTheme="minorHAnsi" w:hAnsiTheme="minorHAnsi" w:cstheme="minorHAnsi"/>
        </w:rPr>
      </w:pPr>
    </w:p>
    <w:p w14:paraId="556F0991" w14:textId="50232B5B" w:rsidR="002834AF" w:rsidRPr="00613E3D" w:rsidRDefault="002834AF" w:rsidP="002834AF">
      <w:pPr>
        <w:autoSpaceDE w:val="0"/>
        <w:autoSpaceDN w:val="0"/>
        <w:adjustRightInd w:val="0"/>
        <w:spacing w:after="0" w:line="240" w:lineRule="auto"/>
        <w:jc w:val="both"/>
        <w:rPr>
          <w:rFonts w:asciiTheme="minorHAnsi" w:hAnsiTheme="minorHAnsi" w:cstheme="minorHAnsi"/>
        </w:rPr>
      </w:pPr>
      <w:r w:rsidRPr="00613E3D">
        <w:rPr>
          <w:rFonts w:asciiTheme="minorHAnsi" w:hAnsiTheme="minorHAnsi" w:cstheme="minorHAnsi"/>
        </w:rPr>
        <w:t xml:space="preserve">The ability of UNDP to fulfil BRG’s basic needs in its first year (2016) allowed the agency to move forward and deliver </w:t>
      </w:r>
      <w:r w:rsidR="00F11D51">
        <w:rPr>
          <w:rFonts w:asciiTheme="minorHAnsi" w:hAnsiTheme="minorHAnsi" w:cstheme="minorHAnsi"/>
          <w:lang w:val="en-US"/>
        </w:rPr>
        <w:t xml:space="preserve">a </w:t>
      </w:r>
      <w:r w:rsidRPr="00613E3D">
        <w:rPr>
          <w:rFonts w:asciiTheme="minorHAnsi" w:hAnsiTheme="minorHAnsi" w:cstheme="minorHAnsi"/>
        </w:rPr>
        <w:t>state budget to provinces, engage</w:t>
      </w:r>
      <w:r w:rsidR="005F171B">
        <w:rPr>
          <w:rFonts w:asciiTheme="minorHAnsi" w:hAnsiTheme="minorHAnsi" w:cstheme="minorHAnsi"/>
          <w:lang w:val="en-ID"/>
        </w:rPr>
        <w:t xml:space="preserve"> with</w:t>
      </w:r>
      <w:r w:rsidRPr="00613E3D">
        <w:rPr>
          <w:rFonts w:asciiTheme="minorHAnsi" w:hAnsiTheme="minorHAnsi" w:cstheme="minorHAnsi"/>
        </w:rPr>
        <w:t xml:space="preserve"> communities and CSOs, and determine unit cost of peat restoration in 2017. BRG’s pivotal role in peatland restoration was established in 2018 as it was accepted and supported by communities, and </w:t>
      </w:r>
      <w:r w:rsidR="003107D3">
        <w:rPr>
          <w:rFonts w:asciiTheme="minorHAnsi" w:hAnsiTheme="minorHAnsi" w:cstheme="minorHAnsi"/>
          <w:lang w:val="en-ID"/>
        </w:rPr>
        <w:t xml:space="preserve">was </w:t>
      </w:r>
      <w:r w:rsidRPr="00613E3D">
        <w:rPr>
          <w:rFonts w:asciiTheme="minorHAnsi" w:hAnsiTheme="minorHAnsi" w:cstheme="minorHAnsi"/>
        </w:rPr>
        <w:t>able to delegate its mandate to provincial governments. After two years</w:t>
      </w:r>
      <w:r w:rsidR="003107D3">
        <w:rPr>
          <w:rFonts w:asciiTheme="minorHAnsi" w:hAnsiTheme="minorHAnsi" w:cstheme="minorHAnsi"/>
          <w:lang w:val="en-ID"/>
        </w:rPr>
        <w:t>,</w:t>
      </w:r>
      <w:r w:rsidRPr="00613E3D">
        <w:rPr>
          <w:rFonts w:asciiTheme="minorHAnsi" w:hAnsiTheme="minorHAnsi" w:cstheme="minorHAnsi"/>
        </w:rPr>
        <w:t xml:space="preserve"> stakeholders are beginning to witness the impact of BRG. This success indicates that for the rest of BRG’s lifespan (until 2020), peat restoration </w:t>
      </w:r>
      <w:r w:rsidR="003107D3">
        <w:rPr>
          <w:rFonts w:asciiTheme="minorHAnsi" w:hAnsiTheme="minorHAnsi" w:cstheme="minorHAnsi"/>
          <w:lang w:val="en-ID"/>
        </w:rPr>
        <w:t xml:space="preserve">will have been </w:t>
      </w:r>
      <w:r w:rsidRPr="00613E3D">
        <w:rPr>
          <w:rFonts w:asciiTheme="minorHAnsi" w:hAnsiTheme="minorHAnsi" w:cstheme="minorHAnsi"/>
        </w:rPr>
        <w:t xml:space="preserve">effective in the targeted provinces. </w:t>
      </w:r>
    </w:p>
    <w:p w14:paraId="1FCEEEA6" w14:textId="77777777" w:rsidR="002834AF" w:rsidRPr="00613E3D" w:rsidRDefault="002834AF" w:rsidP="002834AF">
      <w:pPr>
        <w:autoSpaceDE w:val="0"/>
        <w:autoSpaceDN w:val="0"/>
        <w:adjustRightInd w:val="0"/>
        <w:spacing w:after="0" w:line="240" w:lineRule="auto"/>
        <w:jc w:val="both"/>
        <w:rPr>
          <w:rFonts w:asciiTheme="minorHAnsi" w:hAnsiTheme="minorHAnsi" w:cstheme="minorHAnsi"/>
        </w:rPr>
      </w:pPr>
    </w:p>
    <w:p w14:paraId="2902F45C" w14:textId="1498E168" w:rsidR="002834AF" w:rsidRPr="00613E3D" w:rsidRDefault="002834AF" w:rsidP="002834AF">
      <w:pPr>
        <w:autoSpaceDE w:val="0"/>
        <w:autoSpaceDN w:val="0"/>
        <w:adjustRightInd w:val="0"/>
        <w:spacing w:after="0" w:line="240" w:lineRule="auto"/>
        <w:jc w:val="both"/>
        <w:rPr>
          <w:rFonts w:asciiTheme="minorHAnsi" w:hAnsiTheme="minorHAnsi" w:cstheme="minorHAnsi"/>
        </w:rPr>
      </w:pPr>
      <w:r w:rsidRPr="00613E3D">
        <w:rPr>
          <w:rFonts w:asciiTheme="minorHAnsi" w:hAnsiTheme="minorHAnsi" w:cstheme="minorHAnsi"/>
        </w:rPr>
        <w:t>At the beginning of its establishment, BRG struggled with access to data. Map</w:t>
      </w:r>
      <w:r w:rsidR="00CB6996">
        <w:rPr>
          <w:rFonts w:asciiTheme="minorHAnsi" w:hAnsiTheme="minorHAnsi" w:cstheme="minorHAnsi"/>
        </w:rPr>
        <w:t>ping target areas</w:t>
      </w:r>
      <w:r w:rsidRPr="00613E3D">
        <w:rPr>
          <w:rFonts w:asciiTheme="minorHAnsi" w:hAnsiTheme="minorHAnsi" w:cstheme="minorHAnsi"/>
        </w:rPr>
        <w:t xml:space="preserve"> were</w:t>
      </w:r>
      <w:r w:rsidR="00CB6996">
        <w:rPr>
          <w:rFonts w:asciiTheme="minorHAnsi" w:hAnsiTheme="minorHAnsi" w:cstheme="minorHAnsi"/>
        </w:rPr>
        <w:t xml:space="preserve"> among</w:t>
      </w:r>
      <w:r w:rsidRPr="00613E3D">
        <w:rPr>
          <w:rFonts w:asciiTheme="minorHAnsi" w:hAnsiTheme="minorHAnsi" w:cstheme="minorHAnsi"/>
        </w:rPr>
        <w:t xml:space="preserve"> </w:t>
      </w:r>
      <w:r w:rsidR="00135101">
        <w:rPr>
          <w:rFonts w:asciiTheme="minorHAnsi" w:hAnsiTheme="minorHAnsi" w:cstheme="minorHAnsi"/>
          <w:lang w:val="en-ID"/>
        </w:rPr>
        <w:t>its first priority,</w:t>
      </w:r>
      <w:r w:rsidR="00CB6996">
        <w:rPr>
          <w:rFonts w:asciiTheme="minorHAnsi" w:hAnsiTheme="minorHAnsi" w:cstheme="minorHAnsi"/>
        </w:rPr>
        <w:t xml:space="preserve"> </w:t>
      </w:r>
      <w:r w:rsidRPr="00613E3D">
        <w:rPr>
          <w:rFonts w:asciiTheme="minorHAnsi" w:hAnsiTheme="minorHAnsi" w:cstheme="minorHAnsi"/>
        </w:rPr>
        <w:t xml:space="preserve">however, data was unavailable because it was decentralized and held by </w:t>
      </w:r>
      <w:r w:rsidR="00CB6996">
        <w:rPr>
          <w:rFonts w:asciiTheme="minorHAnsi" w:hAnsiTheme="minorHAnsi" w:cstheme="minorHAnsi"/>
        </w:rPr>
        <w:t>various</w:t>
      </w:r>
      <w:r w:rsidR="00CB6996">
        <w:rPr>
          <w:rFonts w:asciiTheme="minorHAnsi" w:hAnsiTheme="minorHAnsi" w:cstheme="minorHAnsi"/>
          <w:lang w:val="en-ID"/>
        </w:rPr>
        <w:t xml:space="preserve"> </w:t>
      </w:r>
      <w:r w:rsidR="00135101">
        <w:rPr>
          <w:rFonts w:asciiTheme="minorHAnsi" w:hAnsiTheme="minorHAnsi" w:cstheme="minorHAnsi"/>
          <w:lang w:val="en-ID"/>
        </w:rPr>
        <w:t>government institutions</w:t>
      </w:r>
      <w:r w:rsidRPr="00613E3D">
        <w:rPr>
          <w:rFonts w:asciiTheme="minorHAnsi" w:hAnsiTheme="minorHAnsi" w:cstheme="minorHAnsi"/>
        </w:rPr>
        <w:t xml:space="preserve">. UNDP facilitated </w:t>
      </w:r>
      <w:r w:rsidR="00F11D51">
        <w:rPr>
          <w:rFonts w:asciiTheme="minorHAnsi" w:hAnsiTheme="minorHAnsi" w:cstheme="minorHAnsi"/>
          <w:lang w:val="en-US"/>
        </w:rPr>
        <w:t>improved</w:t>
      </w:r>
      <w:r w:rsidR="00CB6996">
        <w:rPr>
          <w:rFonts w:asciiTheme="minorHAnsi" w:hAnsiTheme="minorHAnsi" w:cstheme="minorHAnsi"/>
          <w:lang w:val="en-ID"/>
        </w:rPr>
        <w:t xml:space="preserve"> data sharing</w:t>
      </w:r>
      <w:r w:rsidR="00CB6996" w:rsidRPr="00613E3D">
        <w:rPr>
          <w:rFonts w:asciiTheme="minorHAnsi" w:hAnsiTheme="minorHAnsi" w:cstheme="minorHAnsi"/>
        </w:rPr>
        <w:t xml:space="preserve"> </w:t>
      </w:r>
      <w:r w:rsidR="00CB6996">
        <w:rPr>
          <w:rFonts w:asciiTheme="minorHAnsi" w:hAnsiTheme="minorHAnsi" w:cstheme="minorHAnsi"/>
        </w:rPr>
        <w:t>among</w:t>
      </w:r>
      <w:r w:rsidR="00CB6996" w:rsidRPr="00613E3D">
        <w:rPr>
          <w:rFonts w:asciiTheme="minorHAnsi" w:hAnsiTheme="minorHAnsi" w:cstheme="minorHAnsi"/>
        </w:rPr>
        <w:t xml:space="preserve"> </w:t>
      </w:r>
      <w:r w:rsidRPr="00613E3D">
        <w:rPr>
          <w:rFonts w:asciiTheme="minorHAnsi" w:hAnsiTheme="minorHAnsi" w:cstheme="minorHAnsi"/>
        </w:rPr>
        <w:t>owners</w:t>
      </w:r>
      <w:r w:rsidR="00CB6996">
        <w:rPr>
          <w:rFonts w:asciiTheme="minorHAnsi" w:hAnsiTheme="minorHAnsi" w:cstheme="minorHAnsi"/>
        </w:rPr>
        <w:t>,</w:t>
      </w:r>
      <w:r w:rsidRPr="00613E3D">
        <w:rPr>
          <w:rFonts w:asciiTheme="minorHAnsi" w:hAnsiTheme="minorHAnsi" w:cstheme="minorHAnsi"/>
        </w:rPr>
        <w:t xml:space="preserve"> </w:t>
      </w:r>
      <w:r w:rsidR="00CB6996">
        <w:rPr>
          <w:rFonts w:asciiTheme="minorHAnsi" w:hAnsiTheme="minorHAnsi" w:cstheme="minorHAnsi"/>
        </w:rPr>
        <w:t>allowing for</w:t>
      </w:r>
      <w:r w:rsidRPr="00613E3D">
        <w:rPr>
          <w:rFonts w:asciiTheme="minorHAnsi" w:hAnsiTheme="minorHAnsi" w:cstheme="minorHAnsi"/>
        </w:rPr>
        <w:t xml:space="preserve"> discuss</w:t>
      </w:r>
      <w:r w:rsidR="00CB6996">
        <w:rPr>
          <w:rFonts w:asciiTheme="minorHAnsi" w:hAnsiTheme="minorHAnsi" w:cstheme="minorHAnsi"/>
        </w:rPr>
        <w:t>ions</w:t>
      </w:r>
      <w:r w:rsidRPr="00613E3D">
        <w:rPr>
          <w:rFonts w:asciiTheme="minorHAnsi" w:hAnsiTheme="minorHAnsi" w:cstheme="minorHAnsi"/>
        </w:rPr>
        <w:t xml:space="preserve"> and shar</w:t>
      </w:r>
      <w:r w:rsidR="00CB6996">
        <w:rPr>
          <w:rFonts w:asciiTheme="minorHAnsi" w:hAnsiTheme="minorHAnsi" w:cstheme="minorHAnsi"/>
        </w:rPr>
        <w:t>ing of</w:t>
      </w:r>
      <w:r w:rsidRPr="00613E3D">
        <w:rPr>
          <w:rFonts w:asciiTheme="minorHAnsi" w:hAnsiTheme="minorHAnsi" w:cstheme="minorHAnsi"/>
        </w:rPr>
        <w:t xml:space="preserve"> results with BRG. This </w:t>
      </w:r>
      <w:r w:rsidR="00F11D51">
        <w:rPr>
          <w:rFonts w:asciiTheme="minorHAnsi" w:hAnsiTheme="minorHAnsi" w:cstheme="minorHAnsi"/>
          <w:lang w:val="en-ID"/>
        </w:rPr>
        <w:t>provided</w:t>
      </w:r>
      <w:r w:rsidR="00F11D51" w:rsidRPr="00613E3D">
        <w:rPr>
          <w:rFonts w:asciiTheme="minorHAnsi" w:hAnsiTheme="minorHAnsi" w:cstheme="minorHAnsi"/>
        </w:rPr>
        <w:t xml:space="preserve"> </w:t>
      </w:r>
      <w:r w:rsidRPr="00613E3D">
        <w:rPr>
          <w:rFonts w:asciiTheme="minorHAnsi" w:hAnsiTheme="minorHAnsi" w:cstheme="minorHAnsi"/>
        </w:rPr>
        <w:t xml:space="preserve">BRG </w:t>
      </w:r>
      <w:r w:rsidR="00F11D51">
        <w:rPr>
          <w:rFonts w:asciiTheme="minorHAnsi" w:hAnsiTheme="minorHAnsi" w:cstheme="minorHAnsi"/>
          <w:lang w:val="en-ID"/>
        </w:rPr>
        <w:t xml:space="preserve">with </w:t>
      </w:r>
      <w:r w:rsidRPr="00613E3D">
        <w:rPr>
          <w:rFonts w:asciiTheme="minorHAnsi" w:hAnsiTheme="minorHAnsi" w:cstheme="minorHAnsi"/>
        </w:rPr>
        <w:t xml:space="preserve">an </w:t>
      </w:r>
      <w:r w:rsidR="00F11D51">
        <w:rPr>
          <w:rFonts w:asciiTheme="minorHAnsi" w:hAnsiTheme="minorHAnsi" w:cstheme="minorHAnsi"/>
          <w:lang w:val="en-US"/>
        </w:rPr>
        <w:t>valuable</w:t>
      </w:r>
      <w:r w:rsidR="00F11D51" w:rsidRPr="00613E3D">
        <w:rPr>
          <w:rFonts w:asciiTheme="minorHAnsi" w:hAnsiTheme="minorHAnsi" w:cstheme="minorHAnsi"/>
        </w:rPr>
        <w:t xml:space="preserve"> </w:t>
      </w:r>
      <w:r w:rsidRPr="00613E3D">
        <w:rPr>
          <w:rFonts w:asciiTheme="minorHAnsi" w:hAnsiTheme="minorHAnsi" w:cstheme="minorHAnsi"/>
        </w:rPr>
        <w:t>lesson about the importance of knowledge sharing and management. In the future, there should be a proper and consistent knowledge sharing and management strategy prepared</w:t>
      </w:r>
      <w:r w:rsidR="00135101">
        <w:rPr>
          <w:rFonts w:asciiTheme="minorHAnsi" w:hAnsiTheme="minorHAnsi" w:cstheme="minorHAnsi"/>
          <w:lang w:val="en-ID"/>
        </w:rPr>
        <w:t xml:space="preserve"> from the beginning</w:t>
      </w:r>
      <w:r w:rsidRPr="00613E3D">
        <w:rPr>
          <w:rFonts w:asciiTheme="minorHAnsi" w:hAnsiTheme="minorHAnsi" w:cstheme="minorHAnsi"/>
        </w:rPr>
        <w:t xml:space="preserve">. </w:t>
      </w:r>
    </w:p>
    <w:p w14:paraId="1E3131B2" w14:textId="77777777" w:rsidR="002834AF" w:rsidRPr="00613E3D" w:rsidRDefault="002834AF" w:rsidP="002834AF">
      <w:pPr>
        <w:autoSpaceDE w:val="0"/>
        <w:autoSpaceDN w:val="0"/>
        <w:adjustRightInd w:val="0"/>
        <w:spacing w:after="0" w:line="240" w:lineRule="auto"/>
        <w:jc w:val="both"/>
        <w:rPr>
          <w:rFonts w:asciiTheme="minorHAnsi" w:hAnsiTheme="minorHAnsi" w:cstheme="minorHAnsi"/>
        </w:rPr>
      </w:pPr>
    </w:p>
    <w:p w14:paraId="604C3D8C" w14:textId="2F62E6E4" w:rsidR="002834AF" w:rsidRPr="00613E3D" w:rsidRDefault="002834AF" w:rsidP="002834AF">
      <w:pPr>
        <w:autoSpaceDE w:val="0"/>
        <w:autoSpaceDN w:val="0"/>
        <w:adjustRightInd w:val="0"/>
        <w:spacing w:after="0" w:line="240" w:lineRule="auto"/>
        <w:jc w:val="both"/>
        <w:rPr>
          <w:rFonts w:asciiTheme="minorHAnsi" w:hAnsiTheme="minorHAnsi" w:cstheme="minorHAnsi"/>
        </w:rPr>
      </w:pPr>
      <w:r w:rsidRPr="00613E3D">
        <w:rPr>
          <w:rFonts w:asciiTheme="minorHAnsi" w:hAnsiTheme="minorHAnsi" w:cstheme="minorHAnsi"/>
        </w:rPr>
        <w:t xml:space="preserve">BRG has been able to develop models for peat restoration that include all aspects of the restoration </w:t>
      </w:r>
      <w:r w:rsidR="00F11D51" w:rsidRPr="00613E3D">
        <w:rPr>
          <w:rFonts w:asciiTheme="minorHAnsi" w:hAnsiTheme="minorHAnsi" w:cstheme="minorHAnsi"/>
        </w:rPr>
        <w:t>process</w:t>
      </w:r>
      <w:r w:rsidR="00F11D51">
        <w:rPr>
          <w:rFonts w:asciiTheme="minorHAnsi" w:hAnsiTheme="minorHAnsi" w:cstheme="minorHAnsi"/>
          <w:lang w:val="en-US"/>
        </w:rPr>
        <w:t>—</w:t>
      </w:r>
      <w:r w:rsidRPr="00613E3D">
        <w:rPr>
          <w:rFonts w:asciiTheme="minorHAnsi" w:hAnsiTheme="minorHAnsi" w:cstheme="minorHAnsi"/>
        </w:rPr>
        <w:t>i.e.</w:t>
      </w:r>
      <w:r w:rsidR="00F11D51">
        <w:rPr>
          <w:rFonts w:asciiTheme="minorHAnsi" w:hAnsiTheme="minorHAnsi" w:cstheme="minorHAnsi"/>
          <w:lang w:val="en-US"/>
        </w:rPr>
        <w:t>,</w:t>
      </w:r>
      <w:r w:rsidRPr="00613E3D">
        <w:rPr>
          <w:rFonts w:asciiTheme="minorHAnsi" w:hAnsiTheme="minorHAnsi" w:cstheme="minorHAnsi"/>
        </w:rPr>
        <w:t xml:space="preserve"> rewetting, revegetation</w:t>
      </w:r>
      <w:r w:rsidR="00CB6996">
        <w:rPr>
          <w:rFonts w:asciiTheme="minorHAnsi" w:hAnsiTheme="minorHAnsi" w:cstheme="minorHAnsi"/>
        </w:rPr>
        <w:t>,</w:t>
      </w:r>
      <w:r w:rsidRPr="00613E3D">
        <w:rPr>
          <w:rFonts w:asciiTheme="minorHAnsi" w:hAnsiTheme="minorHAnsi" w:cstheme="minorHAnsi"/>
        </w:rPr>
        <w:t xml:space="preserve"> and revitalization of livelihood</w:t>
      </w:r>
      <w:r w:rsidR="00CB6996">
        <w:rPr>
          <w:rFonts w:asciiTheme="minorHAnsi" w:hAnsiTheme="minorHAnsi" w:cstheme="minorHAnsi"/>
        </w:rPr>
        <w:t>s</w:t>
      </w:r>
      <w:r w:rsidRPr="00613E3D">
        <w:rPr>
          <w:rFonts w:asciiTheme="minorHAnsi" w:hAnsiTheme="minorHAnsi" w:cstheme="minorHAnsi"/>
        </w:rPr>
        <w:t xml:space="preserve">. From this model, BRG learned that in addition to KHGs, a smaller unit of peatland, the sub-KHG, should </w:t>
      </w:r>
      <w:r w:rsidR="00F11D51">
        <w:rPr>
          <w:rFonts w:asciiTheme="minorHAnsi" w:hAnsiTheme="minorHAnsi" w:cstheme="minorHAnsi"/>
          <w:lang w:val="en-US"/>
        </w:rPr>
        <w:t xml:space="preserve">also </w:t>
      </w:r>
      <w:r w:rsidRPr="00613E3D">
        <w:rPr>
          <w:rFonts w:asciiTheme="minorHAnsi" w:hAnsiTheme="minorHAnsi" w:cstheme="minorHAnsi"/>
        </w:rPr>
        <w:t xml:space="preserve">be counted. Expanding the peat restoration unit to </w:t>
      </w:r>
      <w:r w:rsidR="00F11D51">
        <w:rPr>
          <w:rFonts w:asciiTheme="minorHAnsi" w:hAnsiTheme="minorHAnsi" w:cstheme="minorHAnsi"/>
          <w:lang w:val="en-US"/>
        </w:rPr>
        <w:t xml:space="preserve">the </w:t>
      </w:r>
      <w:r w:rsidRPr="00613E3D">
        <w:rPr>
          <w:rFonts w:asciiTheme="minorHAnsi" w:hAnsiTheme="minorHAnsi" w:cstheme="minorHAnsi"/>
        </w:rPr>
        <w:t>sub-KHG</w:t>
      </w:r>
      <w:r w:rsidR="00F11D51">
        <w:rPr>
          <w:rFonts w:asciiTheme="minorHAnsi" w:hAnsiTheme="minorHAnsi" w:cstheme="minorHAnsi"/>
          <w:lang w:val="en-US"/>
        </w:rPr>
        <w:t xml:space="preserve"> level</w:t>
      </w:r>
      <w:r w:rsidR="003107D3">
        <w:rPr>
          <w:rFonts w:asciiTheme="minorHAnsi" w:hAnsiTheme="minorHAnsi" w:cstheme="minorHAnsi"/>
          <w:lang w:val="en-ID"/>
        </w:rPr>
        <w:t xml:space="preserve"> </w:t>
      </w:r>
      <w:r w:rsidRPr="00613E3D">
        <w:rPr>
          <w:rFonts w:asciiTheme="minorHAnsi" w:hAnsiTheme="minorHAnsi" w:cstheme="minorHAnsi"/>
        </w:rPr>
        <w:t>will help BRG to determine zones in a more precise manner. BRG has also learned the importance of complete data gathering. This is to ensure precise measurement, as there are two patterns of ground water level interval</w:t>
      </w:r>
      <w:r w:rsidR="00F11D51">
        <w:rPr>
          <w:rFonts w:asciiTheme="minorHAnsi" w:hAnsiTheme="minorHAnsi" w:cstheme="minorHAnsi"/>
          <w:lang w:val="en-US"/>
        </w:rPr>
        <w:t>s</w:t>
      </w:r>
      <w:r w:rsidRPr="00613E3D">
        <w:rPr>
          <w:rFonts w:asciiTheme="minorHAnsi" w:hAnsiTheme="minorHAnsi" w:cstheme="minorHAnsi"/>
        </w:rPr>
        <w:t xml:space="preserve"> following the two seasons in Indonesia</w:t>
      </w:r>
      <w:r w:rsidR="00F11D51">
        <w:rPr>
          <w:rFonts w:asciiTheme="minorHAnsi" w:hAnsiTheme="minorHAnsi" w:cstheme="minorHAnsi"/>
          <w:lang w:val="en-US"/>
        </w:rPr>
        <w:t>—</w:t>
      </w:r>
      <w:r w:rsidRPr="00613E3D">
        <w:rPr>
          <w:rFonts w:asciiTheme="minorHAnsi" w:hAnsiTheme="minorHAnsi" w:cstheme="minorHAnsi"/>
        </w:rPr>
        <w:t>dry and wet season</w:t>
      </w:r>
      <w:r w:rsidR="00F11D51">
        <w:rPr>
          <w:rFonts w:asciiTheme="minorHAnsi" w:hAnsiTheme="minorHAnsi" w:cstheme="minorHAnsi"/>
          <w:lang w:val="en-US"/>
        </w:rPr>
        <w:t>—</w:t>
      </w:r>
      <w:r w:rsidRPr="00613E3D">
        <w:rPr>
          <w:rFonts w:asciiTheme="minorHAnsi" w:hAnsiTheme="minorHAnsi" w:cstheme="minorHAnsi"/>
        </w:rPr>
        <w:t xml:space="preserve">which empirically shows consistency and water levels during both seasons. </w:t>
      </w:r>
    </w:p>
    <w:p w14:paraId="67E2136D" w14:textId="77777777" w:rsidR="002834AF" w:rsidRPr="00613E3D" w:rsidRDefault="002834AF" w:rsidP="002834AF">
      <w:pPr>
        <w:autoSpaceDE w:val="0"/>
        <w:autoSpaceDN w:val="0"/>
        <w:adjustRightInd w:val="0"/>
        <w:spacing w:after="0" w:line="240" w:lineRule="auto"/>
        <w:jc w:val="both"/>
        <w:rPr>
          <w:rFonts w:asciiTheme="minorHAnsi" w:hAnsiTheme="minorHAnsi" w:cstheme="minorHAnsi"/>
        </w:rPr>
      </w:pPr>
    </w:p>
    <w:p w14:paraId="67102831" w14:textId="46A0EECE" w:rsidR="002834AF" w:rsidRPr="00613E3D" w:rsidRDefault="002834AF" w:rsidP="002834AF">
      <w:pPr>
        <w:autoSpaceDE w:val="0"/>
        <w:autoSpaceDN w:val="0"/>
        <w:adjustRightInd w:val="0"/>
        <w:spacing w:after="0" w:line="240" w:lineRule="auto"/>
        <w:jc w:val="both"/>
        <w:rPr>
          <w:rFonts w:asciiTheme="minorHAnsi" w:hAnsiTheme="minorHAnsi" w:cstheme="minorHAnsi"/>
        </w:rPr>
      </w:pPr>
      <w:r w:rsidRPr="00613E3D">
        <w:rPr>
          <w:rFonts w:asciiTheme="minorHAnsi" w:hAnsiTheme="minorHAnsi" w:cstheme="minorHAnsi"/>
        </w:rPr>
        <w:t xml:space="preserve">Above all, </w:t>
      </w:r>
      <w:r w:rsidR="00135101">
        <w:rPr>
          <w:rFonts w:asciiTheme="minorHAnsi" w:hAnsiTheme="minorHAnsi" w:cstheme="minorHAnsi"/>
          <w:lang w:val="en-ID"/>
        </w:rPr>
        <w:t xml:space="preserve">a </w:t>
      </w:r>
      <w:r w:rsidRPr="00613E3D">
        <w:rPr>
          <w:rFonts w:asciiTheme="minorHAnsi" w:hAnsiTheme="minorHAnsi" w:cstheme="minorHAnsi"/>
        </w:rPr>
        <w:t>support facility project</w:t>
      </w:r>
      <w:r w:rsidR="00135101">
        <w:rPr>
          <w:rFonts w:asciiTheme="minorHAnsi" w:hAnsiTheme="minorHAnsi" w:cstheme="minorHAnsi"/>
          <w:lang w:val="en-ID"/>
        </w:rPr>
        <w:t xml:space="preserve"> takes time and resources to establish </w:t>
      </w:r>
      <w:r w:rsidRPr="00613E3D">
        <w:rPr>
          <w:rFonts w:asciiTheme="minorHAnsi" w:hAnsiTheme="minorHAnsi" w:cstheme="minorHAnsi"/>
        </w:rPr>
        <w:t>a new institution. The government established BRG with detailed tasks, whil</w:t>
      </w:r>
      <w:r w:rsidR="00E63FEC">
        <w:rPr>
          <w:rFonts w:asciiTheme="minorHAnsi" w:hAnsiTheme="minorHAnsi" w:cstheme="minorHAnsi"/>
        </w:rPr>
        <w:t>st</w:t>
      </w:r>
      <w:r w:rsidRPr="00613E3D">
        <w:rPr>
          <w:rFonts w:asciiTheme="minorHAnsi" w:hAnsiTheme="minorHAnsi" w:cstheme="minorHAnsi"/>
        </w:rPr>
        <w:t xml:space="preserve"> </w:t>
      </w:r>
      <w:r w:rsidR="00135101">
        <w:rPr>
          <w:rFonts w:asciiTheme="minorHAnsi" w:hAnsiTheme="minorHAnsi" w:cstheme="minorHAnsi"/>
          <w:lang w:val="en-ID"/>
        </w:rPr>
        <w:t>not</w:t>
      </w:r>
      <w:r w:rsidR="00E63FEC">
        <w:rPr>
          <w:rFonts w:asciiTheme="minorHAnsi" w:hAnsiTheme="minorHAnsi" w:cstheme="minorHAnsi"/>
          <w:lang w:val="en-ID"/>
        </w:rPr>
        <w:t xml:space="preserve"> also</w:t>
      </w:r>
      <w:r w:rsidR="00135101">
        <w:rPr>
          <w:rFonts w:asciiTheme="minorHAnsi" w:hAnsiTheme="minorHAnsi" w:cstheme="minorHAnsi"/>
          <w:lang w:val="en-ID"/>
        </w:rPr>
        <w:t xml:space="preserve"> providing</w:t>
      </w:r>
      <w:r w:rsidRPr="00613E3D">
        <w:rPr>
          <w:rFonts w:asciiTheme="minorHAnsi" w:hAnsiTheme="minorHAnsi" w:cstheme="minorHAnsi"/>
        </w:rPr>
        <w:t xml:space="preserve"> the necessary tools to achieve these tasks</w:t>
      </w:r>
      <w:r w:rsidR="00135101">
        <w:rPr>
          <w:rFonts w:asciiTheme="minorHAnsi" w:hAnsiTheme="minorHAnsi" w:cstheme="minorHAnsi"/>
          <w:lang w:val="en-ID"/>
        </w:rPr>
        <w:t xml:space="preserve">. These tools include: an </w:t>
      </w:r>
      <w:r w:rsidRPr="00613E3D">
        <w:rPr>
          <w:rFonts w:asciiTheme="minorHAnsi" w:hAnsiTheme="minorHAnsi" w:cstheme="minorHAnsi"/>
        </w:rPr>
        <w:t>organizational structure</w:t>
      </w:r>
      <w:r w:rsidR="00E63FEC">
        <w:rPr>
          <w:rFonts w:asciiTheme="minorHAnsi" w:hAnsiTheme="minorHAnsi" w:cstheme="minorHAnsi"/>
          <w:lang w:val="en-ID"/>
        </w:rPr>
        <w:t>,</w:t>
      </w:r>
      <w:r w:rsidRPr="00613E3D">
        <w:rPr>
          <w:rFonts w:asciiTheme="minorHAnsi" w:hAnsiTheme="minorHAnsi" w:cstheme="minorHAnsi"/>
        </w:rPr>
        <w:t xml:space="preserve"> remuneration</w:t>
      </w:r>
      <w:r w:rsidR="00135101">
        <w:rPr>
          <w:rFonts w:asciiTheme="minorHAnsi" w:hAnsiTheme="minorHAnsi" w:cstheme="minorHAnsi"/>
          <w:lang w:val="en-ID"/>
        </w:rPr>
        <w:t xml:space="preserve"> system</w:t>
      </w:r>
      <w:r w:rsidR="00E63FEC">
        <w:rPr>
          <w:rFonts w:asciiTheme="minorHAnsi" w:hAnsiTheme="minorHAnsi" w:cstheme="minorHAnsi"/>
          <w:lang w:val="en-ID"/>
        </w:rPr>
        <w:t>,</w:t>
      </w:r>
      <w:r w:rsidRPr="00613E3D">
        <w:rPr>
          <w:rFonts w:asciiTheme="minorHAnsi" w:hAnsiTheme="minorHAnsi" w:cstheme="minorHAnsi"/>
        </w:rPr>
        <w:t xml:space="preserve"> operational capabilities</w:t>
      </w:r>
      <w:r w:rsidR="00E63FEC">
        <w:rPr>
          <w:rFonts w:asciiTheme="minorHAnsi" w:hAnsiTheme="minorHAnsi" w:cstheme="minorHAnsi"/>
          <w:lang w:val="en-ID"/>
        </w:rPr>
        <w:t>,</w:t>
      </w:r>
      <w:r w:rsidRPr="00613E3D">
        <w:rPr>
          <w:rFonts w:asciiTheme="minorHAnsi" w:hAnsiTheme="minorHAnsi" w:cstheme="minorHAnsi"/>
        </w:rPr>
        <w:t xml:space="preserve"> and access to finance</w:t>
      </w:r>
      <w:r w:rsidR="00135101">
        <w:rPr>
          <w:rFonts w:asciiTheme="minorHAnsi" w:hAnsiTheme="minorHAnsi" w:cstheme="minorHAnsi"/>
          <w:lang w:val="en-ID"/>
        </w:rPr>
        <w:t>.</w:t>
      </w:r>
      <w:r w:rsidR="00E63FEC">
        <w:rPr>
          <w:rFonts w:asciiTheme="minorHAnsi" w:hAnsiTheme="minorHAnsi" w:cstheme="minorHAnsi"/>
        </w:rPr>
        <w:t xml:space="preserve"> </w:t>
      </w:r>
      <w:r w:rsidRPr="00613E3D">
        <w:rPr>
          <w:rFonts w:asciiTheme="minorHAnsi" w:hAnsiTheme="minorHAnsi" w:cstheme="minorHAnsi"/>
        </w:rPr>
        <w:t>In the future, establishing a new institution or program</w:t>
      </w:r>
      <w:r w:rsidR="00135101">
        <w:rPr>
          <w:rFonts w:asciiTheme="minorHAnsi" w:hAnsiTheme="minorHAnsi" w:cstheme="minorHAnsi"/>
          <w:lang w:val="en-ID"/>
        </w:rPr>
        <w:t>me</w:t>
      </w:r>
      <w:r w:rsidRPr="00613E3D">
        <w:rPr>
          <w:rFonts w:asciiTheme="minorHAnsi" w:hAnsiTheme="minorHAnsi" w:cstheme="minorHAnsi"/>
        </w:rPr>
        <w:t xml:space="preserve"> should be prepared with an inclusive staff structure, remuneration, access to state financing, and other inherent </w:t>
      </w:r>
      <w:r w:rsidR="00E63FEC">
        <w:rPr>
          <w:rFonts w:asciiTheme="minorHAnsi" w:hAnsiTheme="minorHAnsi" w:cstheme="minorHAnsi"/>
        </w:rPr>
        <w:t>resources</w:t>
      </w:r>
      <w:r w:rsidRPr="00613E3D">
        <w:rPr>
          <w:rFonts w:asciiTheme="minorHAnsi" w:hAnsiTheme="minorHAnsi" w:cstheme="minorHAnsi"/>
        </w:rPr>
        <w:t xml:space="preserve">. </w:t>
      </w:r>
      <w:r w:rsidR="00135101">
        <w:rPr>
          <w:rFonts w:asciiTheme="minorHAnsi" w:hAnsiTheme="minorHAnsi" w:cstheme="minorHAnsi"/>
          <w:lang w:val="en-ID"/>
        </w:rPr>
        <w:t>A</w:t>
      </w:r>
      <w:r w:rsidRPr="00613E3D">
        <w:rPr>
          <w:rFonts w:asciiTheme="minorHAnsi" w:hAnsiTheme="minorHAnsi" w:cstheme="minorHAnsi"/>
        </w:rPr>
        <w:t xml:space="preserve"> newly established institution or program</w:t>
      </w:r>
      <w:r w:rsidR="00135101">
        <w:rPr>
          <w:rFonts w:asciiTheme="minorHAnsi" w:hAnsiTheme="minorHAnsi" w:cstheme="minorHAnsi"/>
          <w:lang w:val="en-ID"/>
        </w:rPr>
        <w:t>me</w:t>
      </w:r>
      <w:r w:rsidRPr="00613E3D">
        <w:rPr>
          <w:rFonts w:asciiTheme="minorHAnsi" w:hAnsiTheme="minorHAnsi" w:cstheme="minorHAnsi"/>
        </w:rPr>
        <w:t xml:space="preserve"> can then start </w:t>
      </w:r>
      <w:r w:rsidR="00135101">
        <w:rPr>
          <w:rFonts w:asciiTheme="minorHAnsi" w:hAnsiTheme="minorHAnsi" w:cstheme="minorHAnsi"/>
          <w:lang w:val="en-ID"/>
        </w:rPr>
        <w:lastRenderedPageBreak/>
        <w:t>preparing its</w:t>
      </w:r>
      <w:r w:rsidR="00D05FB3">
        <w:rPr>
          <w:rFonts w:asciiTheme="minorHAnsi" w:hAnsiTheme="minorHAnsi" w:cstheme="minorHAnsi"/>
          <w:lang w:val="en-ID"/>
        </w:rPr>
        <w:t xml:space="preserve"> </w:t>
      </w:r>
      <w:r w:rsidRPr="00613E3D">
        <w:rPr>
          <w:rFonts w:asciiTheme="minorHAnsi" w:hAnsiTheme="minorHAnsi" w:cstheme="minorHAnsi"/>
        </w:rPr>
        <w:t xml:space="preserve">strategic and action plans and/or immediately </w:t>
      </w:r>
      <w:r w:rsidR="00135101">
        <w:rPr>
          <w:rFonts w:asciiTheme="minorHAnsi" w:hAnsiTheme="minorHAnsi" w:cstheme="minorHAnsi"/>
          <w:lang w:val="en-ID"/>
        </w:rPr>
        <w:t xml:space="preserve">begin to </w:t>
      </w:r>
      <w:r w:rsidRPr="00613E3D">
        <w:rPr>
          <w:rFonts w:asciiTheme="minorHAnsi" w:hAnsiTheme="minorHAnsi" w:cstheme="minorHAnsi"/>
        </w:rPr>
        <w:t xml:space="preserve">implement its </w:t>
      </w:r>
      <w:r w:rsidR="00135101">
        <w:rPr>
          <w:rFonts w:asciiTheme="minorHAnsi" w:hAnsiTheme="minorHAnsi" w:cstheme="minorHAnsi"/>
          <w:lang w:val="en-ID"/>
        </w:rPr>
        <w:t>mandate</w:t>
      </w:r>
      <w:r w:rsidRPr="00613E3D">
        <w:rPr>
          <w:rFonts w:asciiTheme="minorHAnsi" w:hAnsiTheme="minorHAnsi" w:cstheme="minorHAnsi"/>
        </w:rPr>
        <w:t xml:space="preserve">. </w:t>
      </w:r>
      <w:r w:rsidR="00135101">
        <w:rPr>
          <w:rFonts w:asciiTheme="minorHAnsi" w:hAnsiTheme="minorHAnsi" w:cstheme="minorHAnsi"/>
          <w:lang w:val="en-ID"/>
        </w:rPr>
        <w:t>This will save</w:t>
      </w:r>
      <w:r w:rsidRPr="00613E3D">
        <w:rPr>
          <w:rFonts w:asciiTheme="minorHAnsi" w:hAnsiTheme="minorHAnsi" w:cstheme="minorHAnsi"/>
        </w:rPr>
        <w:t xml:space="preserve"> resources and time spent in the first year to establish institutional readiness. </w:t>
      </w:r>
    </w:p>
    <w:p w14:paraId="71E2D9B5" w14:textId="77777777" w:rsidR="002834AF" w:rsidRPr="00613E3D" w:rsidRDefault="002834AF" w:rsidP="002834AF">
      <w:pPr>
        <w:autoSpaceDE w:val="0"/>
        <w:autoSpaceDN w:val="0"/>
        <w:adjustRightInd w:val="0"/>
        <w:spacing w:after="0" w:line="240" w:lineRule="auto"/>
        <w:rPr>
          <w:rFonts w:asciiTheme="minorHAnsi" w:hAnsiTheme="minorHAnsi" w:cstheme="minorHAnsi"/>
        </w:rPr>
      </w:pPr>
      <w:r w:rsidRPr="00613E3D">
        <w:rPr>
          <w:rFonts w:asciiTheme="minorHAnsi" w:hAnsiTheme="minorHAnsi" w:cstheme="minorHAnsi"/>
        </w:rPr>
        <w:t xml:space="preserve"> </w:t>
      </w:r>
      <w:bookmarkEnd w:id="26"/>
    </w:p>
    <w:p w14:paraId="0FC0ADFC" w14:textId="77777777" w:rsidR="000143DD" w:rsidRDefault="000143DD">
      <w:pPr>
        <w:spacing w:after="160" w:line="259" w:lineRule="auto"/>
        <w:rPr>
          <w:rFonts w:cs="Calibri,Bold"/>
          <w:bCs/>
          <w:color w:val="000000" w:themeColor="text1"/>
          <w:lang w:val="en-US"/>
        </w:rPr>
      </w:pPr>
    </w:p>
    <w:p w14:paraId="6DDF4322" w14:textId="77777777" w:rsidR="000143DD" w:rsidRDefault="000143DD">
      <w:pPr>
        <w:spacing w:after="160" w:line="259" w:lineRule="auto"/>
        <w:rPr>
          <w:rFonts w:cs="Calibri,Bold"/>
          <w:bCs/>
          <w:color w:val="000000" w:themeColor="text1"/>
          <w:lang w:val="en-US"/>
        </w:rPr>
      </w:pPr>
    </w:p>
    <w:p w14:paraId="291F5E19" w14:textId="77777777" w:rsidR="00291938" w:rsidRDefault="00291938">
      <w:pPr>
        <w:spacing w:after="160" w:line="259" w:lineRule="auto"/>
        <w:rPr>
          <w:rFonts w:cs="Calibri,Bold"/>
          <w:bCs/>
          <w:color w:val="000000" w:themeColor="text1"/>
          <w:lang w:val="en-US"/>
        </w:rPr>
      </w:pPr>
      <w:r>
        <w:rPr>
          <w:rFonts w:cs="Calibri,Bold"/>
          <w:bCs/>
          <w:color w:val="000000" w:themeColor="text1"/>
          <w:lang w:val="en-US"/>
        </w:rPr>
        <w:br w:type="page"/>
      </w:r>
    </w:p>
    <w:p w14:paraId="3369AA8B" w14:textId="77777777" w:rsidR="00291938" w:rsidRPr="0061157C" w:rsidRDefault="00291938" w:rsidP="00197DDF">
      <w:pPr>
        <w:autoSpaceDE w:val="0"/>
        <w:autoSpaceDN w:val="0"/>
        <w:adjustRightInd w:val="0"/>
        <w:spacing w:after="0" w:line="23" w:lineRule="atLeast"/>
        <w:rPr>
          <w:rFonts w:cs="Calibri,Bold"/>
          <w:bCs/>
          <w:color w:val="000000" w:themeColor="text1"/>
          <w:lang w:val="en-US"/>
        </w:rPr>
      </w:pPr>
    </w:p>
    <w:p w14:paraId="77C05894" w14:textId="4BA6AA29" w:rsidR="00197DDF" w:rsidRDefault="00197DDF" w:rsidP="00291938">
      <w:pPr>
        <w:pStyle w:val="Heading2"/>
        <w:rPr>
          <w:lang w:val="en-US"/>
        </w:rPr>
      </w:pPr>
      <w:bookmarkStart w:id="27" w:name="_Toc528998444"/>
      <w:r w:rsidRPr="0061157C">
        <w:rPr>
          <w:lang w:val="en-US"/>
        </w:rPr>
        <w:t>Annexes</w:t>
      </w:r>
      <w:bookmarkEnd w:id="27"/>
    </w:p>
    <w:p w14:paraId="53DAC993" w14:textId="0B73EEB6" w:rsidR="006C0A4B" w:rsidRDefault="006C0A4B" w:rsidP="006C0A4B">
      <w:pPr>
        <w:rPr>
          <w:lang w:val="en-US"/>
        </w:rPr>
      </w:pPr>
    </w:p>
    <w:p w14:paraId="79997B94" w14:textId="1026D734" w:rsidR="006C0A4B" w:rsidRDefault="006C0A4B">
      <w:pPr>
        <w:spacing w:after="160" w:line="259" w:lineRule="auto"/>
        <w:rPr>
          <w:lang w:val="en-US"/>
        </w:rPr>
      </w:pPr>
      <w:r>
        <w:rPr>
          <w:lang w:val="en-US"/>
        </w:rPr>
        <w:br w:type="page"/>
      </w:r>
    </w:p>
    <w:p w14:paraId="3D1A91E0" w14:textId="2085131A" w:rsidR="006C0A4B" w:rsidRDefault="006C0A4B" w:rsidP="0011568C">
      <w:pPr>
        <w:pStyle w:val="Heading3"/>
        <w:rPr>
          <w:lang w:val="en-US"/>
        </w:rPr>
      </w:pPr>
      <w:bookmarkStart w:id="28" w:name="_Toc528998445"/>
      <w:r>
        <w:rPr>
          <w:lang w:val="en-US"/>
        </w:rPr>
        <w:lastRenderedPageBreak/>
        <w:t>Annex 1 Project Results Framework</w:t>
      </w:r>
      <w:bookmarkEnd w:id="28"/>
      <w:r>
        <w:rPr>
          <w:lang w:val="en-US"/>
        </w:rPr>
        <w:t xml:space="preserve"> </w:t>
      </w:r>
    </w:p>
    <w:p w14:paraId="2C3A9E45" w14:textId="5FD67E07" w:rsidR="006C0A4B" w:rsidRDefault="006C0A4B" w:rsidP="006C0A4B">
      <w:pPr>
        <w:rPr>
          <w:lang w:val="en-US"/>
        </w:rPr>
      </w:pPr>
    </w:p>
    <w:p w14:paraId="42ADBEE4" w14:textId="1E80FD55" w:rsidR="006C0A4B" w:rsidRDefault="006C0A4B">
      <w:pPr>
        <w:spacing w:after="160" w:line="259" w:lineRule="auto"/>
        <w:rPr>
          <w:lang w:val="en-US"/>
        </w:rPr>
      </w:pPr>
      <w:r>
        <w:rPr>
          <w:lang w:val="en-US"/>
        </w:rPr>
        <w:br w:type="page"/>
      </w:r>
    </w:p>
    <w:p w14:paraId="55836AD0" w14:textId="2FA42E0E" w:rsidR="006C0A4B" w:rsidRDefault="006C0A4B" w:rsidP="0011568C">
      <w:pPr>
        <w:pStyle w:val="Heading3"/>
        <w:rPr>
          <w:lang w:val="en-US"/>
        </w:rPr>
      </w:pPr>
      <w:bookmarkStart w:id="29" w:name="_Toc528998446"/>
      <w:r>
        <w:rPr>
          <w:lang w:val="en-US"/>
        </w:rPr>
        <w:lastRenderedPageBreak/>
        <w:t>Annex II Evaluation Matrix</w:t>
      </w:r>
      <w:bookmarkEnd w:id="29"/>
      <w:r>
        <w:rPr>
          <w:lang w:val="en-US"/>
        </w:rPr>
        <w:t xml:space="preserve"> </w:t>
      </w:r>
    </w:p>
    <w:tbl>
      <w:tblPr>
        <w:tblStyle w:val="TableGrid"/>
        <w:tblW w:w="0" w:type="auto"/>
        <w:tblLook w:val="04A0" w:firstRow="1" w:lastRow="0" w:firstColumn="1" w:lastColumn="0" w:noHBand="0" w:noVBand="1"/>
      </w:tblPr>
      <w:tblGrid>
        <w:gridCol w:w="6028"/>
        <w:gridCol w:w="498"/>
        <w:gridCol w:w="498"/>
        <w:gridCol w:w="498"/>
        <w:gridCol w:w="498"/>
        <w:gridCol w:w="498"/>
        <w:gridCol w:w="498"/>
      </w:tblGrid>
      <w:tr w:rsidR="006C0A4B" w14:paraId="66AD529E" w14:textId="77777777" w:rsidTr="006C0A4B">
        <w:tc>
          <w:tcPr>
            <w:tcW w:w="6028" w:type="dxa"/>
          </w:tcPr>
          <w:p w14:paraId="7DDB803F" w14:textId="77777777" w:rsidR="006C0A4B" w:rsidRDefault="006C0A4B" w:rsidP="006C0A4B"/>
          <w:p w14:paraId="68D3FD86" w14:textId="77777777" w:rsidR="006C0A4B" w:rsidRDefault="006C0A4B" w:rsidP="006C0A4B">
            <w:r>
              <w:t xml:space="preserve"> </w:t>
            </w:r>
          </w:p>
          <w:p w14:paraId="27B1FBA3" w14:textId="77777777" w:rsidR="006C0A4B" w:rsidRDefault="006C0A4B" w:rsidP="006C0A4B">
            <w:r>
              <w:t>EQ 2 VALIDITY AND LOGIC OF THE THEORY OF CHANGE</w:t>
            </w:r>
          </w:p>
        </w:tc>
        <w:tc>
          <w:tcPr>
            <w:tcW w:w="498" w:type="dxa"/>
          </w:tcPr>
          <w:p w14:paraId="720F5CA7" w14:textId="77777777" w:rsidR="006C0A4B" w:rsidRDefault="006C0A4B" w:rsidP="006C0A4B"/>
        </w:tc>
        <w:tc>
          <w:tcPr>
            <w:tcW w:w="498" w:type="dxa"/>
          </w:tcPr>
          <w:p w14:paraId="52625499" w14:textId="77777777" w:rsidR="006C0A4B" w:rsidRDefault="006C0A4B" w:rsidP="006C0A4B"/>
        </w:tc>
        <w:tc>
          <w:tcPr>
            <w:tcW w:w="498" w:type="dxa"/>
          </w:tcPr>
          <w:p w14:paraId="21545B02" w14:textId="77777777" w:rsidR="006C0A4B" w:rsidRDefault="006C0A4B" w:rsidP="006C0A4B"/>
        </w:tc>
        <w:tc>
          <w:tcPr>
            <w:tcW w:w="498" w:type="dxa"/>
          </w:tcPr>
          <w:p w14:paraId="3C342502" w14:textId="77777777" w:rsidR="006C0A4B" w:rsidRDefault="006C0A4B" w:rsidP="006C0A4B"/>
        </w:tc>
        <w:tc>
          <w:tcPr>
            <w:tcW w:w="498" w:type="dxa"/>
          </w:tcPr>
          <w:p w14:paraId="377C89EE" w14:textId="77777777" w:rsidR="006C0A4B" w:rsidRDefault="006C0A4B" w:rsidP="006C0A4B"/>
        </w:tc>
        <w:tc>
          <w:tcPr>
            <w:tcW w:w="498" w:type="dxa"/>
          </w:tcPr>
          <w:p w14:paraId="3FC43EE3" w14:textId="77777777" w:rsidR="006C0A4B" w:rsidRDefault="006C0A4B" w:rsidP="006C0A4B"/>
        </w:tc>
      </w:tr>
      <w:tr w:rsidR="006C0A4B" w14:paraId="2935B110" w14:textId="77777777" w:rsidTr="006C0A4B">
        <w:tc>
          <w:tcPr>
            <w:tcW w:w="6028" w:type="dxa"/>
          </w:tcPr>
          <w:p w14:paraId="22477488" w14:textId="77777777" w:rsidR="006C0A4B" w:rsidRDefault="006C0A4B" w:rsidP="006C0A4B">
            <w:r w:rsidRPr="00D24B3F">
              <w:t>2.</w:t>
            </w:r>
            <w:r>
              <w:t>1</w:t>
            </w:r>
            <w:r w:rsidRPr="00D24B3F">
              <w:t xml:space="preserve"> Do all stakeholders understand the theory of change?</w:t>
            </w:r>
          </w:p>
        </w:tc>
        <w:tc>
          <w:tcPr>
            <w:tcW w:w="498" w:type="dxa"/>
          </w:tcPr>
          <w:p w14:paraId="2A4E45EC" w14:textId="77777777" w:rsidR="006C0A4B" w:rsidRDefault="006C0A4B" w:rsidP="006C0A4B">
            <w:r>
              <w:t>x</w:t>
            </w:r>
          </w:p>
        </w:tc>
        <w:tc>
          <w:tcPr>
            <w:tcW w:w="498" w:type="dxa"/>
          </w:tcPr>
          <w:p w14:paraId="17DD3146" w14:textId="77777777" w:rsidR="006C0A4B" w:rsidRDefault="006C0A4B" w:rsidP="006C0A4B">
            <w:r>
              <w:t>x</w:t>
            </w:r>
          </w:p>
        </w:tc>
        <w:tc>
          <w:tcPr>
            <w:tcW w:w="498" w:type="dxa"/>
          </w:tcPr>
          <w:p w14:paraId="1BB8094C" w14:textId="77777777" w:rsidR="006C0A4B" w:rsidRDefault="006C0A4B" w:rsidP="006C0A4B">
            <w:r>
              <w:t>x</w:t>
            </w:r>
          </w:p>
        </w:tc>
        <w:tc>
          <w:tcPr>
            <w:tcW w:w="498" w:type="dxa"/>
          </w:tcPr>
          <w:p w14:paraId="7E496B4B" w14:textId="77777777" w:rsidR="006C0A4B" w:rsidRDefault="006C0A4B" w:rsidP="006C0A4B">
            <w:r>
              <w:t>x</w:t>
            </w:r>
          </w:p>
        </w:tc>
        <w:tc>
          <w:tcPr>
            <w:tcW w:w="498" w:type="dxa"/>
          </w:tcPr>
          <w:p w14:paraId="61A60F69" w14:textId="77777777" w:rsidR="006C0A4B" w:rsidRDefault="006C0A4B" w:rsidP="006C0A4B">
            <w:r>
              <w:t>x</w:t>
            </w:r>
          </w:p>
        </w:tc>
        <w:tc>
          <w:tcPr>
            <w:tcW w:w="498" w:type="dxa"/>
          </w:tcPr>
          <w:p w14:paraId="3AAA1007" w14:textId="77777777" w:rsidR="006C0A4B" w:rsidRDefault="006C0A4B" w:rsidP="006C0A4B">
            <w:r>
              <w:t>x</w:t>
            </w:r>
          </w:p>
        </w:tc>
      </w:tr>
      <w:tr w:rsidR="006C0A4B" w14:paraId="2F036C6A" w14:textId="77777777" w:rsidTr="006C0A4B">
        <w:tc>
          <w:tcPr>
            <w:tcW w:w="6028" w:type="dxa"/>
          </w:tcPr>
          <w:p w14:paraId="0BD68876" w14:textId="77777777" w:rsidR="006C0A4B" w:rsidRDefault="006C0A4B" w:rsidP="006C0A4B">
            <w:r>
              <w:t xml:space="preserve">2.2 </w:t>
            </w:r>
            <w:r w:rsidRPr="00D24B3F">
              <w:t xml:space="preserve"> Were time frames realistic regarding planned objectives and outputs?</w:t>
            </w:r>
          </w:p>
        </w:tc>
        <w:tc>
          <w:tcPr>
            <w:tcW w:w="498" w:type="dxa"/>
          </w:tcPr>
          <w:p w14:paraId="403DBB95" w14:textId="77777777" w:rsidR="006C0A4B" w:rsidRDefault="006C0A4B" w:rsidP="006C0A4B">
            <w:r>
              <w:t>x</w:t>
            </w:r>
          </w:p>
        </w:tc>
        <w:tc>
          <w:tcPr>
            <w:tcW w:w="498" w:type="dxa"/>
          </w:tcPr>
          <w:p w14:paraId="1B521D1F" w14:textId="77777777" w:rsidR="006C0A4B" w:rsidRDefault="006C0A4B" w:rsidP="006C0A4B">
            <w:r>
              <w:t>x</w:t>
            </w:r>
          </w:p>
        </w:tc>
        <w:tc>
          <w:tcPr>
            <w:tcW w:w="498" w:type="dxa"/>
          </w:tcPr>
          <w:p w14:paraId="3833E782" w14:textId="77777777" w:rsidR="006C0A4B" w:rsidRDefault="006C0A4B" w:rsidP="006C0A4B">
            <w:r>
              <w:t>x</w:t>
            </w:r>
          </w:p>
        </w:tc>
        <w:tc>
          <w:tcPr>
            <w:tcW w:w="498" w:type="dxa"/>
          </w:tcPr>
          <w:p w14:paraId="3A453760" w14:textId="77777777" w:rsidR="006C0A4B" w:rsidRDefault="006C0A4B" w:rsidP="006C0A4B">
            <w:r>
              <w:t>x</w:t>
            </w:r>
          </w:p>
        </w:tc>
        <w:tc>
          <w:tcPr>
            <w:tcW w:w="498" w:type="dxa"/>
          </w:tcPr>
          <w:p w14:paraId="0C6A2CDA" w14:textId="77777777" w:rsidR="006C0A4B" w:rsidRDefault="006C0A4B" w:rsidP="006C0A4B">
            <w:r>
              <w:t>x</w:t>
            </w:r>
          </w:p>
        </w:tc>
        <w:tc>
          <w:tcPr>
            <w:tcW w:w="498" w:type="dxa"/>
          </w:tcPr>
          <w:p w14:paraId="60476BE7" w14:textId="77777777" w:rsidR="006C0A4B" w:rsidRDefault="006C0A4B" w:rsidP="006C0A4B">
            <w:r>
              <w:t>x</w:t>
            </w:r>
          </w:p>
        </w:tc>
      </w:tr>
      <w:tr w:rsidR="006C0A4B" w14:paraId="78A97000" w14:textId="77777777" w:rsidTr="006C0A4B">
        <w:tc>
          <w:tcPr>
            <w:tcW w:w="6028" w:type="dxa"/>
          </w:tcPr>
          <w:p w14:paraId="3162DCC6" w14:textId="77777777" w:rsidR="006C0A4B" w:rsidRDefault="006C0A4B" w:rsidP="006C0A4B">
            <w:r w:rsidRPr="00D24B3F">
              <w:t xml:space="preserve">2. </w:t>
            </w:r>
            <w:r>
              <w:t>3</w:t>
            </w:r>
            <w:r w:rsidRPr="00D24B3F">
              <w:t xml:space="preserve"> Were the projects’ designs logical and coherent and took into account the institutional arrangements, roles, capacity and commitment of stakeholders?</w:t>
            </w:r>
          </w:p>
        </w:tc>
        <w:tc>
          <w:tcPr>
            <w:tcW w:w="498" w:type="dxa"/>
          </w:tcPr>
          <w:p w14:paraId="38BC6F99" w14:textId="77777777" w:rsidR="006C0A4B" w:rsidRDefault="006C0A4B" w:rsidP="006C0A4B">
            <w:r>
              <w:t>x</w:t>
            </w:r>
          </w:p>
        </w:tc>
        <w:tc>
          <w:tcPr>
            <w:tcW w:w="498" w:type="dxa"/>
          </w:tcPr>
          <w:p w14:paraId="301207FD" w14:textId="77777777" w:rsidR="006C0A4B" w:rsidRDefault="006C0A4B" w:rsidP="006C0A4B">
            <w:r>
              <w:t>x</w:t>
            </w:r>
          </w:p>
        </w:tc>
        <w:tc>
          <w:tcPr>
            <w:tcW w:w="498" w:type="dxa"/>
          </w:tcPr>
          <w:p w14:paraId="3EC952B9" w14:textId="77777777" w:rsidR="006C0A4B" w:rsidRDefault="006C0A4B" w:rsidP="006C0A4B">
            <w:r>
              <w:t>x</w:t>
            </w:r>
          </w:p>
        </w:tc>
        <w:tc>
          <w:tcPr>
            <w:tcW w:w="498" w:type="dxa"/>
          </w:tcPr>
          <w:p w14:paraId="4C774691" w14:textId="77777777" w:rsidR="006C0A4B" w:rsidRDefault="006C0A4B" w:rsidP="006C0A4B"/>
        </w:tc>
        <w:tc>
          <w:tcPr>
            <w:tcW w:w="498" w:type="dxa"/>
          </w:tcPr>
          <w:p w14:paraId="16DB0DD5" w14:textId="77777777" w:rsidR="006C0A4B" w:rsidRDefault="006C0A4B" w:rsidP="006C0A4B"/>
        </w:tc>
        <w:tc>
          <w:tcPr>
            <w:tcW w:w="498" w:type="dxa"/>
          </w:tcPr>
          <w:p w14:paraId="6CAE6018" w14:textId="77777777" w:rsidR="006C0A4B" w:rsidRDefault="006C0A4B" w:rsidP="006C0A4B"/>
        </w:tc>
      </w:tr>
      <w:tr w:rsidR="006C0A4B" w14:paraId="149BBEEF" w14:textId="77777777" w:rsidTr="006C0A4B">
        <w:tc>
          <w:tcPr>
            <w:tcW w:w="6028" w:type="dxa"/>
          </w:tcPr>
          <w:p w14:paraId="173AB6CC" w14:textId="77777777" w:rsidR="006C0A4B" w:rsidRDefault="006C0A4B" w:rsidP="006C0A4B">
            <w:r w:rsidRPr="00D24B3F">
              <w:t xml:space="preserve">2. </w:t>
            </w:r>
            <w:r>
              <w:t>4</w:t>
            </w:r>
            <w:r w:rsidRPr="00D24B3F">
              <w:t xml:space="preserve"> How appropriate and useful are the indicators described in the project monitoring and evaluation plan in assessing the project’s progress at output and outcome levels?</w:t>
            </w:r>
          </w:p>
        </w:tc>
        <w:tc>
          <w:tcPr>
            <w:tcW w:w="498" w:type="dxa"/>
          </w:tcPr>
          <w:p w14:paraId="42838142" w14:textId="77777777" w:rsidR="006C0A4B" w:rsidRDefault="006C0A4B" w:rsidP="006C0A4B">
            <w:r>
              <w:t>x</w:t>
            </w:r>
          </w:p>
        </w:tc>
        <w:tc>
          <w:tcPr>
            <w:tcW w:w="498" w:type="dxa"/>
          </w:tcPr>
          <w:p w14:paraId="4A028FF3" w14:textId="77777777" w:rsidR="006C0A4B" w:rsidRDefault="006C0A4B" w:rsidP="006C0A4B">
            <w:r>
              <w:t>x</w:t>
            </w:r>
          </w:p>
        </w:tc>
        <w:tc>
          <w:tcPr>
            <w:tcW w:w="498" w:type="dxa"/>
          </w:tcPr>
          <w:p w14:paraId="5F594859" w14:textId="77777777" w:rsidR="006C0A4B" w:rsidRDefault="006C0A4B" w:rsidP="006C0A4B">
            <w:r>
              <w:t>x</w:t>
            </w:r>
          </w:p>
        </w:tc>
        <w:tc>
          <w:tcPr>
            <w:tcW w:w="498" w:type="dxa"/>
          </w:tcPr>
          <w:p w14:paraId="7F396DD2" w14:textId="77777777" w:rsidR="006C0A4B" w:rsidRDefault="006C0A4B" w:rsidP="006C0A4B"/>
        </w:tc>
        <w:tc>
          <w:tcPr>
            <w:tcW w:w="498" w:type="dxa"/>
          </w:tcPr>
          <w:p w14:paraId="59371C48" w14:textId="77777777" w:rsidR="006C0A4B" w:rsidRDefault="006C0A4B" w:rsidP="006C0A4B">
            <w:r>
              <w:t>x</w:t>
            </w:r>
          </w:p>
        </w:tc>
        <w:tc>
          <w:tcPr>
            <w:tcW w:w="498" w:type="dxa"/>
          </w:tcPr>
          <w:p w14:paraId="3244CDE6" w14:textId="77777777" w:rsidR="006C0A4B" w:rsidRDefault="006C0A4B" w:rsidP="006C0A4B"/>
        </w:tc>
      </w:tr>
      <w:tr w:rsidR="006C0A4B" w14:paraId="5F61EEE0" w14:textId="77777777" w:rsidTr="006C0A4B">
        <w:tc>
          <w:tcPr>
            <w:tcW w:w="6028" w:type="dxa"/>
          </w:tcPr>
          <w:p w14:paraId="35F88A27" w14:textId="77777777" w:rsidR="006C0A4B" w:rsidRDefault="006C0A4B" w:rsidP="006C0A4B">
            <w:r w:rsidRPr="00D24B3F">
              <w:t xml:space="preserve">2. </w:t>
            </w:r>
            <w:r>
              <w:t xml:space="preserve">5 </w:t>
            </w:r>
            <w:r w:rsidRPr="00D24B3F">
              <w:t xml:space="preserve">Did the project design adequately consider the gender dimension of the planned interventions?  </w:t>
            </w:r>
          </w:p>
        </w:tc>
        <w:tc>
          <w:tcPr>
            <w:tcW w:w="498" w:type="dxa"/>
          </w:tcPr>
          <w:p w14:paraId="1AD8BDE8" w14:textId="77777777" w:rsidR="006C0A4B" w:rsidRDefault="006C0A4B" w:rsidP="006C0A4B">
            <w:r>
              <w:t>x</w:t>
            </w:r>
          </w:p>
        </w:tc>
        <w:tc>
          <w:tcPr>
            <w:tcW w:w="498" w:type="dxa"/>
          </w:tcPr>
          <w:p w14:paraId="07FA288E" w14:textId="77777777" w:rsidR="006C0A4B" w:rsidRDefault="006C0A4B" w:rsidP="006C0A4B">
            <w:r>
              <w:t>x</w:t>
            </w:r>
          </w:p>
        </w:tc>
        <w:tc>
          <w:tcPr>
            <w:tcW w:w="498" w:type="dxa"/>
          </w:tcPr>
          <w:p w14:paraId="22F276B3" w14:textId="77777777" w:rsidR="006C0A4B" w:rsidRDefault="006C0A4B" w:rsidP="006C0A4B">
            <w:r>
              <w:t>x</w:t>
            </w:r>
          </w:p>
        </w:tc>
        <w:tc>
          <w:tcPr>
            <w:tcW w:w="498" w:type="dxa"/>
          </w:tcPr>
          <w:p w14:paraId="4AC083D3" w14:textId="77777777" w:rsidR="006C0A4B" w:rsidRDefault="006C0A4B" w:rsidP="006C0A4B"/>
        </w:tc>
        <w:tc>
          <w:tcPr>
            <w:tcW w:w="498" w:type="dxa"/>
          </w:tcPr>
          <w:p w14:paraId="568E047A" w14:textId="77777777" w:rsidR="006C0A4B" w:rsidRDefault="006C0A4B" w:rsidP="006C0A4B">
            <w:r>
              <w:t>x</w:t>
            </w:r>
          </w:p>
        </w:tc>
        <w:tc>
          <w:tcPr>
            <w:tcW w:w="498" w:type="dxa"/>
          </w:tcPr>
          <w:p w14:paraId="214E9975" w14:textId="77777777" w:rsidR="006C0A4B" w:rsidRDefault="006C0A4B" w:rsidP="006C0A4B">
            <w:r>
              <w:t>x</w:t>
            </w:r>
          </w:p>
        </w:tc>
      </w:tr>
      <w:tr w:rsidR="006C0A4B" w14:paraId="702FFC4F" w14:textId="77777777" w:rsidTr="006C0A4B">
        <w:tc>
          <w:tcPr>
            <w:tcW w:w="6028" w:type="dxa"/>
          </w:tcPr>
          <w:p w14:paraId="4B15EB41" w14:textId="77777777" w:rsidR="006C0A4B" w:rsidRPr="00526CCF" w:rsidRDefault="006C0A4B" w:rsidP="006C0A4B">
            <w:pPr>
              <w:pStyle w:val="MediumGrid21"/>
              <w:numPr>
                <w:ilvl w:val="1"/>
                <w:numId w:val="26"/>
              </w:numPr>
              <w:spacing w:before="120"/>
              <w:rPr>
                <w:rFonts w:asciiTheme="minorHAnsi" w:hAnsiTheme="minorHAnsi" w:cstheme="minorHAnsi"/>
                <w:iCs/>
                <w:color w:val="000000" w:themeColor="text1"/>
                <w:lang w:val="en-US"/>
              </w:rPr>
            </w:pPr>
            <w:r w:rsidRPr="00526CCF">
              <w:rPr>
                <w:rFonts w:asciiTheme="minorHAnsi" w:hAnsiTheme="minorHAnsi" w:cstheme="minorHAnsi"/>
                <w:iCs/>
                <w:color w:val="000000" w:themeColor="text1"/>
                <w:lang w:val="en-US"/>
              </w:rPr>
              <w:t xml:space="preserve">What has been achieved and has this been done right? (Were stated outputs and outcomes achieved and were they done effectively and efficiently? Can success, or lack of it, be attributable to the project’s design, theory of change and implementation logic?) </w:t>
            </w:r>
          </w:p>
          <w:p w14:paraId="22EEFB53" w14:textId="77777777" w:rsidR="006C0A4B" w:rsidRPr="00526CCF" w:rsidRDefault="006C0A4B" w:rsidP="006C0A4B">
            <w:pPr>
              <w:pStyle w:val="MediumGrid21"/>
              <w:numPr>
                <w:ilvl w:val="1"/>
                <w:numId w:val="26"/>
              </w:numPr>
              <w:spacing w:before="120"/>
              <w:rPr>
                <w:rFonts w:asciiTheme="minorHAnsi" w:hAnsiTheme="minorHAnsi" w:cstheme="minorHAnsi"/>
                <w:iCs/>
                <w:color w:val="000000" w:themeColor="text1"/>
                <w:lang w:val="en-US"/>
              </w:rPr>
            </w:pPr>
            <w:r w:rsidRPr="00526CCF">
              <w:rPr>
                <w:rFonts w:asciiTheme="minorHAnsi" w:hAnsiTheme="minorHAnsi" w:cstheme="minorHAnsi"/>
                <w:iCs/>
                <w:color w:val="000000" w:themeColor="text1"/>
                <w:lang w:val="en-US"/>
              </w:rPr>
              <w:t>Have the right things been done? (Were the activities, outputs and the outcomes relevant, appropriate and strategic to development priorities, national goals and UNDP’s mandate?)</w:t>
            </w:r>
          </w:p>
          <w:p w14:paraId="452C6968" w14:textId="77777777" w:rsidR="006C0A4B" w:rsidRDefault="006C0A4B" w:rsidP="006C0A4B"/>
        </w:tc>
        <w:tc>
          <w:tcPr>
            <w:tcW w:w="498" w:type="dxa"/>
          </w:tcPr>
          <w:p w14:paraId="53D494D8" w14:textId="77777777" w:rsidR="006C0A4B" w:rsidRDefault="006C0A4B" w:rsidP="006C0A4B">
            <w:r>
              <w:t>x</w:t>
            </w:r>
          </w:p>
        </w:tc>
        <w:tc>
          <w:tcPr>
            <w:tcW w:w="498" w:type="dxa"/>
          </w:tcPr>
          <w:p w14:paraId="1D5F090C" w14:textId="77777777" w:rsidR="006C0A4B" w:rsidRDefault="006C0A4B" w:rsidP="006C0A4B">
            <w:r>
              <w:t>x</w:t>
            </w:r>
          </w:p>
        </w:tc>
        <w:tc>
          <w:tcPr>
            <w:tcW w:w="498" w:type="dxa"/>
          </w:tcPr>
          <w:p w14:paraId="61EADE62" w14:textId="77777777" w:rsidR="006C0A4B" w:rsidRDefault="006C0A4B" w:rsidP="006C0A4B">
            <w:r>
              <w:t>x</w:t>
            </w:r>
          </w:p>
        </w:tc>
        <w:tc>
          <w:tcPr>
            <w:tcW w:w="498" w:type="dxa"/>
          </w:tcPr>
          <w:p w14:paraId="0A624B51" w14:textId="77777777" w:rsidR="006C0A4B" w:rsidRDefault="006C0A4B" w:rsidP="006C0A4B">
            <w:r>
              <w:t>x</w:t>
            </w:r>
          </w:p>
        </w:tc>
        <w:tc>
          <w:tcPr>
            <w:tcW w:w="498" w:type="dxa"/>
          </w:tcPr>
          <w:p w14:paraId="77F0239C" w14:textId="77777777" w:rsidR="006C0A4B" w:rsidRDefault="006C0A4B" w:rsidP="006C0A4B">
            <w:r>
              <w:t>x</w:t>
            </w:r>
          </w:p>
        </w:tc>
        <w:tc>
          <w:tcPr>
            <w:tcW w:w="498" w:type="dxa"/>
          </w:tcPr>
          <w:p w14:paraId="529318EC" w14:textId="77777777" w:rsidR="006C0A4B" w:rsidRDefault="006C0A4B" w:rsidP="006C0A4B">
            <w:r>
              <w:t>x</w:t>
            </w:r>
          </w:p>
        </w:tc>
      </w:tr>
      <w:tr w:rsidR="006C0A4B" w14:paraId="69CCBE4D" w14:textId="77777777" w:rsidTr="006C0A4B">
        <w:tc>
          <w:tcPr>
            <w:tcW w:w="6028" w:type="dxa"/>
          </w:tcPr>
          <w:p w14:paraId="7BEF5616" w14:textId="77777777" w:rsidR="006C0A4B" w:rsidRDefault="006C0A4B" w:rsidP="006C0A4B"/>
        </w:tc>
        <w:tc>
          <w:tcPr>
            <w:tcW w:w="498" w:type="dxa"/>
          </w:tcPr>
          <w:p w14:paraId="27C67FB5" w14:textId="77777777" w:rsidR="006C0A4B" w:rsidRDefault="006C0A4B" w:rsidP="006C0A4B"/>
        </w:tc>
        <w:tc>
          <w:tcPr>
            <w:tcW w:w="498" w:type="dxa"/>
          </w:tcPr>
          <w:p w14:paraId="051E0405" w14:textId="77777777" w:rsidR="006C0A4B" w:rsidRDefault="006C0A4B" w:rsidP="006C0A4B"/>
        </w:tc>
        <w:tc>
          <w:tcPr>
            <w:tcW w:w="498" w:type="dxa"/>
          </w:tcPr>
          <w:p w14:paraId="6B8CEF4F" w14:textId="77777777" w:rsidR="006C0A4B" w:rsidRDefault="006C0A4B" w:rsidP="006C0A4B"/>
        </w:tc>
        <w:tc>
          <w:tcPr>
            <w:tcW w:w="498" w:type="dxa"/>
          </w:tcPr>
          <w:p w14:paraId="18C58C15" w14:textId="77777777" w:rsidR="006C0A4B" w:rsidRDefault="006C0A4B" w:rsidP="006C0A4B"/>
        </w:tc>
        <w:tc>
          <w:tcPr>
            <w:tcW w:w="498" w:type="dxa"/>
          </w:tcPr>
          <w:p w14:paraId="6D9BC822" w14:textId="77777777" w:rsidR="006C0A4B" w:rsidRDefault="006C0A4B" w:rsidP="006C0A4B"/>
        </w:tc>
        <w:tc>
          <w:tcPr>
            <w:tcW w:w="498" w:type="dxa"/>
          </w:tcPr>
          <w:p w14:paraId="0C59BDA3" w14:textId="77777777" w:rsidR="006C0A4B" w:rsidRDefault="006C0A4B" w:rsidP="006C0A4B"/>
        </w:tc>
      </w:tr>
      <w:tr w:rsidR="006C0A4B" w14:paraId="20C9C661" w14:textId="77777777" w:rsidTr="006C0A4B">
        <w:tc>
          <w:tcPr>
            <w:tcW w:w="6028" w:type="dxa"/>
          </w:tcPr>
          <w:p w14:paraId="6EAD70A1" w14:textId="77777777" w:rsidR="006C0A4B" w:rsidRDefault="006C0A4B" w:rsidP="006C0A4B">
            <w:r w:rsidRPr="00D24B3F">
              <w:t>EQ 3  IMPLEMENTATION EFFECTIVENESS</w:t>
            </w:r>
          </w:p>
        </w:tc>
        <w:tc>
          <w:tcPr>
            <w:tcW w:w="498" w:type="dxa"/>
          </w:tcPr>
          <w:p w14:paraId="0EC6B678" w14:textId="77777777" w:rsidR="006C0A4B" w:rsidRDefault="006C0A4B" w:rsidP="006C0A4B"/>
        </w:tc>
        <w:tc>
          <w:tcPr>
            <w:tcW w:w="498" w:type="dxa"/>
          </w:tcPr>
          <w:p w14:paraId="7852D54F" w14:textId="77777777" w:rsidR="006C0A4B" w:rsidRDefault="006C0A4B" w:rsidP="006C0A4B"/>
        </w:tc>
        <w:tc>
          <w:tcPr>
            <w:tcW w:w="498" w:type="dxa"/>
          </w:tcPr>
          <w:p w14:paraId="1CCE2EFD" w14:textId="77777777" w:rsidR="006C0A4B" w:rsidRDefault="006C0A4B" w:rsidP="006C0A4B"/>
        </w:tc>
        <w:tc>
          <w:tcPr>
            <w:tcW w:w="498" w:type="dxa"/>
          </w:tcPr>
          <w:p w14:paraId="2CED59FB" w14:textId="77777777" w:rsidR="006C0A4B" w:rsidRDefault="006C0A4B" w:rsidP="006C0A4B"/>
        </w:tc>
        <w:tc>
          <w:tcPr>
            <w:tcW w:w="498" w:type="dxa"/>
          </w:tcPr>
          <w:p w14:paraId="28A1C342" w14:textId="77777777" w:rsidR="006C0A4B" w:rsidRDefault="006C0A4B" w:rsidP="006C0A4B"/>
        </w:tc>
        <w:tc>
          <w:tcPr>
            <w:tcW w:w="498" w:type="dxa"/>
          </w:tcPr>
          <w:p w14:paraId="60CC82FB" w14:textId="77777777" w:rsidR="006C0A4B" w:rsidRDefault="006C0A4B" w:rsidP="006C0A4B"/>
        </w:tc>
      </w:tr>
      <w:tr w:rsidR="006C0A4B" w14:paraId="362F5AC3" w14:textId="77777777" w:rsidTr="006C0A4B">
        <w:tc>
          <w:tcPr>
            <w:tcW w:w="6028" w:type="dxa"/>
          </w:tcPr>
          <w:p w14:paraId="77CC3FFE" w14:textId="77777777" w:rsidR="006C0A4B" w:rsidRDefault="006C0A4B" w:rsidP="006C0A4B">
            <w:r w:rsidRPr="00D24B3F">
              <w:t>3.1.   To what extent is</w:t>
            </w:r>
            <w:r>
              <w:t xml:space="preserve"> the Project being </w:t>
            </w:r>
            <w:r w:rsidRPr="00D24B3F">
              <w:t>effective in promoting its mandate,</w:t>
            </w:r>
            <w:r>
              <w:t xml:space="preserve"> in supporting BRG? </w:t>
            </w:r>
            <w:r w:rsidRPr="00D24B3F">
              <w:t xml:space="preserve"> </w:t>
            </w:r>
            <w:r>
              <w:t xml:space="preserve"> </w:t>
            </w:r>
            <w:r w:rsidRPr="00D24B3F">
              <w:t xml:space="preserve"> </w:t>
            </w:r>
            <w:r>
              <w:t xml:space="preserve"> </w:t>
            </w:r>
          </w:p>
        </w:tc>
        <w:tc>
          <w:tcPr>
            <w:tcW w:w="498" w:type="dxa"/>
          </w:tcPr>
          <w:p w14:paraId="71BFDB6C" w14:textId="77777777" w:rsidR="006C0A4B" w:rsidRDefault="006C0A4B" w:rsidP="006C0A4B">
            <w:r>
              <w:t>x</w:t>
            </w:r>
          </w:p>
        </w:tc>
        <w:tc>
          <w:tcPr>
            <w:tcW w:w="498" w:type="dxa"/>
          </w:tcPr>
          <w:p w14:paraId="6851AAA7" w14:textId="77777777" w:rsidR="006C0A4B" w:rsidRDefault="006C0A4B" w:rsidP="006C0A4B">
            <w:r>
              <w:t>x</w:t>
            </w:r>
          </w:p>
        </w:tc>
        <w:tc>
          <w:tcPr>
            <w:tcW w:w="498" w:type="dxa"/>
          </w:tcPr>
          <w:p w14:paraId="200CC294" w14:textId="77777777" w:rsidR="006C0A4B" w:rsidRDefault="006C0A4B" w:rsidP="006C0A4B">
            <w:r>
              <w:t>x</w:t>
            </w:r>
          </w:p>
        </w:tc>
        <w:tc>
          <w:tcPr>
            <w:tcW w:w="498" w:type="dxa"/>
          </w:tcPr>
          <w:p w14:paraId="24916F8D" w14:textId="77777777" w:rsidR="006C0A4B" w:rsidRDefault="006C0A4B" w:rsidP="006C0A4B">
            <w:r>
              <w:t>x</w:t>
            </w:r>
          </w:p>
        </w:tc>
        <w:tc>
          <w:tcPr>
            <w:tcW w:w="498" w:type="dxa"/>
          </w:tcPr>
          <w:p w14:paraId="7A712825" w14:textId="77777777" w:rsidR="006C0A4B" w:rsidRDefault="006C0A4B" w:rsidP="006C0A4B">
            <w:r>
              <w:t>x</w:t>
            </w:r>
          </w:p>
        </w:tc>
        <w:tc>
          <w:tcPr>
            <w:tcW w:w="498" w:type="dxa"/>
          </w:tcPr>
          <w:p w14:paraId="621E0EEC" w14:textId="77777777" w:rsidR="006C0A4B" w:rsidRDefault="006C0A4B" w:rsidP="006C0A4B">
            <w:r>
              <w:t>x</w:t>
            </w:r>
          </w:p>
        </w:tc>
      </w:tr>
      <w:tr w:rsidR="006C0A4B" w14:paraId="7383E291" w14:textId="77777777" w:rsidTr="006C0A4B">
        <w:tc>
          <w:tcPr>
            <w:tcW w:w="6028" w:type="dxa"/>
          </w:tcPr>
          <w:p w14:paraId="51B9BB50" w14:textId="77777777" w:rsidR="006C0A4B" w:rsidRDefault="006C0A4B" w:rsidP="006C0A4B">
            <w:r w:rsidRPr="00D24B3F">
              <w:t xml:space="preserve">3.2. To what extent has the project been making sufficient progress towards its planned results? Will the project be likely to achieve </w:t>
            </w:r>
            <w:r>
              <w:t xml:space="preserve">its </w:t>
            </w:r>
            <w:r w:rsidRPr="00D24B3F">
              <w:t xml:space="preserve">agenda goal by the end of the project? </w:t>
            </w:r>
          </w:p>
        </w:tc>
        <w:tc>
          <w:tcPr>
            <w:tcW w:w="498" w:type="dxa"/>
          </w:tcPr>
          <w:p w14:paraId="5D53C90C" w14:textId="77777777" w:rsidR="006C0A4B" w:rsidRDefault="006C0A4B" w:rsidP="006C0A4B">
            <w:r>
              <w:t>x</w:t>
            </w:r>
          </w:p>
        </w:tc>
        <w:tc>
          <w:tcPr>
            <w:tcW w:w="498" w:type="dxa"/>
          </w:tcPr>
          <w:p w14:paraId="7254BB28" w14:textId="77777777" w:rsidR="006C0A4B" w:rsidRDefault="006C0A4B" w:rsidP="006C0A4B">
            <w:r>
              <w:t>x</w:t>
            </w:r>
          </w:p>
        </w:tc>
        <w:tc>
          <w:tcPr>
            <w:tcW w:w="498" w:type="dxa"/>
          </w:tcPr>
          <w:p w14:paraId="379CD9A7" w14:textId="77777777" w:rsidR="006C0A4B" w:rsidRDefault="006C0A4B" w:rsidP="006C0A4B">
            <w:r>
              <w:t>x</w:t>
            </w:r>
          </w:p>
        </w:tc>
        <w:tc>
          <w:tcPr>
            <w:tcW w:w="498" w:type="dxa"/>
          </w:tcPr>
          <w:p w14:paraId="1756B9B5" w14:textId="77777777" w:rsidR="006C0A4B" w:rsidRDefault="006C0A4B" w:rsidP="006C0A4B">
            <w:r>
              <w:t>x</w:t>
            </w:r>
          </w:p>
        </w:tc>
        <w:tc>
          <w:tcPr>
            <w:tcW w:w="498" w:type="dxa"/>
          </w:tcPr>
          <w:p w14:paraId="751F06A7" w14:textId="77777777" w:rsidR="006C0A4B" w:rsidRDefault="006C0A4B" w:rsidP="006C0A4B">
            <w:r>
              <w:t>x</w:t>
            </w:r>
          </w:p>
        </w:tc>
        <w:tc>
          <w:tcPr>
            <w:tcW w:w="498" w:type="dxa"/>
          </w:tcPr>
          <w:p w14:paraId="424F33D2" w14:textId="77777777" w:rsidR="006C0A4B" w:rsidRDefault="006C0A4B" w:rsidP="006C0A4B">
            <w:r>
              <w:t>x</w:t>
            </w:r>
          </w:p>
        </w:tc>
      </w:tr>
      <w:tr w:rsidR="006C0A4B" w14:paraId="4C5C44B4" w14:textId="77777777" w:rsidTr="006C0A4B">
        <w:tc>
          <w:tcPr>
            <w:tcW w:w="6028" w:type="dxa"/>
          </w:tcPr>
          <w:p w14:paraId="2597C85E" w14:textId="77777777" w:rsidR="006C0A4B" w:rsidRDefault="006C0A4B" w:rsidP="006C0A4B">
            <w:r w:rsidRPr="00D24B3F">
              <w:t>3.</w:t>
            </w:r>
            <w:r>
              <w:t>3</w:t>
            </w:r>
            <w:r w:rsidRPr="00D24B3F">
              <w:t xml:space="preserve">. To what </w:t>
            </w:r>
            <w:r>
              <w:t xml:space="preserve">extent has the support </w:t>
            </w:r>
            <w:r w:rsidRPr="00D24B3F">
              <w:t>effectively mainstream</w:t>
            </w:r>
            <w:r>
              <w:t>ed</w:t>
            </w:r>
            <w:r w:rsidRPr="00D24B3F">
              <w:t xml:space="preserve"> gender in project strategies and interventions? Could you please elaborate?</w:t>
            </w:r>
          </w:p>
        </w:tc>
        <w:tc>
          <w:tcPr>
            <w:tcW w:w="498" w:type="dxa"/>
          </w:tcPr>
          <w:p w14:paraId="4AEE8302" w14:textId="77777777" w:rsidR="006C0A4B" w:rsidRDefault="006C0A4B" w:rsidP="006C0A4B">
            <w:r>
              <w:t>x</w:t>
            </w:r>
          </w:p>
        </w:tc>
        <w:tc>
          <w:tcPr>
            <w:tcW w:w="498" w:type="dxa"/>
          </w:tcPr>
          <w:p w14:paraId="3B24BACB" w14:textId="77777777" w:rsidR="006C0A4B" w:rsidRDefault="006C0A4B" w:rsidP="006C0A4B">
            <w:r>
              <w:t>x</w:t>
            </w:r>
          </w:p>
        </w:tc>
        <w:tc>
          <w:tcPr>
            <w:tcW w:w="498" w:type="dxa"/>
          </w:tcPr>
          <w:p w14:paraId="0B1EDA23" w14:textId="77777777" w:rsidR="006C0A4B" w:rsidRDefault="006C0A4B" w:rsidP="006C0A4B">
            <w:r>
              <w:t>x</w:t>
            </w:r>
          </w:p>
        </w:tc>
        <w:tc>
          <w:tcPr>
            <w:tcW w:w="498" w:type="dxa"/>
          </w:tcPr>
          <w:p w14:paraId="39A322C5" w14:textId="77777777" w:rsidR="006C0A4B" w:rsidRDefault="006C0A4B" w:rsidP="006C0A4B"/>
        </w:tc>
        <w:tc>
          <w:tcPr>
            <w:tcW w:w="498" w:type="dxa"/>
          </w:tcPr>
          <w:p w14:paraId="42799FEE" w14:textId="77777777" w:rsidR="006C0A4B" w:rsidRDefault="006C0A4B" w:rsidP="006C0A4B">
            <w:r>
              <w:t>x</w:t>
            </w:r>
          </w:p>
        </w:tc>
        <w:tc>
          <w:tcPr>
            <w:tcW w:w="498" w:type="dxa"/>
          </w:tcPr>
          <w:p w14:paraId="4EF9486C" w14:textId="77777777" w:rsidR="006C0A4B" w:rsidRDefault="006C0A4B" w:rsidP="006C0A4B">
            <w:r>
              <w:t>x</w:t>
            </w:r>
          </w:p>
        </w:tc>
      </w:tr>
      <w:tr w:rsidR="006C0A4B" w14:paraId="0C49D797" w14:textId="77777777" w:rsidTr="006C0A4B">
        <w:tc>
          <w:tcPr>
            <w:tcW w:w="6028" w:type="dxa"/>
          </w:tcPr>
          <w:p w14:paraId="0AC495B2" w14:textId="77777777" w:rsidR="006C0A4B" w:rsidRPr="00526CCF" w:rsidRDefault="006C0A4B" w:rsidP="006C0A4B">
            <w:pPr>
              <w:pStyle w:val="MediumGrid21"/>
              <w:numPr>
                <w:ilvl w:val="1"/>
                <w:numId w:val="24"/>
              </w:numPr>
              <w:spacing w:before="120"/>
              <w:rPr>
                <w:rStyle w:val="SubtleEmphasis"/>
                <w:rFonts w:asciiTheme="minorHAnsi" w:hAnsiTheme="minorHAnsi" w:cstheme="minorHAnsi"/>
                <w:i w:val="0"/>
                <w:color w:val="000000" w:themeColor="text1"/>
                <w:lang w:val="en-US"/>
              </w:rPr>
            </w:pPr>
            <w:r w:rsidRPr="00526CCF">
              <w:rPr>
                <w:rFonts w:asciiTheme="minorHAnsi" w:hAnsiTheme="minorHAnsi" w:cstheme="minorHAnsi"/>
                <w:iCs/>
                <w:color w:val="000000" w:themeColor="text1"/>
                <w:lang w:val="en-US"/>
              </w:rPr>
              <w:lastRenderedPageBreak/>
              <w:t>Has the project properly addressed crosscutting issues (like gender)? How might we do things better in the future?</w:t>
            </w:r>
          </w:p>
          <w:p w14:paraId="32AF7B26" w14:textId="77777777" w:rsidR="006C0A4B" w:rsidRPr="00526CCF" w:rsidRDefault="006C0A4B" w:rsidP="006C0A4B">
            <w:pPr>
              <w:rPr>
                <w:rFonts w:cstheme="minorHAnsi"/>
              </w:rPr>
            </w:pPr>
          </w:p>
        </w:tc>
        <w:tc>
          <w:tcPr>
            <w:tcW w:w="498" w:type="dxa"/>
          </w:tcPr>
          <w:p w14:paraId="11141E19" w14:textId="77777777" w:rsidR="006C0A4B" w:rsidRDefault="006C0A4B" w:rsidP="006C0A4B">
            <w:r>
              <w:t>x</w:t>
            </w:r>
          </w:p>
        </w:tc>
        <w:tc>
          <w:tcPr>
            <w:tcW w:w="498" w:type="dxa"/>
          </w:tcPr>
          <w:p w14:paraId="4BD36EE3" w14:textId="77777777" w:rsidR="006C0A4B" w:rsidRDefault="006C0A4B" w:rsidP="006C0A4B">
            <w:r>
              <w:t>x</w:t>
            </w:r>
          </w:p>
        </w:tc>
        <w:tc>
          <w:tcPr>
            <w:tcW w:w="498" w:type="dxa"/>
          </w:tcPr>
          <w:p w14:paraId="0951D116" w14:textId="77777777" w:rsidR="006C0A4B" w:rsidRDefault="006C0A4B" w:rsidP="006C0A4B">
            <w:r>
              <w:t>x</w:t>
            </w:r>
          </w:p>
        </w:tc>
        <w:tc>
          <w:tcPr>
            <w:tcW w:w="498" w:type="dxa"/>
          </w:tcPr>
          <w:p w14:paraId="22CEEB92" w14:textId="77777777" w:rsidR="006C0A4B" w:rsidRDefault="006C0A4B" w:rsidP="006C0A4B"/>
        </w:tc>
        <w:tc>
          <w:tcPr>
            <w:tcW w:w="498" w:type="dxa"/>
          </w:tcPr>
          <w:p w14:paraId="77300AD1" w14:textId="77777777" w:rsidR="006C0A4B" w:rsidRDefault="006C0A4B" w:rsidP="006C0A4B"/>
        </w:tc>
        <w:tc>
          <w:tcPr>
            <w:tcW w:w="498" w:type="dxa"/>
          </w:tcPr>
          <w:p w14:paraId="091BD869" w14:textId="77777777" w:rsidR="006C0A4B" w:rsidRDefault="006C0A4B" w:rsidP="006C0A4B"/>
        </w:tc>
      </w:tr>
      <w:tr w:rsidR="006C0A4B" w14:paraId="70DECEE3" w14:textId="77777777" w:rsidTr="006C0A4B">
        <w:tc>
          <w:tcPr>
            <w:tcW w:w="6028" w:type="dxa"/>
          </w:tcPr>
          <w:p w14:paraId="07E06C1D" w14:textId="77777777" w:rsidR="006C0A4B" w:rsidRPr="00526CCF" w:rsidRDefault="006C0A4B" w:rsidP="006C0A4B">
            <w:pPr>
              <w:rPr>
                <w:rFonts w:cstheme="minorHAnsi"/>
              </w:rPr>
            </w:pPr>
            <w:r w:rsidRPr="00526CCF">
              <w:rPr>
                <w:rFonts w:cstheme="minorHAnsi"/>
                <w:iCs/>
                <w:color w:val="000000" w:themeColor="text1"/>
                <w:lang w:val="en-US"/>
              </w:rPr>
              <w:t>3.5 What have been the benefits of the projects on individuals (men and women), institutions and the enabling environment?</w:t>
            </w:r>
          </w:p>
        </w:tc>
        <w:tc>
          <w:tcPr>
            <w:tcW w:w="498" w:type="dxa"/>
          </w:tcPr>
          <w:p w14:paraId="47A0471D" w14:textId="77777777" w:rsidR="006C0A4B" w:rsidRDefault="006C0A4B" w:rsidP="006C0A4B">
            <w:r>
              <w:t>x</w:t>
            </w:r>
          </w:p>
        </w:tc>
        <w:tc>
          <w:tcPr>
            <w:tcW w:w="498" w:type="dxa"/>
          </w:tcPr>
          <w:p w14:paraId="6AD4EE50" w14:textId="77777777" w:rsidR="006C0A4B" w:rsidRDefault="006C0A4B" w:rsidP="006C0A4B">
            <w:r>
              <w:t>x</w:t>
            </w:r>
          </w:p>
        </w:tc>
        <w:tc>
          <w:tcPr>
            <w:tcW w:w="498" w:type="dxa"/>
          </w:tcPr>
          <w:p w14:paraId="05C7578C" w14:textId="77777777" w:rsidR="006C0A4B" w:rsidRDefault="006C0A4B" w:rsidP="006C0A4B">
            <w:r>
              <w:t>x</w:t>
            </w:r>
          </w:p>
        </w:tc>
        <w:tc>
          <w:tcPr>
            <w:tcW w:w="498" w:type="dxa"/>
          </w:tcPr>
          <w:p w14:paraId="4B76394D" w14:textId="77777777" w:rsidR="006C0A4B" w:rsidRDefault="006C0A4B" w:rsidP="006C0A4B"/>
        </w:tc>
        <w:tc>
          <w:tcPr>
            <w:tcW w:w="498" w:type="dxa"/>
          </w:tcPr>
          <w:p w14:paraId="11811598" w14:textId="77777777" w:rsidR="006C0A4B" w:rsidRDefault="006C0A4B" w:rsidP="006C0A4B"/>
        </w:tc>
        <w:tc>
          <w:tcPr>
            <w:tcW w:w="498" w:type="dxa"/>
          </w:tcPr>
          <w:p w14:paraId="20261ACC" w14:textId="77777777" w:rsidR="006C0A4B" w:rsidRDefault="006C0A4B" w:rsidP="006C0A4B"/>
        </w:tc>
      </w:tr>
      <w:tr w:rsidR="006C0A4B" w14:paraId="6618B50A" w14:textId="77777777" w:rsidTr="006C0A4B">
        <w:tc>
          <w:tcPr>
            <w:tcW w:w="6028" w:type="dxa"/>
          </w:tcPr>
          <w:p w14:paraId="2EB3BEF2" w14:textId="77777777" w:rsidR="006C0A4B" w:rsidRPr="00560219" w:rsidRDefault="006C0A4B" w:rsidP="006C0A4B">
            <w:pPr>
              <w:pStyle w:val="MediumGrid21"/>
              <w:numPr>
                <w:ilvl w:val="1"/>
                <w:numId w:val="24"/>
              </w:numPr>
              <w:spacing w:before="120"/>
              <w:rPr>
                <w:rFonts w:asciiTheme="minorHAnsi" w:hAnsiTheme="minorHAnsi" w:cstheme="minorHAnsi"/>
                <w:iCs/>
                <w:color w:val="000000" w:themeColor="text1"/>
                <w:lang w:val="en-US"/>
              </w:rPr>
            </w:pPr>
            <w:r w:rsidRPr="00526CCF">
              <w:rPr>
                <w:rFonts w:asciiTheme="minorHAnsi" w:hAnsiTheme="minorHAnsi" w:cstheme="minorHAnsi"/>
                <w:iCs/>
                <w:color w:val="000000" w:themeColor="text1"/>
                <w:lang w:val="en-US"/>
              </w:rPr>
              <w:t>Have the right things been done with the right people and partners? (Has the partnership strategy been appropriate and effective?)</w:t>
            </w:r>
          </w:p>
        </w:tc>
        <w:tc>
          <w:tcPr>
            <w:tcW w:w="498" w:type="dxa"/>
          </w:tcPr>
          <w:p w14:paraId="40B113B8" w14:textId="77777777" w:rsidR="006C0A4B" w:rsidRDefault="006C0A4B" w:rsidP="006C0A4B">
            <w:r>
              <w:t>x</w:t>
            </w:r>
          </w:p>
        </w:tc>
        <w:tc>
          <w:tcPr>
            <w:tcW w:w="498" w:type="dxa"/>
          </w:tcPr>
          <w:p w14:paraId="644E5075" w14:textId="77777777" w:rsidR="006C0A4B" w:rsidRDefault="006C0A4B" w:rsidP="006C0A4B">
            <w:r>
              <w:t>x</w:t>
            </w:r>
          </w:p>
        </w:tc>
        <w:tc>
          <w:tcPr>
            <w:tcW w:w="498" w:type="dxa"/>
          </w:tcPr>
          <w:p w14:paraId="2B7197CF" w14:textId="77777777" w:rsidR="006C0A4B" w:rsidRDefault="006C0A4B" w:rsidP="006C0A4B">
            <w:r>
              <w:t>x</w:t>
            </w:r>
          </w:p>
        </w:tc>
        <w:tc>
          <w:tcPr>
            <w:tcW w:w="498" w:type="dxa"/>
          </w:tcPr>
          <w:p w14:paraId="3FD9AAFA" w14:textId="77777777" w:rsidR="006C0A4B" w:rsidRDefault="006C0A4B" w:rsidP="006C0A4B">
            <w:r>
              <w:t>x</w:t>
            </w:r>
          </w:p>
        </w:tc>
        <w:tc>
          <w:tcPr>
            <w:tcW w:w="498" w:type="dxa"/>
          </w:tcPr>
          <w:p w14:paraId="1C811D4D" w14:textId="77777777" w:rsidR="006C0A4B" w:rsidRDefault="006C0A4B" w:rsidP="006C0A4B"/>
        </w:tc>
        <w:tc>
          <w:tcPr>
            <w:tcW w:w="498" w:type="dxa"/>
          </w:tcPr>
          <w:p w14:paraId="204DDCB4" w14:textId="77777777" w:rsidR="006C0A4B" w:rsidRDefault="006C0A4B" w:rsidP="006C0A4B"/>
        </w:tc>
      </w:tr>
      <w:tr w:rsidR="006C0A4B" w14:paraId="16E8542B" w14:textId="77777777" w:rsidTr="006C0A4B">
        <w:tc>
          <w:tcPr>
            <w:tcW w:w="6028" w:type="dxa"/>
          </w:tcPr>
          <w:p w14:paraId="5CE61DB1" w14:textId="77777777" w:rsidR="006C0A4B" w:rsidRDefault="006C0A4B" w:rsidP="006C0A4B">
            <w:r w:rsidRPr="00D24B3F">
              <w:t>EQ 4 EFFECTIVENESS OF MANAGEMENT ARRANGEMENT</w:t>
            </w:r>
          </w:p>
        </w:tc>
        <w:tc>
          <w:tcPr>
            <w:tcW w:w="498" w:type="dxa"/>
          </w:tcPr>
          <w:p w14:paraId="030E0012" w14:textId="77777777" w:rsidR="006C0A4B" w:rsidRDefault="006C0A4B" w:rsidP="006C0A4B"/>
        </w:tc>
        <w:tc>
          <w:tcPr>
            <w:tcW w:w="498" w:type="dxa"/>
          </w:tcPr>
          <w:p w14:paraId="4B25742D" w14:textId="77777777" w:rsidR="006C0A4B" w:rsidRDefault="006C0A4B" w:rsidP="006C0A4B"/>
        </w:tc>
        <w:tc>
          <w:tcPr>
            <w:tcW w:w="498" w:type="dxa"/>
          </w:tcPr>
          <w:p w14:paraId="76E6C0AF" w14:textId="77777777" w:rsidR="006C0A4B" w:rsidRDefault="006C0A4B" w:rsidP="006C0A4B"/>
        </w:tc>
        <w:tc>
          <w:tcPr>
            <w:tcW w:w="498" w:type="dxa"/>
          </w:tcPr>
          <w:p w14:paraId="0D7ADE5B" w14:textId="77777777" w:rsidR="006C0A4B" w:rsidRDefault="006C0A4B" w:rsidP="006C0A4B"/>
        </w:tc>
        <w:tc>
          <w:tcPr>
            <w:tcW w:w="498" w:type="dxa"/>
          </w:tcPr>
          <w:p w14:paraId="3DB10860" w14:textId="77777777" w:rsidR="006C0A4B" w:rsidRDefault="006C0A4B" w:rsidP="006C0A4B"/>
        </w:tc>
        <w:tc>
          <w:tcPr>
            <w:tcW w:w="498" w:type="dxa"/>
          </w:tcPr>
          <w:p w14:paraId="4B9B1102" w14:textId="77777777" w:rsidR="006C0A4B" w:rsidRDefault="006C0A4B" w:rsidP="006C0A4B"/>
        </w:tc>
      </w:tr>
      <w:tr w:rsidR="006C0A4B" w14:paraId="3BF9D900" w14:textId="77777777" w:rsidTr="006C0A4B">
        <w:tc>
          <w:tcPr>
            <w:tcW w:w="6028" w:type="dxa"/>
          </w:tcPr>
          <w:p w14:paraId="69F1B250" w14:textId="77777777" w:rsidR="006C0A4B" w:rsidRDefault="006C0A4B" w:rsidP="006C0A4B">
            <w:r w:rsidRPr="00D24B3F">
              <w:t xml:space="preserve">4.1. Do you think cooperation between project staff and </w:t>
            </w:r>
            <w:r>
              <w:t xml:space="preserve">UNDP </w:t>
            </w:r>
            <w:r w:rsidRPr="00D24B3F">
              <w:t xml:space="preserve"> officials was effective</w:t>
            </w:r>
            <w:r>
              <w:t xml:space="preserve"> </w:t>
            </w:r>
            <w:r w:rsidRPr="00D24B3F">
              <w:t xml:space="preserve"> What about communication between </w:t>
            </w:r>
            <w:r>
              <w:t xml:space="preserve">UNDP </w:t>
            </w:r>
            <w:r w:rsidRPr="00D24B3F">
              <w:t>and the donor, Was it effective?</w:t>
            </w:r>
          </w:p>
        </w:tc>
        <w:tc>
          <w:tcPr>
            <w:tcW w:w="498" w:type="dxa"/>
          </w:tcPr>
          <w:p w14:paraId="785285D8" w14:textId="77777777" w:rsidR="006C0A4B" w:rsidRDefault="006C0A4B" w:rsidP="006C0A4B">
            <w:r>
              <w:t>x</w:t>
            </w:r>
          </w:p>
        </w:tc>
        <w:tc>
          <w:tcPr>
            <w:tcW w:w="498" w:type="dxa"/>
          </w:tcPr>
          <w:p w14:paraId="10E5A70F" w14:textId="77777777" w:rsidR="006C0A4B" w:rsidRDefault="006C0A4B" w:rsidP="006C0A4B">
            <w:r>
              <w:t>x</w:t>
            </w:r>
          </w:p>
        </w:tc>
        <w:tc>
          <w:tcPr>
            <w:tcW w:w="498" w:type="dxa"/>
          </w:tcPr>
          <w:p w14:paraId="55469A07" w14:textId="77777777" w:rsidR="006C0A4B" w:rsidRDefault="006C0A4B" w:rsidP="006C0A4B">
            <w:r>
              <w:t>x</w:t>
            </w:r>
          </w:p>
        </w:tc>
        <w:tc>
          <w:tcPr>
            <w:tcW w:w="498" w:type="dxa"/>
          </w:tcPr>
          <w:p w14:paraId="108FE57F" w14:textId="77777777" w:rsidR="006C0A4B" w:rsidRDefault="006C0A4B" w:rsidP="006C0A4B">
            <w:r>
              <w:t>x</w:t>
            </w:r>
          </w:p>
        </w:tc>
        <w:tc>
          <w:tcPr>
            <w:tcW w:w="498" w:type="dxa"/>
          </w:tcPr>
          <w:p w14:paraId="7B6402A3" w14:textId="77777777" w:rsidR="006C0A4B" w:rsidRDefault="006C0A4B" w:rsidP="006C0A4B">
            <w:r>
              <w:t>x</w:t>
            </w:r>
          </w:p>
        </w:tc>
        <w:tc>
          <w:tcPr>
            <w:tcW w:w="498" w:type="dxa"/>
          </w:tcPr>
          <w:p w14:paraId="46C62EAF" w14:textId="77777777" w:rsidR="006C0A4B" w:rsidRDefault="006C0A4B" w:rsidP="006C0A4B">
            <w:r>
              <w:t>x</w:t>
            </w:r>
          </w:p>
        </w:tc>
      </w:tr>
      <w:tr w:rsidR="006C0A4B" w14:paraId="57CED8F1" w14:textId="77777777" w:rsidTr="006C0A4B">
        <w:tc>
          <w:tcPr>
            <w:tcW w:w="6028" w:type="dxa"/>
          </w:tcPr>
          <w:p w14:paraId="7B069E47" w14:textId="77777777" w:rsidR="006C0A4B" w:rsidRDefault="006C0A4B" w:rsidP="006C0A4B">
            <w:r w:rsidRPr="00D24B3F">
              <w:t>4.1.2. Do you think Management capacities were adequate for the achievement of the project’s aims?</w:t>
            </w:r>
          </w:p>
        </w:tc>
        <w:tc>
          <w:tcPr>
            <w:tcW w:w="498" w:type="dxa"/>
          </w:tcPr>
          <w:p w14:paraId="47F2FC5C" w14:textId="77777777" w:rsidR="006C0A4B" w:rsidRDefault="006C0A4B" w:rsidP="006C0A4B">
            <w:r>
              <w:t>x</w:t>
            </w:r>
          </w:p>
        </w:tc>
        <w:tc>
          <w:tcPr>
            <w:tcW w:w="498" w:type="dxa"/>
          </w:tcPr>
          <w:p w14:paraId="4FC824EC" w14:textId="77777777" w:rsidR="006C0A4B" w:rsidRDefault="006C0A4B" w:rsidP="006C0A4B">
            <w:r>
              <w:t>x</w:t>
            </w:r>
          </w:p>
        </w:tc>
        <w:tc>
          <w:tcPr>
            <w:tcW w:w="498" w:type="dxa"/>
          </w:tcPr>
          <w:p w14:paraId="4C3D40DC" w14:textId="77777777" w:rsidR="006C0A4B" w:rsidRDefault="006C0A4B" w:rsidP="006C0A4B">
            <w:r>
              <w:t>x</w:t>
            </w:r>
          </w:p>
        </w:tc>
        <w:tc>
          <w:tcPr>
            <w:tcW w:w="498" w:type="dxa"/>
          </w:tcPr>
          <w:p w14:paraId="64EE0A91" w14:textId="77777777" w:rsidR="006C0A4B" w:rsidRDefault="006C0A4B" w:rsidP="006C0A4B">
            <w:r>
              <w:t>x</w:t>
            </w:r>
          </w:p>
        </w:tc>
        <w:tc>
          <w:tcPr>
            <w:tcW w:w="498" w:type="dxa"/>
          </w:tcPr>
          <w:p w14:paraId="1B1843EE" w14:textId="77777777" w:rsidR="006C0A4B" w:rsidRDefault="006C0A4B" w:rsidP="006C0A4B">
            <w:r>
              <w:t>x</w:t>
            </w:r>
          </w:p>
        </w:tc>
        <w:tc>
          <w:tcPr>
            <w:tcW w:w="498" w:type="dxa"/>
          </w:tcPr>
          <w:p w14:paraId="0CF2C07B" w14:textId="77777777" w:rsidR="006C0A4B" w:rsidRDefault="006C0A4B" w:rsidP="006C0A4B">
            <w:r>
              <w:t>x</w:t>
            </w:r>
          </w:p>
        </w:tc>
      </w:tr>
      <w:tr w:rsidR="006C0A4B" w14:paraId="189DEED2" w14:textId="77777777" w:rsidTr="006C0A4B">
        <w:tc>
          <w:tcPr>
            <w:tcW w:w="6028" w:type="dxa"/>
          </w:tcPr>
          <w:p w14:paraId="35658079" w14:textId="77777777" w:rsidR="006C0A4B" w:rsidRDefault="006C0A4B" w:rsidP="006C0A4B">
            <w:r w:rsidRPr="00D24B3F">
              <w:t>4.2. To what extent are</w:t>
            </w:r>
            <w:r>
              <w:t xml:space="preserve"> the effectiveness </w:t>
            </w:r>
            <w:r w:rsidRPr="00D24B3F">
              <w:t xml:space="preserve"> </w:t>
            </w:r>
            <w:r>
              <w:t xml:space="preserve"> project’s  governance structures  </w:t>
            </w:r>
            <w:r w:rsidRPr="00D24B3F">
              <w:t xml:space="preserve"> to achieve</w:t>
            </w:r>
            <w:r>
              <w:t xml:space="preserve"> the project goal</w:t>
            </w:r>
            <w:r w:rsidRPr="00D24B3F">
              <w:t>?</w:t>
            </w:r>
          </w:p>
        </w:tc>
        <w:tc>
          <w:tcPr>
            <w:tcW w:w="498" w:type="dxa"/>
          </w:tcPr>
          <w:p w14:paraId="11FE8384" w14:textId="77777777" w:rsidR="006C0A4B" w:rsidRDefault="006C0A4B" w:rsidP="006C0A4B">
            <w:r>
              <w:t>x</w:t>
            </w:r>
          </w:p>
        </w:tc>
        <w:tc>
          <w:tcPr>
            <w:tcW w:w="498" w:type="dxa"/>
          </w:tcPr>
          <w:p w14:paraId="6C082575" w14:textId="77777777" w:rsidR="006C0A4B" w:rsidRDefault="006C0A4B" w:rsidP="006C0A4B">
            <w:r>
              <w:t>x</w:t>
            </w:r>
          </w:p>
        </w:tc>
        <w:tc>
          <w:tcPr>
            <w:tcW w:w="498" w:type="dxa"/>
          </w:tcPr>
          <w:p w14:paraId="0F91F6CA" w14:textId="77777777" w:rsidR="006C0A4B" w:rsidRDefault="006C0A4B" w:rsidP="006C0A4B">
            <w:r>
              <w:t>x</w:t>
            </w:r>
          </w:p>
        </w:tc>
        <w:tc>
          <w:tcPr>
            <w:tcW w:w="498" w:type="dxa"/>
          </w:tcPr>
          <w:p w14:paraId="6DB54B78" w14:textId="77777777" w:rsidR="006C0A4B" w:rsidRDefault="006C0A4B" w:rsidP="006C0A4B">
            <w:r>
              <w:t>x</w:t>
            </w:r>
          </w:p>
        </w:tc>
        <w:tc>
          <w:tcPr>
            <w:tcW w:w="498" w:type="dxa"/>
          </w:tcPr>
          <w:p w14:paraId="5F1D1B40" w14:textId="77777777" w:rsidR="006C0A4B" w:rsidRDefault="006C0A4B" w:rsidP="006C0A4B"/>
        </w:tc>
        <w:tc>
          <w:tcPr>
            <w:tcW w:w="498" w:type="dxa"/>
          </w:tcPr>
          <w:p w14:paraId="7AAB4C60" w14:textId="77777777" w:rsidR="006C0A4B" w:rsidRDefault="006C0A4B" w:rsidP="006C0A4B"/>
        </w:tc>
      </w:tr>
      <w:tr w:rsidR="006C0A4B" w14:paraId="47A12FD4" w14:textId="77777777" w:rsidTr="006C0A4B">
        <w:tc>
          <w:tcPr>
            <w:tcW w:w="6028" w:type="dxa"/>
          </w:tcPr>
          <w:p w14:paraId="7DDFB026" w14:textId="77777777" w:rsidR="006C0A4B" w:rsidRDefault="006C0A4B" w:rsidP="006C0A4B">
            <w:r>
              <w:t>x</w:t>
            </w:r>
          </w:p>
        </w:tc>
        <w:tc>
          <w:tcPr>
            <w:tcW w:w="498" w:type="dxa"/>
          </w:tcPr>
          <w:p w14:paraId="0975950C" w14:textId="77777777" w:rsidR="006C0A4B" w:rsidRDefault="006C0A4B" w:rsidP="006C0A4B"/>
        </w:tc>
        <w:tc>
          <w:tcPr>
            <w:tcW w:w="498" w:type="dxa"/>
          </w:tcPr>
          <w:p w14:paraId="7EE3AEEB" w14:textId="77777777" w:rsidR="006C0A4B" w:rsidRDefault="006C0A4B" w:rsidP="006C0A4B"/>
        </w:tc>
        <w:tc>
          <w:tcPr>
            <w:tcW w:w="498" w:type="dxa"/>
          </w:tcPr>
          <w:p w14:paraId="7FBA6B19" w14:textId="77777777" w:rsidR="006C0A4B" w:rsidRDefault="006C0A4B" w:rsidP="006C0A4B"/>
        </w:tc>
        <w:tc>
          <w:tcPr>
            <w:tcW w:w="498" w:type="dxa"/>
          </w:tcPr>
          <w:p w14:paraId="2DAB967E" w14:textId="77777777" w:rsidR="006C0A4B" w:rsidRDefault="006C0A4B" w:rsidP="006C0A4B"/>
        </w:tc>
        <w:tc>
          <w:tcPr>
            <w:tcW w:w="498" w:type="dxa"/>
          </w:tcPr>
          <w:p w14:paraId="2AB935B8" w14:textId="77777777" w:rsidR="006C0A4B" w:rsidRDefault="006C0A4B" w:rsidP="006C0A4B"/>
        </w:tc>
        <w:tc>
          <w:tcPr>
            <w:tcW w:w="498" w:type="dxa"/>
          </w:tcPr>
          <w:p w14:paraId="1E4E946F" w14:textId="77777777" w:rsidR="006C0A4B" w:rsidRDefault="006C0A4B" w:rsidP="006C0A4B"/>
        </w:tc>
      </w:tr>
      <w:tr w:rsidR="006C0A4B" w14:paraId="2E15DEEA" w14:textId="77777777" w:rsidTr="006C0A4B">
        <w:tc>
          <w:tcPr>
            <w:tcW w:w="6028" w:type="dxa"/>
          </w:tcPr>
          <w:p w14:paraId="0DB4B920" w14:textId="77777777" w:rsidR="006C0A4B" w:rsidRDefault="006C0A4B" w:rsidP="006C0A4B">
            <w:r w:rsidRPr="00D24B3F">
              <w:t>EQ 5 EFFICIENCY OF RESOURCE USED</w:t>
            </w:r>
          </w:p>
        </w:tc>
        <w:tc>
          <w:tcPr>
            <w:tcW w:w="498" w:type="dxa"/>
          </w:tcPr>
          <w:p w14:paraId="692EC3AF" w14:textId="77777777" w:rsidR="006C0A4B" w:rsidRDefault="006C0A4B" w:rsidP="006C0A4B"/>
        </w:tc>
        <w:tc>
          <w:tcPr>
            <w:tcW w:w="498" w:type="dxa"/>
          </w:tcPr>
          <w:p w14:paraId="42160038" w14:textId="77777777" w:rsidR="006C0A4B" w:rsidRDefault="006C0A4B" w:rsidP="006C0A4B"/>
        </w:tc>
        <w:tc>
          <w:tcPr>
            <w:tcW w:w="498" w:type="dxa"/>
          </w:tcPr>
          <w:p w14:paraId="6113308B" w14:textId="77777777" w:rsidR="006C0A4B" w:rsidRDefault="006C0A4B" w:rsidP="006C0A4B"/>
        </w:tc>
        <w:tc>
          <w:tcPr>
            <w:tcW w:w="498" w:type="dxa"/>
          </w:tcPr>
          <w:p w14:paraId="383A3A49" w14:textId="77777777" w:rsidR="006C0A4B" w:rsidRDefault="006C0A4B" w:rsidP="006C0A4B"/>
        </w:tc>
        <w:tc>
          <w:tcPr>
            <w:tcW w:w="498" w:type="dxa"/>
          </w:tcPr>
          <w:p w14:paraId="2CDACAAD" w14:textId="77777777" w:rsidR="006C0A4B" w:rsidRDefault="006C0A4B" w:rsidP="006C0A4B"/>
        </w:tc>
        <w:tc>
          <w:tcPr>
            <w:tcW w:w="498" w:type="dxa"/>
          </w:tcPr>
          <w:p w14:paraId="609E259D" w14:textId="77777777" w:rsidR="006C0A4B" w:rsidRDefault="006C0A4B" w:rsidP="006C0A4B"/>
        </w:tc>
      </w:tr>
      <w:tr w:rsidR="006C0A4B" w14:paraId="374DEF8E" w14:textId="77777777" w:rsidTr="006C0A4B">
        <w:tc>
          <w:tcPr>
            <w:tcW w:w="6028" w:type="dxa"/>
          </w:tcPr>
          <w:p w14:paraId="1815798C" w14:textId="77777777" w:rsidR="006C0A4B" w:rsidRDefault="006C0A4B" w:rsidP="006C0A4B">
            <w:r>
              <w:t xml:space="preserve">5.1 </w:t>
            </w:r>
            <w:r w:rsidRPr="00D24B3F">
              <w:t xml:space="preserve"> Do you think resources have been used efficiently? Why? Could you please specify by funds, human resources, time and expertise?</w:t>
            </w:r>
          </w:p>
        </w:tc>
        <w:tc>
          <w:tcPr>
            <w:tcW w:w="498" w:type="dxa"/>
          </w:tcPr>
          <w:p w14:paraId="0AE4AEBA" w14:textId="77777777" w:rsidR="006C0A4B" w:rsidRDefault="006C0A4B" w:rsidP="006C0A4B">
            <w:r>
              <w:t>x</w:t>
            </w:r>
          </w:p>
        </w:tc>
        <w:tc>
          <w:tcPr>
            <w:tcW w:w="498" w:type="dxa"/>
          </w:tcPr>
          <w:p w14:paraId="020FD843" w14:textId="77777777" w:rsidR="006C0A4B" w:rsidRDefault="006C0A4B" w:rsidP="006C0A4B">
            <w:r>
              <w:t>x</w:t>
            </w:r>
          </w:p>
        </w:tc>
        <w:tc>
          <w:tcPr>
            <w:tcW w:w="498" w:type="dxa"/>
          </w:tcPr>
          <w:p w14:paraId="34E828C7" w14:textId="77777777" w:rsidR="006C0A4B" w:rsidRDefault="006C0A4B" w:rsidP="006C0A4B">
            <w:r>
              <w:t>x</w:t>
            </w:r>
          </w:p>
        </w:tc>
        <w:tc>
          <w:tcPr>
            <w:tcW w:w="498" w:type="dxa"/>
          </w:tcPr>
          <w:p w14:paraId="49713B1A" w14:textId="77777777" w:rsidR="006C0A4B" w:rsidRDefault="006C0A4B" w:rsidP="006C0A4B">
            <w:r>
              <w:t>x</w:t>
            </w:r>
          </w:p>
        </w:tc>
        <w:tc>
          <w:tcPr>
            <w:tcW w:w="498" w:type="dxa"/>
          </w:tcPr>
          <w:p w14:paraId="17F53900" w14:textId="77777777" w:rsidR="006C0A4B" w:rsidRDefault="006C0A4B" w:rsidP="006C0A4B">
            <w:r>
              <w:t>x</w:t>
            </w:r>
          </w:p>
        </w:tc>
        <w:tc>
          <w:tcPr>
            <w:tcW w:w="498" w:type="dxa"/>
          </w:tcPr>
          <w:p w14:paraId="359885B3" w14:textId="77777777" w:rsidR="006C0A4B" w:rsidRDefault="006C0A4B" w:rsidP="006C0A4B">
            <w:r>
              <w:t>x</w:t>
            </w:r>
          </w:p>
        </w:tc>
      </w:tr>
      <w:tr w:rsidR="006C0A4B" w14:paraId="7B2949A7" w14:textId="77777777" w:rsidTr="006C0A4B">
        <w:tc>
          <w:tcPr>
            <w:tcW w:w="6028" w:type="dxa"/>
          </w:tcPr>
          <w:p w14:paraId="43EBF806" w14:textId="77777777" w:rsidR="006C0A4B" w:rsidRDefault="006C0A4B" w:rsidP="006C0A4B">
            <w:r w:rsidRPr="00D24B3F">
              <w:t>5.2. What is the budget delivery up until now? Is there any specific activity or need you could not cover with the funds? Were specific constraints for budget spending?</w:t>
            </w:r>
          </w:p>
        </w:tc>
        <w:tc>
          <w:tcPr>
            <w:tcW w:w="498" w:type="dxa"/>
          </w:tcPr>
          <w:p w14:paraId="4E96C510" w14:textId="77777777" w:rsidR="006C0A4B" w:rsidRDefault="006C0A4B" w:rsidP="006C0A4B">
            <w:r>
              <w:t>x</w:t>
            </w:r>
          </w:p>
        </w:tc>
        <w:tc>
          <w:tcPr>
            <w:tcW w:w="498" w:type="dxa"/>
          </w:tcPr>
          <w:p w14:paraId="0912CA36" w14:textId="77777777" w:rsidR="006C0A4B" w:rsidRDefault="006C0A4B" w:rsidP="006C0A4B">
            <w:r>
              <w:t>x</w:t>
            </w:r>
          </w:p>
        </w:tc>
        <w:tc>
          <w:tcPr>
            <w:tcW w:w="498" w:type="dxa"/>
          </w:tcPr>
          <w:p w14:paraId="30E43377" w14:textId="77777777" w:rsidR="006C0A4B" w:rsidRDefault="006C0A4B" w:rsidP="006C0A4B">
            <w:r>
              <w:t>x</w:t>
            </w:r>
          </w:p>
        </w:tc>
        <w:tc>
          <w:tcPr>
            <w:tcW w:w="498" w:type="dxa"/>
          </w:tcPr>
          <w:p w14:paraId="3D971866" w14:textId="77777777" w:rsidR="006C0A4B" w:rsidRDefault="006C0A4B" w:rsidP="006C0A4B">
            <w:r>
              <w:t>x</w:t>
            </w:r>
          </w:p>
        </w:tc>
        <w:tc>
          <w:tcPr>
            <w:tcW w:w="498" w:type="dxa"/>
          </w:tcPr>
          <w:p w14:paraId="688FD56C" w14:textId="77777777" w:rsidR="006C0A4B" w:rsidRDefault="006C0A4B" w:rsidP="006C0A4B"/>
        </w:tc>
        <w:tc>
          <w:tcPr>
            <w:tcW w:w="498" w:type="dxa"/>
          </w:tcPr>
          <w:p w14:paraId="70FB7E4D" w14:textId="77777777" w:rsidR="006C0A4B" w:rsidRDefault="006C0A4B" w:rsidP="006C0A4B"/>
        </w:tc>
      </w:tr>
      <w:tr w:rsidR="006C0A4B" w14:paraId="0D3A1374" w14:textId="77777777" w:rsidTr="006C0A4B">
        <w:tc>
          <w:tcPr>
            <w:tcW w:w="6028" w:type="dxa"/>
          </w:tcPr>
          <w:p w14:paraId="79FB8B45" w14:textId="77777777" w:rsidR="006C0A4B" w:rsidRDefault="006C0A4B" w:rsidP="006C0A4B">
            <w:r w:rsidRPr="00D24B3F">
              <w:t>5.3. What type of synergies has been created with other</w:t>
            </w:r>
            <w:r>
              <w:t xml:space="preserve"> </w:t>
            </w:r>
            <w:r w:rsidRPr="00D24B3F">
              <w:t xml:space="preserve"> projects? How would you rate the efficiency of that cooperation? Did Projects have taken into account products, evaluations and lessons learned from previous projects and </w:t>
            </w:r>
            <w:r>
              <w:t xml:space="preserve">UNDP </w:t>
            </w:r>
            <w:r w:rsidRPr="00D24B3F">
              <w:t xml:space="preserve"> initiatives in this field of intervention? Why so?</w:t>
            </w:r>
          </w:p>
        </w:tc>
        <w:tc>
          <w:tcPr>
            <w:tcW w:w="498" w:type="dxa"/>
          </w:tcPr>
          <w:p w14:paraId="421ABCCB" w14:textId="77777777" w:rsidR="006C0A4B" w:rsidRDefault="006C0A4B" w:rsidP="006C0A4B">
            <w:r>
              <w:t>x</w:t>
            </w:r>
          </w:p>
        </w:tc>
        <w:tc>
          <w:tcPr>
            <w:tcW w:w="498" w:type="dxa"/>
          </w:tcPr>
          <w:p w14:paraId="16C992C9" w14:textId="77777777" w:rsidR="006C0A4B" w:rsidRDefault="006C0A4B" w:rsidP="006C0A4B">
            <w:r>
              <w:t>x</w:t>
            </w:r>
          </w:p>
        </w:tc>
        <w:tc>
          <w:tcPr>
            <w:tcW w:w="498" w:type="dxa"/>
          </w:tcPr>
          <w:p w14:paraId="4E10F718" w14:textId="77777777" w:rsidR="006C0A4B" w:rsidRDefault="006C0A4B" w:rsidP="006C0A4B">
            <w:r>
              <w:t>x</w:t>
            </w:r>
          </w:p>
        </w:tc>
        <w:tc>
          <w:tcPr>
            <w:tcW w:w="498" w:type="dxa"/>
          </w:tcPr>
          <w:p w14:paraId="7BE437E5" w14:textId="77777777" w:rsidR="006C0A4B" w:rsidRDefault="006C0A4B" w:rsidP="006C0A4B">
            <w:r>
              <w:t>x</w:t>
            </w:r>
          </w:p>
        </w:tc>
        <w:tc>
          <w:tcPr>
            <w:tcW w:w="498" w:type="dxa"/>
          </w:tcPr>
          <w:p w14:paraId="7D4146C5" w14:textId="77777777" w:rsidR="006C0A4B" w:rsidRDefault="006C0A4B" w:rsidP="006C0A4B"/>
        </w:tc>
        <w:tc>
          <w:tcPr>
            <w:tcW w:w="498" w:type="dxa"/>
          </w:tcPr>
          <w:p w14:paraId="4C44FA10" w14:textId="77777777" w:rsidR="006C0A4B" w:rsidRDefault="006C0A4B" w:rsidP="006C0A4B"/>
        </w:tc>
      </w:tr>
      <w:tr w:rsidR="006C0A4B" w14:paraId="633C318B" w14:textId="77777777" w:rsidTr="006C0A4B">
        <w:tc>
          <w:tcPr>
            <w:tcW w:w="6028" w:type="dxa"/>
          </w:tcPr>
          <w:p w14:paraId="0809023D" w14:textId="77777777" w:rsidR="006C0A4B" w:rsidRDefault="006C0A4B" w:rsidP="006C0A4B"/>
        </w:tc>
        <w:tc>
          <w:tcPr>
            <w:tcW w:w="498" w:type="dxa"/>
          </w:tcPr>
          <w:p w14:paraId="5CA7A15F" w14:textId="77777777" w:rsidR="006C0A4B" w:rsidRDefault="006C0A4B" w:rsidP="006C0A4B"/>
        </w:tc>
        <w:tc>
          <w:tcPr>
            <w:tcW w:w="498" w:type="dxa"/>
          </w:tcPr>
          <w:p w14:paraId="25E690BB" w14:textId="77777777" w:rsidR="006C0A4B" w:rsidRDefault="006C0A4B" w:rsidP="006C0A4B"/>
        </w:tc>
        <w:tc>
          <w:tcPr>
            <w:tcW w:w="498" w:type="dxa"/>
          </w:tcPr>
          <w:p w14:paraId="194B19E5" w14:textId="77777777" w:rsidR="006C0A4B" w:rsidRDefault="006C0A4B" w:rsidP="006C0A4B"/>
        </w:tc>
        <w:tc>
          <w:tcPr>
            <w:tcW w:w="498" w:type="dxa"/>
          </w:tcPr>
          <w:p w14:paraId="712D365D" w14:textId="77777777" w:rsidR="006C0A4B" w:rsidRDefault="006C0A4B" w:rsidP="006C0A4B"/>
        </w:tc>
        <w:tc>
          <w:tcPr>
            <w:tcW w:w="498" w:type="dxa"/>
          </w:tcPr>
          <w:p w14:paraId="6E8B7542" w14:textId="77777777" w:rsidR="006C0A4B" w:rsidRDefault="006C0A4B" w:rsidP="006C0A4B"/>
        </w:tc>
        <w:tc>
          <w:tcPr>
            <w:tcW w:w="498" w:type="dxa"/>
          </w:tcPr>
          <w:p w14:paraId="771E5F55" w14:textId="77777777" w:rsidR="006C0A4B" w:rsidRDefault="006C0A4B" w:rsidP="006C0A4B"/>
        </w:tc>
      </w:tr>
      <w:tr w:rsidR="006C0A4B" w14:paraId="53F751C6" w14:textId="77777777" w:rsidTr="006C0A4B">
        <w:tc>
          <w:tcPr>
            <w:tcW w:w="6028" w:type="dxa"/>
          </w:tcPr>
          <w:p w14:paraId="17459078" w14:textId="77777777" w:rsidR="006C0A4B" w:rsidRDefault="006C0A4B" w:rsidP="006C0A4B">
            <w:r w:rsidRPr="00D24B3F">
              <w:t>EQ6  SUSTAINABILITY</w:t>
            </w:r>
            <w:r>
              <w:t xml:space="preserve"> AND REPLICABILITY </w:t>
            </w:r>
          </w:p>
        </w:tc>
        <w:tc>
          <w:tcPr>
            <w:tcW w:w="498" w:type="dxa"/>
          </w:tcPr>
          <w:p w14:paraId="62C3FF71" w14:textId="77777777" w:rsidR="006C0A4B" w:rsidRDefault="006C0A4B" w:rsidP="006C0A4B"/>
        </w:tc>
        <w:tc>
          <w:tcPr>
            <w:tcW w:w="498" w:type="dxa"/>
          </w:tcPr>
          <w:p w14:paraId="142B8691" w14:textId="77777777" w:rsidR="006C0A4B" w:rsidRDefault="006C0A4B" w:rsidP="006C0A4B"/>
        </w:tc>
        <w:tc>
          <w:tcPr>
            <w:tcW w:w="498" w:type="dxa"/>
          </w:tcPr>
          <w:p w14:paraId="64D62D75" w14:textId="77777777" w:rsidR="006C0A4B" w:rsidRDefault="006C0A4B" w:rsidP="006C0A4B"/>
        </w:tc>
        <w:tc>
          <w:tcPr>
            <w:tcW w:w="498" w:type="dxa"/>
          </w:tcPr>
          <w:p w14:paraId="079AD7F8" w14:textId="77777777" w:rsidR="006C0A4B" w:rsidRDefault="006C0A4B" w:rsidP="006C0A4B"/>
        </w:tc>
        <w:tc>
          <w:tcPr>
            <w:tcW w:w="498" w:type="dxa"/>
          </w:tcPr>
          <w:p w14:paraId="5A5BFF3D" w14:textId="77777777" w:rsidR="006C0A4B" w:rsidRDefault="006C0A4B" w:rsidP="006C0A4B"/>
        </w:tc>
        <w:tc>
          <w:tcPr>
            <w:tcW w:w="498" w:type="dxa"/>
          </w:tcPr>
          <w:p w14:paraId="165B9F34" w14:textId="77777777" w:rsidR="006C0A4B" w:rsidRDefault="006C0A4B" w:rsidP="006C0A4B"/>
        </w:tc>
      </w:tr>
      <w:tr w:rsidR="006C0A4B" w14:paraId="3D1F3028" w14:textId="77777777" w:rsidTr="006C0A4B">
        <w:tc>
          <w:tcPr>
            <w:tcW w:w="6028" w:type="dxa"/>
          </w:tcPr>
          <w:p w14:paraId="5209087F" w14:textId="77777777" w:rsidR="006C0A4B" w:rsidRDefault="006C0A4B" w:rsidP="006C0A4B">
            <w:r w:rsidRPr="00D24B3F">
              <w:t>6.1. How likely are the projects’ achievements to be sustainable?</w:t>
            </w:r>
          </w:p>
        </w:tc>
        <w:tc>
          <w:tcPr>
            <w:tcW w:w="498" w:type="dxa"/>
          </w:tcPr>
          <w:p w14:paraId="3F97DBBC" w14:textId="77777777" w:rsidR="006C0A4B" w:rsidRDefault="006C0A4B" w:rsidP="006C0A4B">
            <w:r>
              <w:t>x</w:t>
            </w:r>
          </w:p>
        </w:tc>
        <w:tc>
          <w:tcPr>
            <w:tcW w:w="498" w:type="dxa"/>
          </w:tcPr>
          <w:p w14:paraId="3FD58ED8" w14:textId="77777777" w:rsidR="006C0A4B" w:rsidRDefault="006C0A4B" w:rsidP="006C0A4B">
            <w:r>
              <w:t>x</w:t>
            </w:r>
          </w:p>
        </w:tc>
        <w:tc>
          <w:tcPr>
            <w:tcW w:w="498" w:type="dxa"/>
          </w:tcPr>
          <w:p w14:paraId="7ED5BC3F" w14:textId="77777777" w:rsidR="006C0A4B" w:rsidRDefault="006C0A4B" w:rsidP="006C0A4B">
            <w:r>
              <w:t>x</w:t>
            </w:r>
          </w:p>
        </w:tc>
        <w:tc>
          <w:tcPr>
            <w:tcW w:w="498" w:type="dxa"/>
          </w:tcPr>
          <w:p w14:paraId="68A3BD89" w14:textId="77777777" w:rsidR="006C0A4B" w:rsidRDefault="006C0A4B" w:rsidP="006C0A4B">
            <w:r>
              <w:t>x</w:t>
            </w:r>
          </w:p>
        </w:tc>
        <w:tc>
          <w:tcPr>
            <w:tcW w:w="498" w:type="dxa"/>
          </w:tcPr>
          <w:p w14:paraId="6CAB2C53" w14:textId="77777777" w:rsidR="006C0A4B" w:rsidRDefault="006C0A4B" w:rsidP="006C0A4B">
            <w:r>
              <w:t>x</w:t>
            </w:r>
          </w:p>
        </w:tc>
        <w:tc>
          <w:tcPr>
            <w:tcW w:w="498" w:type="dxa"/>
          </w:tcPr>
          <w:p w14:paraId="7DD05A25" w14:textId="77777777" w:rsidR="006C0A4B" w:rsidRDefault="006C0A4B" w:rsidP="006C0A4B">
            <w:r>
              <w:t>x</w:t>
            </w:r>
          </w:p>
        </w:tc>
      </w:tr>
      <w:tr w:rsidR="006C0A4B" w14:paraId="4CE1CA36" w14:textId="77777777" w:rsidTr="006C0A4B">
        <w:tc>
          <w:tcPr>
            <w:tcW w:w="6028" w:type="dxa"/>
          </w:tcPr>
          <w:p w14:paraId="70874BF7" w14:textId="77777777" w:rsidR="006C0A4B" w:rsidRDefault="006C0A4B" w:rsidP="006C0A4B">
            <w:r w:rsidRPr="00D24B3F">
              <w:lastRenderedPageBreak/>
              <w:t>6.2. How effective has the project been in establishing national/local ownership? Are the linkages to broader sectoral and national action been made</w:t>
            </w:r>
          </w:p>
        </w:tc>
        <w:tc>
          <w:tcPr>
            <w:tcW w:w="498" w:type="dxa"/>
          </w:tcPr>
          <w:p w14:paraId="117A2FFB" w14:textId="77777777" w:rsidR="006C0A4B" w:rsidRDefault="006C0A4B" w:rsidP="006C0A4B">
            <w:r>
              <w:t>x</w:t>
            </w:r>
          </w:p>
        </w:tc>
        <w:tc>
          <w:tcPr>
            <w:tcW w:w="498" w:type="dxa"/>
          </w:tcPr>
          <w:p w14:paraId="178F5D5E" w14:textId="77777777" w:rsidR="006C0A4B" w:rsidRDefault="006C0A4B" w:rsidP="006C0A4B">
            <w:r>
              <w:t>x</w:t>
            </w:r>
          </w:p>
        </w:tc>
        <w:tc>
          <w:tcPr>
            <w:tcW w:w="498" w:type="dxa"/>
          </w:tcPr>
          <w:p w14:paraId="71FDA6ED" w14:textId="77777777" w:rsidR="006C0A4B" w:rsidRDefault="006C0A4B" w:rsidP="006C0A4B">
            <w:r>
              <w:t>x</w:t>
            </w:r>
          </w:p>
        </w:tc>
        <w:tc>
          <w:tcPr>
            <w:tcW w:w="498" w:type="dxa"/>
          </w:tcPr>
          <w:p w14:paraId="2AF9D2C0" w14:textId="77777777" w:rsidR="006C0A4B" w:rsidRDefault="006C0A4B" w:rsidP="006C0A4B">
            <w:r>
              <w:t>x</w:t>
            </w:r>
          </w:p>
        </w:tc>
        <w:tc>
          <w:tcPr>
            <w:tcW w:w="498" w:type="dxa"/>
          </w:tcPr>
          <w:p w14:paraId="4D16E4F1" w14:textId="77777777" w:rsidR="006C0A4B" w:rsidRDefault="006C0A4B" w:rsidP="006C0A4B">
            <w:r>
              <w:t>x</w:t>
            </w:r>
          </w:p>
        </w:tc>
        <w:tc>
          <w:tcPr>
            <w:tcW w:w="498" w:type="dxa"/>
          </w:tcPr>
          <w:p w14:paraId="0259DF8D" w14:textId="77777777" w:rsidR="006C0A4B" w:rsidRDefault="006C0A4B" w:rsidP="006C0A4B">
            <w:r>
              <w:t>x</w:t>
            </w:r>
          </w:p>
        </w:tc>
      </w:tr>
      <w:tr w:rsidR="006C0A4B" w14:paraId="6724C815" w14:textId="77777777" w:rsidTr="006C0A4B">
        <w:tc>
          <w:tcPr>
            <w:tcW w:w="6028" w:type="dxa"/>
          </w:tcPr>
          <w:p w14:paraId="0D1756FC" w14:textId="77777777" w:rsidR="006C0A4B" w:rsidRDefault="006C0A4B" w:rsidP="006C0A4B">
            <w:r>
              <w:t>6.3. Is the phase-out strategy for the project in place and under implementation? Is it sufficiently clearly articulated and progress made towards this goal?</w:t>
            </w:r>
          </w:p>
        </w:tc>
        <w:tc>
          <w:tcPr>
            <w:tcW w:w="498" w:type="dxa"/>
          </w:tcPr>
          <w:p w14:paraId="5370B219" w14:textId="77777777" w:rsidR="006C0A4B" w:rsidRDefault="006C0A4B" w:rsidP="006C0A4B">
            <w:r>
              <w:t>x</w:t>
            </w:r>
          </w:p>
        </w:tc>
        <w:tc>
          <w:tcPr>
            <w:tcW w:w="498" w:type="dxa"/>
          </w:tcPr>
          <w:p w14:paraId="256D5DE6" w14:textId="77777777" w:rsidR="006C0A4B" w:rsidRDefault="006C0A4B" w:rsidP="006C0A4B">
            <w:r>
              <w:t>x</w:t>
            </w:r>
          </w:p>
        </w:tc>
        <w:tc>
          <w:tcPr>
            <w:tcW w:w="498" w:type="dxa"/>
          </w:tcPr>
          <w:p w14:paraId="6FB7FAD9" w14:textId="77777777" w:rsidR="006C0A4B" w:rsidRDefault="006C0A4B" w:rsidP="006C0A4B">
            <w:r>
              <w:t>x</w:t>
            </w:r>
          </w:p>
        </w:tc>
        <w:tc>
          <w:tcPr>
            <w:tcW w:w="498" w:type="dxa"/>
          </w:tcPr>
          <w:p w14:paraId="001F3CD0" w14:textId="77777777" w:rsidR="006C0A4B" w:rsidRDefault="006C0A4B" w:rsidP="006C0A4B">
            <w:r>
              <w:t>x</w:t>
            </w:r>
          </w:p>
        </w:tc>
        <w:tc>
          <w:tcPr>
            <w:tcW w:w="498" w:type="dxa"/>
          </w:tcPr>
          <w:p w14:paraId="496CB348" w14:textId="77777777" w:rsidR="006C0A4B" w:rsidRDefault="006C0A4B" w:rsidP="006C0A4B">
            <w:r>
              <w:t>x</w:t>
            </w:r>
          </w:p>
        </w:tc>
        <w:tc>
          <w:tcPr>
            <w:tcW w:w="498" w:type="dxa"/>
          </w:tcPr>
          <w:p w14:paraId="6A26A214" w14:textId="77777777" w:rsidR="006C0A4B" w:rsidRDefault="006C0A4B" w:rsidP="006C0A4B">
            <w:r>
              <w:t>x</w:t>
            </w:r>
          </w:p>
        </w:tc>
      </w:tr>
      <w:tr w:rsidR="006C0A4B" w14:paraId="723C87CB" w14:textId="77777777" w:rsidTr="006C0A4B">
        <w:tc>
          <w:tcPr>
            <w:tcW w:w="6028" w:type="dxa"/>
          </w:tcPr>
          <w:p w14:paraId="091CC046" w14:textId="77777777" w:rsidR="006C0A4B" w:rsidRPr="00526CCF" w:rsidRDefault="006C0A4B" w:rsidP="006C0A4B">
            <w:pPr>
              <w:rPr>
                <w:rFonts w:cstheme="minorHAnsi"/>
              </w:rPr>
            </w:pPr>
            <w:r w:rsidRPr="00526CCF">
              <w:rPr>
                <w:rFonts w:cstheme="minorHAnsi"/>
                <w:iCs/>
                <w:color w:val="000000" w:themeColor="text1"/>
                <w:lang w:val="en-US"/>
              </w:rPr>
              <w:t>6.4 Are the results sustainable? (Will the results be sustained by the beneficiaries and will they lead to benefits beyond the life of the existing project?)</w:t>
            </w:r>
          </w:p>
        </w:tc>
        <w:tc>
          <w:tcPr>
            <w:tcW w:w="498" w:type="dxa"/>
          </w:tcPr>
          <w:p w14:paraId="2F08ED76" w14:textId="77777777" w:rsidR="006C0A4B" w:rsidRDefault="006C0A4B" w:rsidP="006C0A4B">
            <w:r>
              <w:t>x</w:t>
            </w:r>
          </w:p>
        </w:tc>
        <w:tc>
          <w:tcPr>
            <w:tcW w:w="498" w:type="dxa"/>
          </w:tcPr>
          <w:p w14:paraId="048A8BE8" w14:textId="77777777" w:rsidR="006C0A4B" w:rsidRDefault="006C0A4B" w:rsidP="006C0A4B">
            <w:r>
              <w:t>x</w:t>
            </w:r>
          </w:p>
        </w:tc>
        <w:tc>
          <w:tcPr>
            <w:tcW w:w="498" w:type="dxa"/>
          </w:tcPr>
          <w:p w14:paraId="5225F40F" w14:textId="77777777" w:rsidR="006C0A4B" w:rsidRDefault="006C0A4B" w:rsidP="006C0A4B">
            <w:r>
              <w:t>x</w:t>
            </w:r>
          </w:p>
        </w:tc>
        <w:tc>
          <w:tcPr>
            <w:tcW w:w="498" w:type="dxa"/>
          </w:tcPr>
          <w:p w14:paraId="1510C6CF" w14:textId="77777777" w:rsidR="006C0A4B" w:rsidRDefault="006C0A4B" w:rsidP="006C0A4B">
            <w:r>
              <w:t>x</w:t>
            </w:r>
          </w:p>
        </w:tc>
        <w:tc>
          <w:tcPr>
            <w:tcW w:w="498" w:type="dxa"/>
          </w:tcPr>
          <w:p w14:paraId="3FA7A121" w14:textId="77777777" w:rsidR="006C0A4B" w:rsidRDefault="006C0A4B" w:rsidP="006C0A4B">
            <w:r>
              <w:t>x</w:t>
            </w:r>
          </w:p>
        </w:tc>
        <w:tc>
          <w:tcPr>
            <w:tcW w:w="498" w:type="dxa"/>
          </w:tcPr>
          <w:p w14:paraId="1CDD5618" w14:textId="77777777" w:rsidR="006C0A4B" w:rsidRDefault="006C0A4B" w:rsidP="006C0A4B">
            <w:r>
              <w:t>x</w:t>
            </w:r>
          </w:p>
        </w:tc>
      </w:tr>
      <w:tr w:rsidR="006C0A4B" w14:paraId="3A0749B9" w14:textId="77777777" w:rsidTr="006C0A4B">
        <w:tc>
          <w:tcPr>
            <w:tcW w:w="6028" w:type="dxa"/>
          </w:tcPr>
          <w:p w14:paraId="173275FA" w14:textId="77777777" w:rsidR="006C0A4B" w:rsidRPr="00526CCF" w:rsidRDefault="006C0A4B" w:rsidP="006C0A4B">
            <w:pPr>
              <w:pStyle w:val="MediumGrid21"/>
              <w:numPr>
                <w:ilvl w:val="1"/>
                <w:numId w:val="25"/>
              </w:numPr>
              <w:spacing w:before="120"/>
              <w:rPr>
                <w:rFonts w:asciiTheme="minorHAnsi" w:hAnsiTheme="minorHAnsi" w:cstheme="minorHAnsi"/>
                <w:iCs/>
                <w:color w:val="000000" w:themeColor="text1"/>
                <w:lang w:val="en-US"/>
              </w:rPr>
            </w:pPr>
            <w:r w:rsidRPr="00526CCF">
              <w:rPr>
                <w:rFonts w:asciiTheme="minorHAnsi" w:hAnsiTheme="minorHAnsi" w:cstheme="minorHAnsi"/>
                <w:iCs/>
                <w:color w:val="000000" w:themeColor="text1"/>
                <w:lang w:val="en-US"/>
              </w:rPr>
              <w:t>What should we continue doing, what is replicable or can be scaled up, and how might we do things better in the future? (What lessons and findings are relevant for future programming or for other similar initiatives elsewhere?)</w:t>
            </w:r>
          </w:p>
          <w:p w14:paraId="05E4BBC9" w14:textId="77777777" w:rsidR="006C0A4B" w:rsidRDefault="006C0A4B" w:rsidP="006C0A4B"/>
        </w:tc>
        <w:tc>
          <w:tcPr>
            <w:tcW w:w="498" w:type="dxa"/>
          </w:tcPr>
          <w:p w14:paraId="3304B7D5" w14:textId="77777777" w:rsidR="006C0A4B" w:rsidRDefault="006C0A4B" w:rsidP="006C0A4B">
            <w:r>
              <w:t>x</w:t>
            </w:r>
          </w:p>
        </w:tc>
        <w:tc>
          <w:tcPr>
            <w:tcW w:w="498" w:type="dxa"/>
          </w:tcPr>
          <w:p w14:paraId="570D277E" w14:textId="77777777" w:rsidR="006C0A4B" w:rsidRDefault="006C0A4B" w:rsidP="006C0A4B">
            <w:r>
              <w:t>x</w:t>
            </w:r>
          </w:p>
        </w:tc>
        <w:tc>
          <w:tcPr>
            <w:tcW w:w="498" w:type="dxa"/>
          </w:tcPr>
          <w:p w14:paraId="2EB0E0B2" w14:textId="77777777" w:rsidR="006C0A4B" w:rsidRDefault="006C0A4B" w:rsidP="006C0A4B">
            <w:r>
              <w:t>x</w:t>
            </w:r>
          </w:p>
        </w:tc>
        <w:tc>
          <w:tcPr>
            <w:tcW w:w="498" w:type="dxa"/>
          </w:tcPr>
          <w:p w14:paraId="52A8D0EC" w14:textId="77777777" w:rsidR="006C0A4B" w:rsidRDefault="006C0A4B" w:rsidP="006C0A4B">
            <w:r>
              <w:t>x</w:t>
            </w:r>
          </w:p>
        </w:tc>
        <w:tc>
          <w:tcPr>
            <w:tcW w:w="498" w:type="dxa"/>
          </w:tcPr>
          <w:p w14:paraId="3163D9C8" w14:textId="77777777" w:rsidR="006C0A4B" w:rsidRDefault="006C0A4B" w:rsidP="006C0A4B">
            <w:r>
              <w:t>x</w:t>
            </w:r>
          </w:p>
        </w:tc>
        <w:tc>
          <w:tcPr>
            <w:tcW w:w="498" w:type="dxa"/>
          </w:tcPr>
          <w:p w14:paraId="5EA6A4A5" w14:textId="77777777" w:rsidR="006C0A4B" w:rsidRDefault="006C0A4B" w:rsidP="006C0A4B">
            <w:r>
              <w:t>x</w:t>
            </w:r>
          </w:p>
        </w:tc>
      </w:tr>
    </w:tbl>
    <w:p w14:paraId="44A41ABE" w14:textId="77777777" w:rsidR="006C0A4B" w:rsidRDefault="006C0A4B" w:rsidP="006C0A4B"/>
    <w:p w14:paraId="08C4B835" w14:textId="77777777" w:rsidR="006C0A4B" w:rsidRDefault="006C0A4B" w:rsidP="006C0A4B">
      <w:pPr>
        <w:rPr>
          <w:lang w:val="en-US"/>
        </w:rPr>
      </w:pPr>
    </w:p>
    <w:p w14:paraId="58B485FD" w14:textId="77777777" w:rsidR="006C0A4B" w:rsidRPr="006C0A4B" w:rsidRDefault="006C0A4B" w:rsidP="006C0A4B">
      <w:pPr>
        <w:rPr>
          <w:lang w:val="en-US"/>
        </w:rPr>
      </w:pPr>
    </w:p>
    <w:p w14:paraId="29132DE9" w14:textId="48879BD0" w:rsidR="006C0A4B" w:rsidRDefault="006C0A4B">
      <w:pPr>
        <w:spacing w:after="160" w:line="259" w:lineRule="auto"/>
      </w:pPr>
      <w:r>
        <w:br w:type="page"/>
      </w:r>
    </w:p>
    <w:p w14:paraId="68530CC7" w14:textId="77777777" w:rsidR="006C0A4B" w:rsidRDefault="006C0A4B" w:rsidP="0011568C">
      <w:pPr>
        <w:pStyle w:val="Heading3"/>
      </w:pPr>
      <w:bookmarkStart w:id="30" w:name="_Toc528998447"/>
      <w:r>
        <w:rPr>
          <w:lang w:val="en-ID"/>
        </w:rPr>
        <w:lastRenderedPageBreak/>
        <w:t xml:space="preserve">Annex III </w:t>
      </w:r>
      <w:r>
        <w:t>List of Respondents, Contact Details and Topics  Discussed</w:t>
      </w:r>
      <w:bookmarkEnd w:id="30"/>
      <w:r>
        <w:t xml:space="preserve"> </w:t>
      </w:r>
    </w:p>
    <w:p w14:paraId="15715468" w14:textId="4E63DE46" w:rsidR="006D07CF" w:rsidRDefault="006D07CF">
      <w:pPr>
        <w:rPr>
          <w:lang w:val="en-ID"/>
        </w:rPr>
      </w:pPr>
    </w:p>
    <w:tbl>
      <w:tblPr>
        <w:tblStyle w:val="TableGrid"/>
        <w:tblW w:w="10184" w:type="dxa"/>
        <w:tblLook w:val="04A0" w:firstRow="1" w:lastRow="0" w:firstColumn="1" w:lastColumn="0" w:noHBand="0" w:noVBand="1"/>
      </w:tblPr>
      <w:tblGrid>
        <w:gridCol w:w="2405"/>
        <w:gridCol w:w="2999"/>
        <w:gridCol w:w="2211"/>
        <w:gridCol w:w="2569"/>
      </w:tblGrid>
      <w:tr w:rsidR="006C0A4B" w14:paraId="1194AA33" w14:textId="77777777" w:rsidTr="006C0A4B">
        <w:tc>
          <w:tcPr>
            <w:tcW w:w="2405" w:type="dxa"/>
          </w:tcPr>
          <w:p w14:paraId="198F9E90" w14:textId="77777777" w:rsidR="006C0A4B" w:rsidRPr="00BA66BF" w:rsidRDefault="006C0A4B" w:rsidP="006C0A4B">
            <w:pPr>
              <w:pStyle w:val="ListParagraph"/>
              <w:numPr>
                <w:ilvl w:val="0"/>
                <w:numId w:val="27"/>
              </w:numPr>
              <w:spacing w:after="0" w:line="240" w:lineRule="auto"/>
            </w:pPr>
            <w:r w:rsidRPr="00BA66BF">
              <w:t xml:space="preserve">Christophe Bahuet </w:t>
            </w:r>
          </w:p>
          <w:p w14:paraId="35C2C7B7" w14:textId="77777777" w:rsidR="006C0A4B" w:rsidRPr="00BA66BF" w:rsidRDefault="006C0A4B" w:rsidP="006C0A4B">
            <w:pPr>
              <w:pStyle w:val="ListParagraph"/>
              <w:ind w:left="360"/>
            </w:pPr>
            <w:r w:rsidRPr="00BA66BF">
              <w:t xml:space="preserve">UNDP Indonesia Country Director </w:t>
            </w:r>
          </w:p>
        </w:tc>
        <w:tc>
          <w:tcPr>
            <w:tcW w:w="2999" w:type="dxa"/>
          </w:tcPr>
          <w:p w14:paraId="0C748350" w14:textId="77777777" w:rsidR="006C0A4B" w:rsidRPr="00BA66BF" w:rsidRDefault="006C0A4B" w:rsidP="006C0A4B">
            <w:r w:rsidRPr="00BA66BF">
              <w:t xml:space="preserve">Appointment via his secretary: </w:t>
            </w:r>
          </w:p>
          <w:p w14:paraId="6CDE40A4" w14:textId="77777777" w:rsidR="006C0A4B" w:rsidRPr="00BA66BF" w:rsidRDefault="006C0A4B" w:rsidP="006C0A4B">
            <w:r>
              <w:t xml:space="preserve">Pramudita Lestari (Dita) </w:t>
            </w:r>
            <w:r w:rsidRPr="00BA66BF">
              <w:t xml:space="preserve">pramudita.lestari@undp.org&gt;   </w:t>
            </w:r>
          </w:p>
        </w:tc>
        <w:tc>
          <w:tcPr>
            <w:tcW w:w="2211" w:type="dxa"/>
          </w:tcPr>
          <w:p w14:paraId="2562D6B4" w14:textId="77777777" w:rsidR="006C0A4B" w:rsidRDefault="006C0A4B" w:rsidP="006C0A4B">
            <w:pPr>
              <w:pStyle w:val="ListParagraph"/>
              <w:numPr>
                <w:ilvl w:val="0"/>
                <w:numId w:val="28"/>
              </w:numPr>
              <w:spacing w:after="0" w:line="240" w:lineRule="auto"/>
            </w:pPr>
            <w:r>
              <w:t xml:space="preserve">Project Strategic contributions to BRG Institutional setup </w:t>
            </w:r>
          </w:p>
          <w:p w14:paraId="5BD38C6F" w14:textId="77777777" w:rsidR="006C0A4B" w:rsidRPr="00BA66BF" w:rsidRDefault="006C0A4B" w:rsidP="006C0A4B">
            <w:pPr>
              <w:pStyle w:val="ListParagraph"/>
              <w:numPr>
                <w:ilvl w:val="0"/>
                <w:numId w:val="28"/>
              </w:numPr>
              <w:spacing w:after="0" w:line="240" w:lineRule="auto"/>
            </w:pPr>
            <w:r>
              <w:t xml:space="preserve">UNDP roles </w:t>
            </w:r>
          </w:p>
        </w:tc>
        <w:tc>
          <w:tcPr>
            <w:tcW w:w="2569" w:type="dxa"/>
          </w:tcPr>
          <w:p w14:paraId="5DBF5E61" w14:textId="77777777" w:rsidR="006C0A4B" w:rsidRDefault="006C0A4B" w:rsidP="006C0A4B">
            <w:pPr>
              <w:pStyle w:val="ListParagraph"/>
              <w:numPr>
                <w:ilvl w:val="0"/>
                <w:numId w:val="28"/>
              </w:numPr>
              <w:spacing w:after="0" w:line="240" w:lineRule="auto"/>
            </w:pPr>
            <w:r>
              <w:t xml:space="preserve">  17</w:t>
            </w:r>
            <w:r w:rsidRPr="00791A40">
              <w:rPr>
                <w:vertAlign w:val="superscript"/>
              </w:rPr>
              <w:t>th</w:t>
            </w:r>
            <w:r>
              <w:t xml:space="preserve"> September </w:t>
            </w:r>
          </w:p>
        </w:tc>
      </w:tr>
      <w:tr w:rsidR="006C0A4B" w14:paraId="3BEC6F78" w14:textId="77777777" w:rsidTr="006C0A4B">
        <w:tc>
          <w:tcPr>
            <w:tcW w:w="2405" w:type="dxa"/>
          </w:tcPr>
          <w:p w14:paraId="0F521CC7" w14:textId="77777777" w:rsidR="006C0A4B" w:rsidRDefault="006C0A4B" w:rsidP="006C0A4B">
            <w:pPr>
              <w:pStyle w:val="ListParagraph"/>
              <w:numPr>
                <w:ilvl w:val="0"/>
                <w:numId w:val="27"/>
              </w:numPr>
              <w:spacing w:after="0" w:line="240" w:lineRule="auto"/>
            </w:pPr>
            <w:r>
              <w:t>Budhi Sayoko</w:t>
            </w:r>
          </w:p>
          <w:p w14:paraId="5C26C540" w14:textId="77777777" w:rsidR="006C0A4B" w:rsidRPr="00BA66BF" w:rsidRDefault="006C0A4B" w:rsidP="006C0A4B">
            <w:pPr>
              <w:pStyle w:val="ListParagraph"/>
              <w:ind w:left="360"/>
            </w:pPr>
            <w:r>
              <w:t xml:space="preserve">Head of Environment Unit </w:t>
            </w:r>
          </w:p>
        </w:tc>
        <w:tc>
          <w:tcPr>
            <w:tcW w:w="2999" w:type="dxa"/>
          </w:tcPr>
          <w:p w14:paraId="566A029D" w14:textId="77777777" w:rsidR="006C0A4B" w:rsidRPr="00BA66BF" w:rsidRDefault="006C0A4B" w:rsidP="006C0A4B">
            <w:hyperlink r:id="rId10" w:history="1">
              <w:r w:rsidRPr="005701DD">
                <w:rPr>
                  <w:rStyle w:val="Hyperlink"/>
                </w:rPr>
                <w:t>budhi.sayoko@undp.org</w:t>
              </w:r>
            </w:hyperlink>
            <w:r>
              <w:t xml:space="preserve"> </w:t>
            </w:r>
          </w:p>
        </w:tc>
        <w:tc>
          <w:tcPr>
            <w:tcW w:w="2211" w:type="dxa"/>
          </w:tcPr>
          <w:p w14:paraId="3BF31D1F" w14:textId="77777777" w:rsidR="006C0A4B" w:rsidRDefault="006C0A4B" w:rsidP="006C0A4B">
            <w:pPr>
              <w:pStyle w:val="ListParagraph"/>
              <w:numPr>
                <w:ilvl w:val="0"/>
                <w:numId w:val="28"/>
              </w:numPr>
              <w:spacing w:after="0" w:line="240" w:lineRule="auto"/>
            </w:pPr>
            <w:r>
              <w:t xml:space="preserve">Key achievements, challenges and programmatic approach  </w:t>
            </w:r>
          </w:p>
        </w:tc>
        <w:tc>
          <w:tcPr>
            <w:tcW w:w="2569" w:type="dxa"/>
          </w:tcPr>
          <w:p w14:paraId="78B1112A" w14:textId="77777777" w:rsidR="006C0A4B" w:rsidRDefault="006C0A4B" w:rsidP="006C0A4B">
            <w:pPr>
              <w:pStyle w:val="ListParagraph"/>
              <w:numPr>
                <w:ilvl w:val="0"/>
                <w:numId w:val="28"/>
              </w:numPr>
              <w:spacing w:after="0" w:line="240" w:lineRule="auto"/>
            </w:pPr>
            <w:r>
              <w:t xml:space="preserve"> 17</w:t>
            </w:r>
            <w:r w:rsidRPr="00791A40">
              <w:rPr>
                <w:vertAlign w:val="superscript"/>
              </w:rPr>
              <w:t>th</w:t>
            </w:r>
            <w:r>
              <w:t xml:space="preserve">  September  </w:t>
            </w:r>
          </w:p>
        </w:tc>
      </w:tr>
      <w:tr w:rsidR="006C0A4B" w14:paraId="50A6C662" w14:textId="77777777" w:rsidTr="006C0A4B">
        <w:tc>
          <w:tcPr>
            <w:tcW w:w="2405" w:type="dxa"/>
          </w:tcPr>
          <w:p w14:paraId="787D2821" w14:textId="77777777" w:rsidR="006C0A4B" w:rsidRDefault="006C0A4B" w:rsidP="006C0A4B">
            <w:pPr>
              <w:pStyle w:val="ListParagraph"/>
              <w:numPr>
                <w:ilvl w:val="0"/>
                <w:numId w:val="27"/>
              </w:numPr>
              <w:spacing w:after="0" w:line="240" w:lineRule="auto"/>
            </w:pPr>
            <w:r>
              <w:t>Abdul Wahib Situmorang</w:t>
            </w:r>
          </w:p>
          <w:p w14:paraId="74797C83" w14:textId="77777777" w:rsidR="006C0A4B" w:rsidRDefault="006C0A4B" w:rsidP="006C0A4B">
            <w:pPr>
              <w:pStyle w:val="ListParagraph"/>
              <w:ind w:left="360"/>
            </w:pPr>
            <w:r>
              <w:t xml:space="preserve">Natural Resources Governance Adviser </w:t>
            </w:r>
          </w:p>
        </w:tc>
        <w:tc>
          <w:tcPr>
            <w:tcW w:w="2999" w:type="dxa"/>
          </w:tcPr>
          <w:p w14:paraId="73AA979C" w14:textId="77777777" w:rsidR="006C0A4B" w:rsidRDefault="006C0A4B" w:rsidP="006C0A4B">
            <w:hyperlink r:id="rId11" w:history="1">
              <w:r w:rsidRPr="005701DD">
                <w:rPr>
                  <w:rStyle w:val="Hyperlink"/>
                </w:rPr>
                <w:t>abdul.situmorang@undp.org</w:t>
              </w:r>
            </w:hyperlink>
            <w:r>
              <w:t xml:space="preserve"> </w:t>
            </w:r>
          </w:p>
        </w:tc>
        <w:tc>
          <w:tcPr>
            <w:tcW w:w="2211" w:type="dxa"/>
          </w:tcPr>
          <w:p w14:paraId="72873CC5" w14:textId="77777777" w:rsidR="006C0A4B" w:rsidRDefault="006C0A4B" w:rsidP="006C0A4B">
            <w:pPr>
              <w:pStyle w:val="ListParagraph"/>
              <w:numPr>
                <w:ilvl w:val="0"/>
                <w:numId w:val="28"/>
              </w:numPr>
              <w:spacing w:after="0" w:line="240" w:lineRule="auto"/>
            </w:pPr>
            <w:r>
              <w:t xml:space="preserve">Key achievements, challenges and key recommendations </w:t>
            </w:r>
          </w:p>
        </w:tc>
        <w:tc>
          <w:tcPr>
            <w:tcW w:w="2569" w:type="dxa"/>
          </w:tcPr>
          <w:p w14:paraId="49335092" w14:textId="77777777" w:rsidR="006C0A4B" w:rsidRDefault="006C0A4B" w:rsidP="006C0A4B">
            <w:pPr>
              <w:pStyle w:val="ListParagraph"/>
              <w:numPr>
                <w:ilvl w:val="0"/>
                <w:numId w:val="28"/>
              </w:numPr>
              <w:spacing w:after="0" w:line="240" w:lineRule="auto"/>
            </w:pPr>
            <w:r>
              <w:t>4</w:t>
            </w:r>
            <w:r w:rsidRPr="00791A40">
              <w:rPr>
                <w:vertAlign w:val="superscript"/>
              </w:rPr>
              <w:t>th</w:t>
            </w:r>
            <w:r>
              <w:t xml:space="preserve"> October </w:t>
            </w:r>
          </w:p>
        </w:tc>
      </w:tr>
      <w:tr w:rsidR="006C0A4B" w14:paraId="501E2BFD" w14:textId="77777777" w:rsidTr="006C0A4B">
        <w:tc>
          <w:tcPr>
            <w:tcW w:w="2405" w:type="dxa"/>
          </w:tcPr>
          <w:p w14:paraId="2915732C" w14:textId="77777777" w:rsidR="006C0A4B" w:rsidRDefault="006C0A4B" w:rsidP="006C0A4B">
            <w:pPr>
              <w:pStyle w:val="ListParagraph"/>
              <w:numPr>
                <w:ilvl w:val="0"/>
                <w:numId w:val="27"/>
              </w:numPr>
              <w:spacing w:after="0" w:line="240" w:lineRule="auto"/>
            </w:pPr>
            <w:r>
              <w:t xml:space="preserve">John Benjamin </w:t>
            </w:r>
          </w:p>
          <w:p w14:paraId="36F02318" w14:textId="77777777" w:rsidR="006C0A4B" w:rsidRDefault="006C0A4B" w:rsidP="006C0A4B">
            <w:pPr>
              <w:pStyle w:val="ListParagraph"/>
              <w:ind w:left="360"/>
            </w:pPr>
            <w:r>
              <w:t xml:space="preserve">Head of Procurement Unit </w:t>
            </w:r>
          </w:p>
        </w:tc>
        <w:tc>
          <w:tcPr>
            <w:tcW w:w="2999" w:type="dxa"/>
          </w:tcPr>
          <w:p w14:paraId="357F2DD4" w14:textId="77777777" w:rsidR="006C0A4B" w:rsidRDefault="006C0A4B" w:rsidP="006C0A4B">
            <w:hyperlink r:id="rId12" w:history="1">
              <w:r w:rsidRPr="007D1101">
                <w:rPr>
                  <w:rStyle w:val="Hyperlink"/>
                </w:rPr>
                <w:t>yusef.millah@undp.org</w:t>
              </w:r>
            </w:hyperlink>
          </w:p>
        </w:tc>
        <w:tc>
          <w:tcPr>
            <w:tcW w:w="2211" w:type="dxa"/>
          </w:tcPr>
          <w:p w14:paraId="6B0DFD3F" w14:textId="77777777" w:rsidR="006C0A4B" w:rsidRDefault="006C0A4B" w:rsidP="006C0A4B">
            <w:pPr>
              <w:pStyle w:val="ListParagraph"/>
              <w:numPr>
                <w:ilvl w:val="0"/>
                <w:numId w:val="28"/>
              </w:numPr>
              <w:spacing w:after="0" w:line="240" w:lineRule="auto"/>
            </w:pPr>
            <w:r>
              <w:t xml:space="preserve">Number of goods and services procured </w:t>
            </w:r>
          </w:p>
          <w:p w14:paraId="12B954EC" w14:textId="77777777" w:rsidR="006C0A4B" w:rsidRDefault="006C0A4B" w:rsidP="006C0A4B">
            <w:pPr>
              <w:pStyle w:val="ListParagraph"/>
              <w:numPr>
                <w:ilvl w:val="0"/>
                <w:numId w:val="28"/>
              </w:numPr>
              <w:spacing w:after="0" w:line="240" w:lineRule="auto"/>
            </w:pPr>
            <w:r>
              <w:t xml:space="preserve">Speed, efficiency and value for money  </w:t>
            </w:r>
          </w:p>
        </w:tc>
        <w:tc>
          <w:tcPr>
            <w:tcW w:w="2569" w:type="dxa"/>
          </w:tcPr>
          <w:p w14:paraId="6AFB9F19" w14:textId="77777777" w:rsidR="006C0A4B" w:rsidRDefault="006C0A4B" w:rsidP="006C0A4B">
            <w:pPr>
              <w:pStyle w:val="ListParagraph"/>
              <w:numPr>
                <w:ilvl w:val="0"/>
                <w:numId w:val="28"/>
              </w:numPr>
              <w:spacing w:after="0" w:line="240" w:lineRule="auto"/>
            </w:pPr>
            <w:r>
              <w:t>The meeting was also attended by Ferdyani Putri</w:t>
            </w:r>
          </w:p>
          <w:p w14:paraId="52137938" w14:textId="77777777" w:rsidR="006C0A4B" w:rsidRDefault="006C0A4B" w:rsidP="006C0A4B">
            <w:pPr>
              <w:pStyle w:val="ListParagraph"/>
              <w:numPr>
                <w:ilvl w:val="0"/>
                <w:numId w:val="28"/>
              </w:numPr>
              <w:spacing w:after="0" w:line="240" w:lineRule="auto"/>
            </w:pPr>
            <w:r>
              <w:t>25</w:t>
            </w:r>
            <w:r w:rsidRPr="00C74FA9">
              <w:rPr>
                <w:vertAlign w:val="superscript"/>
              </w:rPr>
              <w:t>th</w:t>
            </w:r>
            <w:r>
              <w:t xml:space="preserve"> September </w:t>
            </w:r>
          </w:p>
        </w:tc>
      </w:tr>
      <w:tr w:rsidR="006C0A4B" w14:paraId="36D508A5" w14:textId="77777777" w:rsidTr="006C0A4B">
        <w:tc>
          <w:tcPr>
            <w:tcW w:w="2405" w:type="dxa"/>
          </w:tcPr>
          <w:p w14:paraId="308A702A" w14:textId="77777777" w:rsidR="006C0A4B" w:rsidRDefault="006C0A4B" w:rsidP="006C0A4B">
            <w:pPr>
              <w:pStyle w:val="ListParagraph"/>
              <w:numPr>
                <w:ilvl w:val="0"/>
                <w:numId w:val="27"/>
              </w:numPr>
              <w:spacing w:after="0" w:line="240" w:lineRule="auto"/>
            </w:pPr>
            <w:r>
              <w:t>Astiti Sukatrilaksana</w:t>
            </w:r>
          </w:p>
          <w:p w14:paraId="49FDBA46" w14:textId="77777777" w:rsidR="006C0A4B" w:rsidRDefault="006C0A4B" w:rsidP="006C0A4B">
            <w:pPr>
              <w:pStyle w:val="ListParagraph"/>
              <w:ind w:left="360"/>
            </w:pPr>
            <w:r>
              <w:t xml:space="preserve">Head of HR Unit </w:t>
            </w:r>
          </w:p>
        </w:tc>
        <w:tc>
          <w:tcPr>
            <w:tcW w:w="2999" w:type="dxa"/>
          </w:tcPr>
          <w:p w14:paraId="25DFE00E" w14:textId="77777777" w:rsidR="006C0A4B" w:rsidRDefault="006C0A4B" w:rsidP="006C0A4B">
            <w:r>
              <w:t>astiti.sukatrilaksana@undp.org</w:t>
            </w:r>
          </w:p>
        </w:tc>
        <w:tc>
          <w:tcPr>
            <w:tcW w:w="2211" w:type="dxa"/>
          </w:tcPr>
          <w:p w14:paraId="18A33DA6" w14:textId="77777777" w:rsidR="006C0A4B" w:rsidRDefault="006C0A4B" w:rsidP="006C0A4B">
            <w:pPr>
              <w:pStyle w:val="ListParagraph"/>
              <w:numPr>
                <w:ilvl w:val="0"/>
                <w:numId w:val="28"/>
              </w:numPr>
              <w:spacing w:after="0" w:line="240" w:lineRule="auto"/>
            </w:pPr>
            <w:r>
              <w:t xml:space="preserve">Number of SC recruited </w:t>
            </w:r>
          </w:p>
          <w:p w14:paraId="4980C47F" w14:textId="77777777" w:rsidR="006C0A4B" w:rsidRDefault="006C0A4B" w:rsidP="006C0A4B">
            <w:pPr>
              <w:pStyle w:val="ListParagraph"/>
              <w:numPr>
                <w:ilvl w:val="0"/>
                <w:numId w:val="28"/>
              </w:numPr>
              <w:spacing w:after="0" w:line="240" w:lineRule="auto"/>
            </w:pPr>
            <w:r>
              <w:t xml:space="preserve">Speed, efficiency and value for money  </w:t>
            </w:r>
          </w:p>
        </w:tc>
        <w:tc>
          <w:tcPr>
            <w:tcW w:w="2569" w:type="dxa"/>
          </w:tcPr>
          <w:p w14:paraId="6BFF2901" w14:textId="77777777" w:rsidR="006C0A4B" w:rsidRDefault="006C0A4B" w:rsidP="006C0A4B">
            <w:pPr>
              <w:pStyle w:val="ListParagraph"/>
              <w:numPr>
                <w:ilvl w:val="0"/>
                <w:numId w:val="28"/>
              </w:numPr>
              <w:spacing w:after="0" w:line="240" w:lineRule="auto"/>
            </w:pPr>
            <w:r>
              <w:t>3</w:t>
            </w:r>
            <w:r w:rsidRPr="00791A40">
              <w:rPr>
                <w:vertAlign w:val="superscript"/>
              </w:rPr>
              <w:t>rd</w:t>
            </w:r>
            <w:r>
              <w:t xml:space="preserve"> October </w:t>
            </w:r>
          </w:p>
        </w:tc>
      </w:tr>
      <w:tr w:rsidR="006C0A4B" w14:paraId="2D428587" w14:textId="77777777" w:rsidTr="006C0A4B">
        <w:tc>
          <w:tcPr>
            <w:tcW w:w="7615" w:type="dxa"/>
            <w:gridSpan w:val="3"/>
          </w:tcPr>
          <w:p w14:paraId="25B97065" w14:textId="77777777" w:rsidR="006C0A4B" w:rsidRPr="00D564A7" w:rsidRDefault="006C0A4B" w:rsidP="006C0A4B">
            <w:pPr>
              <w:rPr>
                <w:b/>
              </w:rPr>
            </w:pPr>
            <w:r w:rsidRPr="00D564A7">
              <w:rPr>
                <w:b/>
              </w:rPr>
              <w:t xml:space="preserve">BRG-THE PEATLAND RESTORATION AGENCY  </w:t>
            </w:r>
          </w:p>
        </w:tc>
        <w:tc>
          <w:tcPr>
            <w:tcW w:w="2569" w:type="dxa"/>
          </w:tcPr>
          <w:p w14:paraId="56198CFC" w14:textId="77777777" w:rsidR="006C0A4B" w:rsidRPr="00D564A7" w:rsidRDefault="006C0A4B" w:rsidP="006C0A4B">
            <w:pPr>
              <w:rPr>
                <w:b/>
              </w:rPr>
            </w:pPr>
          </w:p>
        </w:tc>
      </w:tr>
      <w:tr w:rsidR="006C0A4B" w14:paraId="657DB20F" w14:textId="77777777" w:rsidTr="006C0A4B">
        <w:tc>
          <w:tcPr>
            <w:tcW w:w="2405" w:type="dxa"/>
          </w:tcPr>
          <w:p w14:paraId="6C0947AF" w14:textId="77777777" w:rsidR="006C0A4B" w:rsidRDefault="006C0A4B" w:rsidP="006C0A4B">
            <w:pPr>
              <w:pStyle w:val="ListParagraph"/>
              <w:numPr>
                <w:ilvl w:val="0"/>
                <w:numId w:val="27"/>
              </w:numPr>
              <w:spacing w:after="0" w:line="240" w:lineRule="auto"/>
            </w:pPr>
            <w:r>
              <w:t xml:space="preserve">Nazir Foead </w:t>
            </w:r>
          </w:p>
          <w:p w14:paraId="3B0FF4E4" w14:textId="77777777" w:rsidR="006C0A4B" w:rsidRDefault="006C0A4B" w:rsidP="006C0A4B">
            <w:pPr>
              <w:pStyle w:val="ListParagraph"/>
              <w:ind w:left="360"/>
            </w:pPr>
            <w:r>
              <w:t xml:space="preserve">Head of BRG </w:t>
            </w:r>
          </w:p>
        </w:tc>
        <w:tc>
          <w:tcPr>
            <w:tcW w:w="2999" w:type="dxa"/>
          </w:tcPr>
          <w:p w14:paraId="6E32B374" w14:textId="77777777" w:rsidR="006C0A4B" w:rsidRDefault="006C0A4B" w:rsidP="006C0A4B">
            <w:hyperlink r:id="rId13" w:history="1">
              <w:r w:rsidRPr="005701DD">
                <w:rPr>
                  <w:rStyle w:val="Hyperlink"/>
                </w:rPr>
                <w:t>nazir.foead@gmail.com</w:t>
              </w:r>
            </w:hyperlink>
          </w:p>
          <w:p w14:paraId="2A1B672C" w14:textId="77777777" w:rsidR="006C0A4B" w:rsidRDefault="006C0A4B" w:rsidP="006C0A4B">
            <w:r>
              <w:t xml:space="preserve">0811977604 </w:t>
            </w:r>
          </w:p>
        </w:tc>
        <w:tc>
          <w:tcPr>
            <w:tcW w:w="2211" w:type="dxa"/>
          </w:tcPr>
          <w:p w14:paraId="7851CA8A" w14:textId="77777777" w:rsidR="006C0A4B" w:rsidRDefault="006C0A4B" w:rsidP="006C0A4B">
            <w:pPr>
              <w:pStyle w:val="ListParagraph"/>
              <w:numPr>
                <w:ilvl w:val="0"/>
                <w:numId w:val="28"/>
              </w:numPr>
              <w:spacing w:after="0" w:line="240" w:lineRule="auto"/>
            </w:pPr>
            <w:r>
              <w:t xml:space="preserve">Key impacts to BRG institutional setup and worked on the ground  </w:t>
            </w:r>
          </w:p>
          <w:p w14:paraId="74D3FBE0" w14:textId="77777777" w:rsidR="006C0A4B" w:rsidRDefault="006C0A4B" w:rsidP="006C0A4B">
            <w:pPr>
              <w:pStyle w:val="ListParagraph"/>
              <w:numPr>
                <w:ilvl w:val="0"/>
                <w:numId w:val="28"/>
              </w:numPr>
              <w:spacing w:after="0" w:line="240" w:lineRule="auto"/>
            </w:pPr>
            <w:r>
              <w:t xml:space="preserve">His perceptions on UNDP support </w:t>
            </w:r>
          </w:p>
        </w:tc>
        <w:tc>
          <w:tcPr>
            <w:tcW w:w="2569" w:type="dxa"/>
          </w:tcPr>
          <w:p w14:paraId="0372C860" w14:textId="77777777" w:rsidR="006C0A4B" w:rsidRDefault="006C0A4B" w:rsidP="006C0A4B">
            <w:pPr>
              <w:pStyle w:val="ListParagraph"/>
              <w:numPr>
                <w:ilvl w:val="0"/>
                <w:numId w:val="28"/>
              </w:numPr>
              <w:spacing w:after="0" w:line="240" w:lineRule="auto"/>
            </w:pPr>
            <w:r>
              <w:t>19</w:t>
            </w:r>
            <w:r w:rsidRPr="00D277FE">
              <w:rPr>
                <w:vertAlign w:val="superscript"/>
              </w:rPr>
              <w:t>th</w:t>
            </w:r>
            <w:r>
              <w:t xml:space="preserve"> September  </w:t>
            </w:r>
          </w:p>
        </w:tc>
      </w:tr>
      <w:tr w:rsidR="006C0A4B" w14:paraId="6818CFA8" w14:textId="77777777" w:rsidTr="006C0A4B">
        <w:tc>
          <w:tcPr>
            <w:tcW w:w="2405" w:type="dxa"/>
          </w:tcPr>
          <w:p w14:paraId="2224E994" w14:textId="77777777" w:rsidR="006C0A4B" w:rsidRDefault="006C0A4B" w:rsidP="006C0A4B">
            <w:pPr>
              <w:pStyle w:val="ListParagraph"/>
              <w:numPr>
                <w:ilvl w:val="0"/>
                <w:numId w:val="27"/>
              </w:numPr>
              <w:spacing w:after="0" w:line="240" w:lineRule="auto"/>
            </w:pPr>
            <w:r>
              <w:t xml:space="preserve">Hartono </w:t>
            </w:r>
          </w:p>
          <w:p w14:paraId="7D219D77" w14:textId="77777777" w:rsidR="006C0A4B" w:rsidRDefault="006C0A4B" w:rsidP="006C0A4B">
            <w:pPr>
              <w:pStyle w:val="ListParagraph"/>
              <w:ind w:left="360"/>
            </w:pPr>
            <w:r>
              <w:t xml:space="preserve">BRG Secretary/NPD </w:t>
            </w:r>
          </w:p>
        </w:tc>
        <w:tc>
          <w:tcPr>
            <w:tcW w:w="2999" w:type="dxa"/>
          </w:tcPr>
          <w:p w14:paraId="0DA2E21C" w14:textId="77777777" w:rsidR="006C0A4B" w:rsidRDefault="006C0A4B" w:rsidP="006C0A4B">
            <w:hyperlink r:id="rId14" w:history="1">
              <w:r w:rsidRPr="005701DD">
                <w:rPr>
                  <w:rStyle w:val="Hyperlink"/>
                </w:rPr>
                <w:t>hprawiratmadja@gmail.com</w:t>
              </w:r>
            </w:hyperlink>
          </w:p>
          <w:p w14:paraId="3CC8F3A9" w14:textId="77777777" w:rsidR="006C0A4B" w:rsidRDefault="006C0A4B" w:rsidP="006C0A4B">
            <w:r>
              <w:t>08129770717</w:t>
            </w:r>
          </w:p>
        </w:tc>
        <w:tc>
          <w:tcPr>
            <w:tcW w:w="2211" w:type="dxa"/>
          </w:tcPr>
          <w:p w14:paraId="043869AC" w14:textId="77777777" w:rsidR="006C0A4B" w:rsidRDefault="006C0A4B" w:rsidP="006C0A4B">
            <w:pPr>
              <w:pStyle w:val="ListParagraph"/>
              <w:numPr>
                <w:ilvl w:val="0"/>
                <w:numId w:val="28"/>
              </w:numPr>
              <w:spacing w:after="0" w:line="240" w:lineRule="auto"/>
            </w:pPr>
            <w:r>
              <w:t xml:space="preserve">Key impacts to BRG institutional setup and worked on the ground  </w:t>
            </w:r>
          </w:p>
          <w:p w14:paraId="033AA5B5" w14:textId="77777777" w:rsidR="006C0A4B" w:rsidRDefault="006C0A4B" w:rsidP="006C0A4B">
            <w:pPr>
              <w:pStyle w:val="ListParagraph"/>
              <w:numPr>
                <w:ilvl w:val="0"/>
                <w:numId w:val="28"/>
              </w:numPr>
              <w:spacing w:after="0" w:line="240" w:lineRule="auto"/>
            </w:pPr>
            <w:r>
              <w:t xml:space="preserve">BRG Support Facility support to his roles and tasks </w:t>
            </w:r>
          </w:p>
          <w:p w14:paraId="7BF3C965" w14:textId="77777777" w:rsidR="006C0A4B" w:rsidRDefault="006C0A4B" w:rsidP="006C0A4B">
            <w:pPr>
              <w:pStyle w:val="ListParagraph"/>
              <w:numPr>
                <w:ilvl w:val="0"/>
                <w:numId w:val="28"/>
              </w:numPr>
              <w:spacing w:after="0" w:line="240" w:lineRule="auto"/>
            </w:pPr>
            <w:r>
              <w:t xml:space="preserve">Speed, efficiency and value for money  </w:t>
            </w:r>
          </w:p>
        </w:tc>
        <w:tc>
          <w:tcPr>
            <w:tcW w:w="2569" w:type="dxa"/>
          </w:tcPr>
          <w:p w14:paraId="5282342F" w14:textId="77777777" w:rsidR="006C0A4B" w:rsidRDefault="006C0A4B" w:rsidP="006C0A4B">
            <w:pPr>
              <w:pStyle w:val="ListParagraph"/>
              <w:numPr>
                <w:ilvl w:val="0"/>
                <w:numId w:val="28"/>
              </w:numPr>
              <w:spacing w:after="0" w:line="240" w:lineRule="auto"/>
            </w:pPr>
            <w:r>
              <w:t>24</w:t>
            </w:r>
            <w:r w:rsidRPr="00791A40">
              <w:rPr>
                <w:vertAlign w:val="superscript"/>
              </w:rPr>
              <w:t>th</w:t>
            </w:r>
            <w:r>
              <w:t xml:space="preserve"> September </w:t>
            </w:r>
          </w:p>
        </w:tc>
      </w:tr>
      <w:tr w:rsidR="006C0A4B" w14:paraId="4A44694B" w14:textId="77777777" w:rsidTr="006C0A4B">
        <w:tc>
          <w:tcPr>
            <w:tcW w:w="2405" w:type="dxa"/>
          </w:tcPr>
          <w:p w14:paraId="1AE33F0B" w14:textId="77777777" w:rsidR="006C0A4B" w:rsidRDefault="006C0A4B" w:rsidP="006C0A4B">
            <w:pPr>
              <w:pStyle w:val="ListParagraph"/>
              <w:numPr>
                <w:ilvl w:val="0"/>
                <w:numId w:val="27"/>
              </w:numPr>
              <w:spacing w:after="0" w:line="240" w:lineRule="auto"/>
            </w:pPr>
            <w:r>
              <w:t xml:space="preserve">Budi Wardana </w:t>
            </w:r>
          </w:p>
          <w:p w14:paraId="1AF648C3" w14:textId="77777777" w:rsidR="006C0A4B" w:rsidRDefault="006C0A4B" w:rsidP="006C0A4B">
            <w:pPr>
              <w:pStyle w:val="ListParagraph"/>
              <w:ind w:left="360"/>
            </w:pPr>
            <w:r>
              <w:t xml:space="preserve">Deputy 1 </w:t>
            </w:r>
          </w:p>
        </w:tc>
        <w:tc>
          <w:tcPr>
            <w:tcW w:w="2999" w:type="dxa"/>
          </w:tcPr>
          <w:p w14:paraId="75522A6B" w14:textId="77777777" w:rsidR="006C0A4B" w:rsidRDefault="006C0A4B" w:rsidP="006C0A4B">
            <w:hyperlink r:id="rId15" w:history="1">
              <w:r w:rsidRPr="005701DD">
                <w:rPr>
                  <w:rStyle w:val="Hyperlink"/>
                </w:rPr>
                <w:t>budi.wardhana@brg.go.id</w:t>
              </w:r>
            </w:hyperlink>
          </w:p>
          <w:p w14:paraId="6C3232F2" w14:textId="77777777" w:rsidR="006C0A4B" w:rsidRDefault="006C0A4B" w:rsidP="006C0A4B">
            <w:r>
              <w:t>08119933117</w:t>
            </w:r>
            <w:r w:rsidRPr="00256E03">
              <w:t xml:space="preserve"> </w:t>
            </w:r>
          </w:p>
        </w:tc>
        <w:tc>
          <w:tcPr>
            <w:tcW w:w="2211" w:type="dxa"/>
          </w:tcPr>
          <w:p w14:paraId="5CD9534A" w14:textId="77777777" w:rsidR="006C0A4B" w:rsidRDefault="006C0A4B" w:rsidP="006C0A4B">
            <w:pPr>
              <w:pStyle w:val="ListParagraph"/>
              <w:numPr>
                <w:ilvl w:val="0"/>
                <w:numId w:val="28"/>
              </w:numPr>
              <w:spacing w:after="0" w:line="240" w:lineRule="auto"/>
            </w:pPr>
            <w:r>
              <w:t xml:space="preserve">Key impacts to BRG institutional </w:t>
            </w:r>
            <w:r>
              <w:lastRenderedPageBreak/>
              <w:t xml:space="preserve">setup and worked on the ground  </w:t>
            </w:r>
          </w:p>
          <w:p w14:paraId="185D34F2" w14:textId="77777777" w:rsidR="006C0A4B" w:rsidRDefault="006C0A4B" w:rsidP="006C0A4B">
            <w:pPr>
              <w:pStyle w:val="ListParagraph"/>
              <w:numPr>
                <w:ilvl w:val="0"/>
                <w:numId w:val="28"/>
              </w:numPr>
              <w:spacing w:after="0" w:line="240" w:lineRule="auto"/>
            </w:pPr>
            <w:r>
              <w:t xml:space="preserve">BRG Support Facility support to his roles and tasks </w:t>
            </w:r>
          </w:p>
          <w:p w14:paraId="4AC4F371" w14:textId="77777777" w:rsidR="006C0A4B" w:rsidRDefault="006C0A4B" w:rsidP="006C0A4B">
            <w:pPr>
              <w:pStyle w:val="ListParagraph"/>
              <w:numPr>
                <w:ilvl w:val="0"/>
                <w:numId w:val="28"/>
              </w:numPr>
              <w:spacing w:after="0" w:line="240" w:lineRule="auto"/>
            </w:pPr>
            <w:r>
              <w:t xml:space="preserve">Speed, efficiency and value for money  </w:t>
            </w:r>
          </w:p>
        </w:tc>
        <w:tc>
          <w:tcPr>
            <w:tcW w:w="2569" w:type="dxa"/>
          </w:tcPr>
          <w:p w14:paraId="00BC137E" w14:textId="77777777" w:rsidR="006C0A4B" w:rsidRDefault="006C0A4B" w:rsidP="006C0A4B">
            <w:pPr>
              <w:pStyle w:val="ListParagraph"/>
              <w:numPr>
                <w:ilvl w:val="0"/>
                <w:numId w:val="28"/>
              </w:numPr>
              <w:spacing w:after="0" w:line="240" w:lineRule="auto"/>
            </w:pPr>
            <w:r>
              <w:lastRenderedPageBreak/>
              <w:t>18</w:t>
            </w:r>
            <w:r w:rsidRPr="00791A40">
              <w:rPr>
                <w:vertAlign w:val="superscript"/>
              </w:rPr>
              <w:t>th</w:t>
            </w:r>
            <w:r>
              <w:t xml:space="preserve">  September </w:t>
            </w:r>
          </w:p>
        </w:tc>
      </w:tr>
      <w:tr w:rsidR="006C0A4B" w14:paraId="54DDFC32" w14:textId="77777777" w:rsidTr="006C0A4B">
        <w:tc>
          <w:tcPr>
            <w:tcW w:w="2405" w:type="dxa"/>
          </w:tcPr>
          <w:p w14:paraId="3D8835A5" w14:textId="77777777" w:rsidR="006C0A4B" w:rsidRDefault="006C0A4B" w:rsidP="006C0A4B">
            <w:pPr>
              <w:pStyle w:val="ListParagraph"/>
              <w:numPr>
                <w:ilvl w:val="0"/>
                <w:numId w:val="27"/>
              </w:numPr>
              <w:spacing w:after="0" w:line="240" w:lineRule="auto"/>
            </w:pPr>
            <w:r>
              <w:t>Myrna Savitri</w:t>
            </w:r>
          </w:p>
          <w:p w14:paraId="2D7EC040" w14:textId="77777777" w:rsidR="006C0A4B" w:rsidRDefault="006C0A4B" w:rsidP="006C0A4B">
            <w:pPr>
              <w:pStyle w:val="ListParagraph"/>
              <w:ind w:left="360"/>
            </w:pPr>
            <w:r>
              <w:t>Deputy 3</w:t>
            </w:r>
          </w:p>
        </w:tc>
        <w:tc>
          <w:tcPr>
            <w:tcW w:w="2999" w:type="dxa"/>
          </w:tcPr>
          <w:p w14:paraId="72A231C3" w14:textId="77777777" w:rsidR="006C0A4B" w:rsidRDefault="006C0A4B" w:rsidP="006C0A4B">
            <w:hyperlink r:id="rId16" w:history="1">
              <w:r w:rsidRPr="005701DD">
                <w:rPr>
                  <w:rStyle w:val="Hyperlink"/>
                </w:rPr>
                <w:t>myrna.safitri@brg.go.id</w:t>
              </w:r>
            </w:hyperlink>
          </w:p>
          <w:p w14:paraId="535BEFDD" w14:textId="77777777" w:rsidR="006C0A4B" w:rsidRDefault="006C0A4B" w:rsidP="006C0A4B">
            <w:r>
              <w:t>0816861372</w:t>
            </w:r>
          </w:p>
        </w:tc>
        <w:tc>
          <w:tcPr>
            <w:tcW w:w="2211" w:type="dxa"/>
          </w:tcPr>
          <w:p w14:paraId="090DCC07" w14:textId="77777777" w:rsidR="006C0A4B" w:rsidRDefault="006C0A4B" w:rsidP="006C0A4B">
            <w:pPr>
              <w:pStyle w:val="ListParagraph"/>
              <w:numPr>
                <w:ilvl w:val="0"/>
                <w:numId w:val="28"/>
              </w:numPr>
              <w:spacing w:after="0" w:line="240" w:lineRule="auto"/>
            </w:pPr>
            <w:r>
              <w:t xml:space="preserve">Key impacts to BRG institutional setup and worked on the ground  </w:t>
            </w:r>
          </w:p>
          <w:p w14:paraId="7158DABE" w14:textId="77777777" w:rsidR="006C0A4B" w:rsidRDefault="006C0A4B" w:rsidP="006C0A4B">
            <w:pPr>
              <w:pStyle w:val="ListParagraph"/>
              <w:numPr>
                <w:ilvl w:val="0"/>
                <w:numId w:val="28"/>
              </w:numPr>
              <w:spacing w:after="0" w:line="240" w:lineRule="auto"/>
            </w:pPr>
            <w:r>
              <w:t xml:space="preserve">BRG Support Facility support to his roles and tasks </w:t>
            </w:r>
          </w:p>
          <w:p w14:paraId="78CC9FAF" w14:textId="77777777" w:rsidR="006C0A4B" w:rsidRDefault="006C0A4B" w:rsidP="006C0A4B">
            <w:pPr>
              <w:pStyle w:val="ListParagraph"/>
              <w:numPr>
                <w:ilvl w:val="0"/>
                <w:numId w:val="28"/>
              </w:numPr>
              <w:spacing w:after="0" w:line="240" w:lineRule="auto"/>
            </w:pPr>
            <w:r>
              <w:t xml:space="preserve">Speed, efficiency and value for money  </w:t>
            </w:r>
          </w:p>
        </w:tc>
        <w:tc>
          <w:tcPr>
            <w:tcW w:w="2569" w:type="dxa"/>
          </w:tcPr>
          <w:p w14:paraId="5D16F5BB" w14:textId="77777777" w:rsidR="006C0A4B" w:rsidRDefault="006C0A4B" w:rsidP="006C0A4B">
            <w:pPr>
              <w:pStyle w:val="ListParagraph"/>
              <w:numPr>
                <w:ilvl w:val="0"/>
                <w:numId w:val="28"/>
              </w:numPr>
              <w:spacing w:after="0" w:line="240" w:lineRule="auto"/>
            </w:pPr>
            <w:r>
              <w:t>18</w:t>
            </w:r>
            <w:r w:rsidRPr="00791A40">
              <w:rPr>
                <w:vertAlign w:val="superscript"/>
              </w:rPr>
              <w:t>th</w:t>
            </w:r>
            <w:r>
              <w:t xml:space="preserve">  September  </w:t>
            </w:r>
          </w:p>
        </w:tc>
      </w:tr>
      <w:tr w:rsidR="006C0A4B" w14:paraId="1205BD56" w14:textId="77777777" w:rsidTr="006C0A4B">
        <w:tc>
          <w:tcPr>
            <w:tcW w:w="2405" w:type="dxa"/>
          </w:tcPr>
          <w:p w14:paraId="6320EE44" w14:textId="77777777" w:rsidR="006C0A4B" w:rsidRDefault="006C0A4B" w:rsidP="006C0A4B">
            <w:pPr>
              <w:pStyle w:val="ListParagraph"/>
              <w:numPr>
                <w:ilvl w:val="0"/>
                <w:numId w:val="27"/>
              </w:numPr>
              <w:spacing w:after="0" w:line="240" w:lineRule="auto"/>
            </w:pPr>
            <w:r>
              <w:t xml:space="preserve">Didy Wurdjanto </w:t>
            </w:r>
          </w:p>
          <w:p w14:paraId="01619A52" w14:textId="77777777" w:rsidR="006C0A4B" w:rsidRDefault="006C0A4B" w:rsidP="006C0A4B">
            <w:pPr>
              <w:pStyle w:val="ListParagraph"/>
              <w:ind w:left="360"/>
            </w:pPr>
            <w:r>
              <w:t xml:space="preserve">Dir-Planning and Budgeting </w:t>
            </w:r>
          </w:p>
        </w:tc>
        <w:tc>
          <w:tcPr>
            <w:tcW w:w="2999" w:type="dxa"/>
          </w:tcPr>
          <w:p w14:paraId="1869F9AF" w14:textId="77777777" w:rsidR="006C0A4B" w:rsidRDefault="006C0A4B" w:rsidP="006C0A4B">
            <w:hyperlink r:id="rId17" w:history="1">
              <w:r w:rsidRPr="005701DD">
                <w:rPr>
                  <w:rStyle w:val="Hyperlink"/>
                </w:rPr>
                <w:t>dwurjanto77@gmail.com</w:t>
              </w:r>
            </w:hyperlink>
          </w:p>
          <w:p w14:paraId="349C6367" w14:textId="77777777" w:rsidR="006C0A4B" w:rsidRPr="00AC658E" w:rsidRDefault="006C0A4B" w:rsidP="006C0A4B">
            <w:r>
              <w:t xml:space="preserve">08128265536 </w:t>
            </w:r>
          </w:p>
        </w:tc>
        <w:tc>
          <w:tcPr>
            <w:tcW w:w="2211" w:type="dxa"/>
          </w:tcPr>
          <w:p w14:paraId="6E9E2791" w14:textId="77777777" w:rsidR="006C0A4B" w:rsidRDefault="006C0A4B" w:rsidP="006C0A4B">
            <w:pPr>
              <w:pStyle w:val="ListParagraph"/>
              <w:numPr>
                <w:ilvl w:val="0"/>
                <w:numId w:val="28"/>
              </w:numPr>
              <w:spacing w:after="0" w:line="240" w:lineRule="auto"/>
            </w:pPr>
            <w:r>
              <w:t xml:space="preserve">Key impacts to BRG institutional setup and worked on the ground  </w:t>
            </w:r>
          </w:p>
          <w:p w14:paraId="4460D043" w14:textId="77777777" w:rsidR="006C0A4B" w:rsidRDefault="006C0A4B" w:rsidP="006C0A4B">
            <w:pPr>
              <w:pStyle w:val="ListParagraph"/>
              <w:numPr>
                <w:ilvl w:val="0"/>
                <w:numId w:val="28"/>
              </w:numPr>
              <w:spacing w:after="0" w:line="240" w:lineRule="auto"/>
            </w:pPr>
            <w:r>
              <w:t xml:space="preserve">BRG Support Facility support to his roles and tasks </w:t>
            </w:r>
          </w:p>
          <w:p w14:paraId="51226FD5" w14:textId="77777777" w:rsidR="006C0A4B" w:rsidRDefault="006C0A4B" w:rsidP="006C0A4B">
            <w:pPr>
              <w:pStyle w:val="ListParagraph"/>
              <w:numPr>
                <w:ilvl w:val="0"/>
                <w:numId w:val="28"/>
              </w:numPr>
              <w:spacing w:after="0" w:line="240" w:lineRule="auto"/>
            </w:pPr>
            <w:r>
              <w:t xml:space="preserve">Speed, efficiency and value for money  </w:t>
            </w:r>
          </w:p>
        </w:tc>
        <w:tc>
          <w:tcPr>
            <w:tcW w:w="2569" w:type="dxa"/>
          </w:tcPr>
          <w:p w14:paraId="312921E3" w14:textId="77777777" w:rsidR="006C0A4B" w:rsidRDefault="006C0A4B" w:rsidP="006C0A4B">
            <w:pPr>
              <w:pStyle w:val="ListParagraph"/>
              <w:numPr>
                <w:ilvl w:val="0"/>
                <w:numId w:val="28"/>
              </w:numPr>
              <w:spacing w:after="0" w:line="240" w:lineRule="auto"/>
            </w:pPr>
            <w:r>
              <w:t>17</w:t>
            </w:r>
            <w:r w:rsidRPr="00791A40">
              <w:rPr>
                <w:vertAlign w:val="superscript"/>
              </w:rPr>
              <w:t>th</w:t>
            </w:r>
            <w:r>
              <w:t xml:space="preserve"> September  </w:t>
            </w:r>
          </w:p>
        </w:tc>
      </w:tr>
      <w:tr w:rsidR="006C0A4B" w14:paraId="05AC2306" w14:textId="77777777" w:rsidTr="006C0A4B">
        <w:tc>
          <w:tcPr>
            <w:tcW w:w="7615" w:type="dxa"/>
            <w:gridSpan w:val="3"/>
          </w:tcPr>
          <w:p w14:paraId="013D44BE" w14:textId="77777777" w:rsidR="006C0A4B" w:rsidRDefault="006C0A4B" w:rsidP="006C0A4B">
            <w:r>
              <w:t xml:space="preserve">Norway Embassy </w:t>
            </w:r>
          </w:p>
        </w:tc>
        <w:tc>
          <w:tcPr>
            <w:tcW w:w="2569" w:type="dxa"/>
          </w:tcPr>
          <w:p w14:paraId="2682DEDA" w14:textId="77777777" w:rsidR="006C0A4B" w:rsidRDefault="006C0A4B" w:rsidP="006C0A4B"/>
        </w:tc>
      </w:tr>
      <w:tr w:rsidR="006C0A4B" w14:paraId="3FA16EF6" w14:textId="77777777" w:rsidTr="006C0A4B">
        <w:tc>
          <w:tcPr>
            <w:tcW w:w="2405" w:type="dxa"/>
          </w:tcPr>
          <w:p w14:paraId="37C84348" w14:textId="77777777" w:rsidR="006C0A4B" w:rsidRDefault="006C0A4B" w:rsidP="006C0A4B">
            <w:pPr>
              <w:pStyle w:val="ListParagraph"/>
              <w:numPr>
                <w:ilvl w:val="0"/>
                <w:numId w:val="27"/>
              </w:numPr>
              <w:spacing w:after="0" w:line="240" w:lineRule="auto"/>
            </w:pPr>
            <w:r w:rsidRPr="00C32DA9">
              <w:t xml:space="preserve">Øyvind </w:t>
            </w:r>
            <w:r>
              <w:t xml:space="preserve">Dahl </w:t>
            </w:r>
          </w:p>
          <w:p w14:paraId="18C9F5CA" w14:textId="77777777" w:rsidR="006C0A4B" w:rsidRDefault="006C0A4B" w:rsidP="006C0A4B">
            <w:pPr>
              <w:pStyle w:val="ListParagraph"/>
              <w:ind w:left="360"/>
            </w:pPr>
            <w:r>
              <w:t xml:space="preserve">Counselor </w:t>
            </w:r>
          </w:p>
        </w:tc>
        <w:tc>
          <w:tcPr>
            <w:tcW w:w="2999" w:type="dxa"/>
          </w:tcPr>
          <w:p w14:paraId="16E71343" w14:textId="77777777" w:rsidR="006C0A4B" w:rsidRDefault="006C0A4B" w:rsidP="006C0A4B">
            <w:r>
              <w:t>Oyvind.Dahl@mfa.no</w:t>
            </w:r>
          </w:p>
        </w:tc>
        <w:tc>
          <w:tcPr>
            <w:tcW w:w="2211" w:type="dxa"/>
          </w:tcPr>
          <w:p w14:paraId="39DAB2C1" w14:textId="77777777" w:rsidR="006C0A4B" w:rsidRDefault="006C0A4B" w:rsidP="006C0A4B">
            <w:pPr>
              <w:pStyle w:val="ListParagraph"/>
              <w:numPr>
                <w:ilvl w:val="0"/>
                <w:numId w:val="28"/>
              </w:numPr>
              <w:spacing w:after="0" w:line="240" w:lineRule="auto"/>
            </w:pPr>
            <w:r>
              <w:t>Key impacts to BRG institutional setup</w:t>
            </w:r>
          </w:p>
          <w:p w14:paraId="16085F8C" w14:textId="77777777" w:rsidR="006C0A4B" w:rsidRDefault="006C0A4B" w:rsidP="006C0A4B">
            <w:pPr>
              <w:pStyle w:val="ListParagraph"/>
              <w:numPr>
                <w:ilvl w:val="0"/>
                <w:numId w:val="28"/>
              </w:numPr>
              <w:spacing w:after="0" w:line="240" w:lineRule="auto"/>
            </w:pPr>
            <w:r>
              <w:t xml:space="preserve">Key contributions to Norway ambition on climate change  </w:t>
            </w:r>
          </w:p>
          <w:p w14:paraId="5A4631A2" w14:textId="77777777" w:rsidR="006C0A4B" w:rsidRDefault="006C0A4B" w:rsidP="006C0A4B">
            <w:pPr>
              <w:pStyle w:val="ListParagraph"/>
              <w:numPr>
                <w:ilvl w:val="0"/>
                <w:numId w:val="28"/>
              </w:numPr>
              <w:spacing w:after="0" w:line="240" w:lineRule="auto"/>
            </w:pPr>
            <w:r>
              <w:t xml:space="preserve">Speed, efficiency and value for money  </w:t>
            </w:r>
          </w:p>
        </w:tc>
        <w:tc>
          <w:tcPr>
            <w:tcW w:w="2569" w:type="dxa"/>
          </w:tcPr>
          <w:p w14:paraId="51EB0165" w14:textId="77777777" w:rsidR="006C0A4B" w:rsidRDefault="006C0A4B" w:rsidP="006C0A4B">
            <w:pPr>
              <w:pStyle w:val="ListParagraph"/>
              <w:numPr>
                <w:ilvl w:val="0"/>
                <w:numId w:val="28"/>
              </w:numPr>
              <w:spacing w:after="0" w:line="240" w:lineRule="auto"/>
            </w:pPr>
            <w:r>
              <w:t>3</w:t>
            </w:r>
            <w:r w:rsidRPr="00791A40">
              <w:rPr>
                <w:vertAlign w:val="superscript"/>
              </w:rPr>
              <w:t>rd</w:t>
            </w:r>
            <w:r>
              <w:t xml:space="preserve"> October </w:t>
            </w:r>
          </w:p>
        </w:tc>
      </w:tr>
      <w:tr w:rsidR="006C0A4B" w14:paraId="696BDD56" w14:textId="77777777" w:rsidTr="006C0A4B">
        <w:tc>
          <w:tcPr>
            <w:tcW w:w="2405" w:type="dxa"/>
          </w:tcPr>
          <w:p w14:paraId="2F2AA318" w14:textId="77777777" w:rsidR="006C0A4B" w:rsidRDefault="006C0A4B" w:rsidP="006C0A4B">
            <w:pPr>
              <w:pStyle w:val="ListParagraph"/>
              <w:numPr>
                <w:ilvl w:val="0"/>
                <w:numId w:val="27"/>
              </w:numPr>
              <w:spacing w:after="0" w:line="240" w:lineRule="auto"/>
            </w:pPr>
            <w:r>
              <w:t>Susilo Ady Kuncoro</w:t>
            </w:r>
          </w:p>
          <w:p w14:paraId="11BF8D63" w14:textId="77777777" w:rsidR="006C0A4B" w:rsidRPr="00C32DA9" w:rsidRDefault="006C0A4B" w:rsidP="006C0A4B">
            <w:pPr>
              <w:pStyle w:val="ListParagraph"/>
              <w:ind w:left="360"/>
            </w:pPr>
            <w:r>
              <w:t xml:space="preserve">Adviser </w:t>
            </w:r>
          </w:p>
        </w:tc>
        <w:tc>
          <w:tcPr>
            <w:tcW w:w="2999" w:type="dxa"/>
          </w:tcPr>
          <w:p w14:paraId="7C9FD53F" w14:textId="77777777" w:rsidR="006C0A4B" w:rsidRDefault="006C0A4B" w:rsidP="006C0A4B">
            <w:r w:rsidRPr="00C32DA9">
              <w:t>Susilo.Ady.KUNCORO@mfa.no</w:t>
            </w:r>
          </w:p>
        </w:tc>
        <w:tc>
          <w:tcPr>
            <w:tcW w:w="2211" w:type="dxa"/>
          </w:tcPr>
          <w:p w14:paraId="1AC4BA44" w14:textId="77777777" w:rsidR="006C0A4B" w:rsidRDefault="006C0A4B" w:rsidP="006C0A4B">
            <w:pPr>
              <w:pStyle w:val="ListParagraph"/>
              <w:numPr>
                <w:ilvl w:val="0"/>
                <w:numId w:val="28"/>
              </w:numPr>
              <w:spacing w:after="0" w:line="240" w:lineRule="auto"/>
            </w:pPr>
            <w:r>
              <w:t>Key impacts to BRG institutional setup</w:t>
            </w:r>
          </w:p>
          <w:p w14:paraId="082A773B" w14:textId="77777777" w:rsidR="006C0A4B" w:rsidRDefault="006C0A4B" w:rsidP="006C0A4B">
            <w:pPr>
              <w:pStyle w:val="ListParagraph"/>
              <w:numPr>
                <w:ilvl w:val="0"/>
                <w:numId w:val="28"/>
              </w:numPr>
              <w:spacing w:after="0" w:line="240" w:lineRule="auto"/>
            </w:pPr>
            <w:r>
              <w:t xml:space="preserve">Key contributions to Norway ambition on climate change  </w:t>
            </w:r>
          </w:p>
          <w:p w14:paraId="602CD292" w14:textId="77777777" w:rsidR="006C0A4B" w:rsidRDefault="006C0A4B" w:rsidP="006C0A4B">
            <w:pPr>
              <w:pStyle w:val="ListParagraph"/>
              <w:numPr>
                <w:ilvl w:val="0"/>
                <w:numId w:val="28"/>
              </w:numPr>
              <w:spacing w:after="0" w:line="240" w:lineRule="auto"/>
            </w:pPr>
            <w:r>
              <w:t xml:space="preserve">Speed, efficiency and value for money  </w:t>
            </w:r>
          </w:p>
        </w:tc>
        <w:tc>
          <w:tcPr>
            <w:tcW w:w="2569" w:type="dxa"/>
          </w:tcPr>
          <w:p w14:paraId="32971776" w14:textId="77777777" w:rsidR="006C0A4B" w:rsidRDefault="006C0A4B" w:rsidP="006C0A4B">
            <w:pPr>
              <w:pStyle w:val="ListParagraph"/>
              <w:numPr>
                <w:ilvl w:val="0"/>
                <w:numId w:val="28"/>
              </w:numPr>
              <w:spacing w:after="0" w:line="240" w:lineRule="auto"/>
            </w:pPr>
            <w:r>
              <w:t>3</w:t>
            </w:r>
            <w:r w:rsidRPr="00791A40">
              <w:rPr>
                <w:vertAlign w:val="superscript"/>
              </w:rPr>
              <w:t>rd</w:t>
            </w:r>
            <w:r>
              <w:t xml:space="preserve"> October </w:t>
            </w:r>
          </w:p>
        </w:tc>
      </w:tr>
      <w:tr w:rsidR="006C0A4B" w14:paraId="410674E7" w14:textId="77777777" w:rsidTr="006C0A4B">
        <w:tc>
          <w:tcPr>
            <w:tcW w:w="7615" w:type="dxa"/>
            <w:gridSpan w:val="3"/>
          </w:tcPr>
          <w:p w14:paraId="6A17136B" w14:textId="77777777" w:rsidR="006C0A4B" w:rsidRDefault="006C0A4B" w:rsidP="006C0A4B">
            <w:r>
              <w:lastRenderedPageBreak/>
              <w:t xml:space="preserve">DG Law Enforcement-LHK </w:t>
            </w:r>
          </w:p>
        </w:tc>
        <w:tc>
          <w:tcPr>
            <w:tcW w:w="2569" w:type="dxa"/>
          </w:tcPr>
          <w:p w14:paraId="1250CE49" w14:textId="77777777" w:rsidR="006C0A4B" w:rsidRDefault="006C0A4B" w:rsidP="006C0A4B"/>
        </w:tc>
      </w:tr>
      <w:tr w:rsidR="006C0A4B" w14:paraId="2C8C17A5" w14:textId="77777777" w:rsidTr="006C0A4B">
        <w:tc>
          <w:tcPr>
            <w:tcW w:w="2405" w:type="dxa"/>
          </w:tcPr>
          <w:p w14:paraId="2FBF861B" w14:textId="77777777" w:rsidR="006C0A4B" w:rsidRDefault="006C0A4B" w:rsidP="006C0A4B">
            <w:pPr>
              <w:pStyle w:val="ListParagraph"/>
              <w:numPr>
                <w:ilvl w:val="0"/>
                <w:numId w:val="27"/>
              </w:numPr>
              <w:spacing w:after="0" w:line="240" w:lineRule="auto"/>
            </w:pPr>
            <w:r w:rsidRPr="00C104DF">
              <w:t>Damayanti Nadia Syifa</w:t>
            </w:r>
          </w:p>
          <w:p w14:paraId="61887886" w14:textId="77777777" w:rsidR="006C0A4B" w:rsidRDefault="006C0A4B" w:rsidP="006C0A4B">
            <w:pPr>
              <w:pStyle w:val="ListParagraph"/>
              <w:ind w:left="360"/>
            </w:pPr>
            <w:r>
              <w:t xml:space="preserve">Head of Planning and Budgeting </w:t>
            </w:r>
          </w:p>
        </w:tc>
        <w:tc>
          <w:tcPr>
            <w:tcW w:w="2999" w:type="dxa"/>
          </w:tcPr>
          <w:p w14:paraId="4B8487CB" w14:textId="77777777" w:rsidR="006C0A4B" w:rsidRDefault="006C0A4B" w:rsidP="006C0A4B">
            <w:r w:rsidRPr="00C104DF">
              <w:t>damanadia@yahoo.com</w:t>
            </w:r>
          </w:p>
        </w:tc>
        <w:tc>
          <w:tcPr>
            <w:tcW w:w="2211" w:type="dxa"/>
          </w:tcPr>
          <w:p w14:paraId="365A4BCA" w14:textId="77777777" w:rsidR="006C0A4B" w:rsidRDefault="006C0A4B" w:rsidP="006C0A4B">
            <w:pPr>
              <w:pStyle w:val="ListParagraph"/>
              <w:numPr>
                <w:ilvl w:val="0"/>
                <w:numId w:val="28"/>
              </w:numPr>
              <w:spacing w:after="0" w:line="240" w:lineRule="auto"/>
            </w:pPr>
            <w:r>
              <w:t>Key achievement for Ops-room development project</w:t>
            </w:r>
          </w:p>
        </w:tc>
        <w:tc>
          <w:tcPr>
            <w:tcW w:w="2569" w:type="dxa"/>
          </w:tcPr>
          <w:p w14:paraId="411A6471" w14:textId="77777777" w:rsidR="006C0A4B" w:rsidRDefault="006C0A4B" w:rsidP="006C0A4B">
            <w:pPr>
              <w:pStyle w:val="ListParagraph"/>
              <w:numPr>
                <w:ilvl w:val="0"/>
                <w:numId w:val="28"/>
              </w:numPr>
              <w:spacing w:after="0" w:line="240" w:lineRule="auto"/>
            </w:pPr>
            <w:r>
              <w:t>19</w:t>
            </w:r>
            <w:r w:rsidRPr="00D277FE">
              <w:rPr>
                <w:vertAlign w:val="superscript"/>
              </w:rPr>
              <w:t>th</w:t>
            </w:r>
            <w:r>
              <w:t xml:space="preserve"> September </w:t>
            </w:r>
          </w:p>
        </w:tc>
      </w:tr>
      <w:tr w:rsidR="006C0A4B" w14:paraId="3B4BD8A2" w14:textId="77777777" w:rsidTr="006C0A4B">
        <w:tc>
          <w:tcPr>
            <w:tcW w:w="2405" w:type="dxa"/>
          </w:tcPr>
          <w:p w14:paraId="1573F18E" w14:textId="77777777" w:rsidR="006C0A4B" w:rsidRPr="00C104DF" w:rsidRDefault="006C0A4B" w:rsidP="006C0A4B">
            <w:pPr>
              <w:pStyle w:val="ListParagraph"/>
              <w:ind w:left="360"/>
            </w:pPr>
          </w:p>
        </w:tc>
        <w:tc>
          <w:tcPr>
            <w:tcW w:w="2999" w:type="dxa"/>
          </w:tcPr>
          <w:p w14:paraId="1C069B8C" w14:textId="77777777" w:rsidR="006C0A4B" w:rsidRPr="00C104DF" w:rsidRDefault="006C0A4B" w:rsidP="006C0A4B"/>
        </w:tc>
        <w:tc>
          <w:tcPr>
            <w:tcW w:w="2211" w:type="dxa"/>
          </w:tcPr>
          <w:p w14:paraId="4489FDDC" w14:textId="77777777" w:rsidR="006C0A4B" w:rsidRDefault="006C0A4B" w:rsidP="006C0A4B">
            <w:pPr>
              <w:pStyle w:val="ListParagraph"/>
              <w:numPr>
                <w:ilvl w:val="0"/>
                <w:numId w:val="28"/>
              </w:numPr>
              <w:spacing w:after="0" w:line="240" w:lineRule="auto"/>
            </w:pPr>
          </w:p>
        </w:tc>
        <w:tc>
          <w:tcPr>
            <w:tcW w:w="2569" w:type="dxa"/>
          </w:tcPr>
          <w:p w14:paraId="7CDCBD01" w14:textId="77777777" w:rsidR="006C0A4B" w:rsidRDefault="006C0A4B" w:rsidP="006C0A4B">
            <w:pPr>
              <w:pStyle w:val="ListParagraph"/>
              <w:numPr>
                <w:ilvl w:val="0"/>
                <w:numId w:val="28"/>
              </w:numPr>
              <w:spacing w:after="0" w:line="240" w:lineRule="auto"/>
            </w:pPr>
          </w:p>
        </w:tc>
      </w:tr>
      <w:tr w:rsidR="006C0A4B" w14:paraId="2E0F9F7E" w14:textId="77777777" w:rsidTr="006C0A4B">
        <w:tc>
          <w:tcPr>
            <w:tcW w:w="10184" w:type="dxa"/>
            <w:gridSpan w:val="4"/>
          </w:tcPr>
          <w:p w14:paraId="67C28FB2" w14:textId="77777777" w:rsidR="006C0A4B" w:rsidRDefault="006C0A4B" w:rsidP="006C0A4B">
            <w:pPr>
              <w:pStyle w:val="ListParagraph"/>
              <w:ind w:left="360"/>
            </w:pPr>
            <w:r>
              <w:t xml:space="preserve">NGO’s </w:t>
            </w:r>
          </w:p>
        </w:tc>
      </w:tr>
      <w:tr w:rsidR="006C0A4B" w14:paraId="5A72AE0B" w14:textId="77777777" w:rsidTr="006C0A4B">
        <w:tc>
          <w:tcPr>
            <w:tcW w:w="2405" w:type="dxa"/>
          </w:tcPr>
          <w:p w14:paraId="286679F8" w14:textId="77777777" w:rsidR="006C0A4B" w:rsidRPr="00C104DF" w:rsidRDefault="006C0A4B" w:rsidP="006C0A4B">
            <w:pPr>
              <w:pStyle w:val="ListParagraph"/>
              <w:numPr>
                <w:ilvl w:val="0"/>
                <w:numId w:val="27"/>
              </w:numPr>
              <w:spacing w:after="0" w:line="240" w:lineRule="auto"/>
            </w:pPr>
            <w:r>
              <w:t>Riko and Fandi WALHI Riau</w:t>
            </w:r>
          </w:p>
        </w:tc>
        <w:tc>
          <w:tcPr>
            <w:tcW w:w="2999" w:type="dxa"/>
          </w:tcPr>
          <w:p w14:paraId="7E61E6B9" w14:textId="77777777" w:rsidR="006C0A4B" w:rsidRPr="00C104DF" w:rsidRDefault="006C0A4B" w:rsidP="006C0A4B">
            <w:r>
              <w:t>Riko (0813 71302269), Fandi (</w:t>
            </w:r>
            <w:r w:rsidRPr="00D4071F">
              <w:rPr>
                <w:rFonts w:eastAsia="Times New Roman" w:cs="Calibri"/>
                <w:color w:val="000000"/>
              </w:rPr>
              <w:t>085271603790</w:t>
            </w:r>
            <w:r>
              <w:rPr>
                <w:rFonts w:eastAsia="Times New Roman" w:cs="Calibri"/>
                <w:color w:val="000000"/>
              </w:rPr>
              <w:t>)</w:t>
            </w:r>
          </w:p>
        </w:tc>
        <w:tc>
          <w:tcPr>
            <w:tcW w:w="2211" w:type="dxa"/>
          </w:tcPr>
          <w:p w14:paraId="0CDD39ED" w14:textId="77777777" w:rsidR="006C0A4B" w:rsidRDefault="006C0A4B" w:rsidP="006C0A4B">
            <w:pPr>
              <w:pStyle w:val="ListParagraph"/>
              <w:numPr>
                <w:ilvl w:val="0"/>
                <w:numId w:val="28"/>
              </w:numPr>
              <w:spacing w:after="0" w:line="240" w:lineRule="auto"/>
            </w:pPr>
            <w:r>
              <w:t>Relevance, efficiency and sustainability, and lesson learned from project and working with UNDP.</w:t>
            </w:r>
          </w:p>
          <w:p w14:paraId="1E03F02C" w14:textId="77777777" w:rsidR="006C0A4B" w:rsidRDefault="006C0A4B" w:rsidP="006C0A4B">
            <w:pPr>
              <w:pStyle w:val="ListParagraph"/>
              <w:numPr>
                <w:ilvl w:val="0"/>
                <w:numId w:val="28"/>
              </w:numPr>
              <w:spacing w:after="0" w:line="240" w:lineRule="auto"/>
            </w:pPr>
            <w:r>
              <w:t>Key impacts the project to community.</w:t>
            </w:r>
          </w:p>
        </w:tc>
        <w:tc>
          <w:tcPr>
            <w:tcW w:w="2569" w:type="dxa"/>
          </w:tcPr>
          <w:p w14:paraId="18218EDF" w14:textId="77777777" w:rsidR="006C0A4B" w:rsidRDefault="006C0A4B" w:rsidP="006C0A4B">
            <w:pPr>
              <w:pStyle w:val="ListParagraph"/>
              <w:numPr>
                <w:ilvl w:val="0"/>
                <w:numId w:val="28"/>
              </w:numPr>
              <w:spacing w:after="0" w:line="240" w:lineRule="auto"/>
            </w:pPr>
            <w:r>
              <w:t xml:space="preserve">20 September </w:t>
            </w:r>
          </w:p>
        </w:tc>
      </w:tr>
      <w:tr w:rsidR="006C0A4B" w14:paraId="3EF0FB5F" w14:textId="77777777" w:rsidTr="006C0A4B">
        <w:tc>
          <w:tcPr>
            <w:tcW w:w="2405" w:type="dxa"/>
          </w:tcPr>
          <w:p w14:paraId="7C8BBC33" w14:textId="77777777" w:rsidR="006C0A4B" w:rsidRPr="00C104DF" w:rsidRDefault="006C0A4B" w:rsidP="006C0A4B">
            <w:pPr>
              <w:pStyle w:val="ListParagraph"/>
              <w:numPr>
                <w:ilvl w:val="0"/>
                <w:numId w:val="27"/>
              </w:numPr>
              <w:spacing w:after="0" w:line="240" w:lineRule="auto"/>
            </w:pPr>
            <w:r>
              <w:t xml:space="preserve">Andi Yayasan Mitra Insani </w:t>
            </w:r>
          </w:p>
        </w:tc>
        <w:tc>
          <w:tcPr>
            <w:tcW w:w="2999" w:type="dxa"/>
          </w:tcPr>
          <w:p w14:paraId="17BFF96D" w14:textId="77777777" w:rsidR="006C0A4B" w:rsidRPr="00C104DF" w:rsidRDefault="006C0A4B" w:rsidP="006C0A4B">
            <w:r>
              <w:t>0852 713 77899</w:t>
            </w:r>
          </w:p>
        </w:tc>
        <w:tc>
          <w:tcPr>
            <w:tcW w:w="2211" w:type="dxa"/>
          </w:tcPr>
          <w:p w14:paraId="3AD078AE" w14:textId="77777777" w:rsidR="006C0A4B" w:rsidRDefault="006C0A4B" w:rsidP="006C0A4B">
            <w:pPr>
              <w:pStyle w:val="ListParagraph"/>
              <w:numPr>
                <w:ilvl w:val="0"/>
                <w:numId w:val="28"/>
              </w:numPr>
              <w:spacing w:after="0" w:line="240" w:lineRule="auto"/>
            </w:pPr>
            <w:r>
              <w:t>Relevance, efficiency and sustainability, and lesson learned from project and working with UNDP.</w:t>
            </w:r>
          </w:p>
          <w:p w14:paraId="6AB279E2" w14:textId="77777777" w:rsidR="006C0A4B" w:rsidRDefault="006C0A4B" w:rsidP="006C0A4B">
            <w:pPr>
              <w:pStyle w:val="ListParagraph"/>
              <w:numPr>
                <w:ilvl w:val="0"/>
                <w:numId w:val="28"/>
              </w:numPr>
              <w:spacing w:after="0" w:line="240" w:lineRule="auto"/>
            </w:pPr>
            <w:r>
              <w:t>Key impacts the project to community.</w:t>
            </w:r>
          </w:p>
        </w:tc>
        <w:tc>
          <w:tcPr>
            <w:tcW w:w="2569" w:type="dxa"/>
          </w:tcPr>
          <w:p w14:paraId="5BFAC8AA" w14:textId="77777777" w:rsidR="006C0A4B" w:rsidRDefault="006C0A4B" w:rsidP="006C0A4B">
            <w:pPr>
              <w:pStyle w:val="ListParagraph"/>
              <w:numPr>
                <w:ilvl w:val="0"/>
                <w:numId w:val="28"/>
              </w:numPr>
              <w:spacing w:after="0" w:line="240" w:lineRule="auto"/>
            </w:pPr>
            <w:r>
              <w:t>20</w:t>
            </w:r>
            <w:r w:rsidRPr="001D0EB7">
              <w:rPr>
                <w:vertAlign w:val="superscript"/>
              </w:rPr>
              <w:t>th</w:t>
            </w:r>
            <w:r>
              <w:t xml:space="preserve"> September</w:t>
            </w:r>
          </w:p>
        </w:tc>
      </w:tr>
      <w:tr w:rsidR="006C0A4B" w14:paraId="4F06A9CC" w14:textId="77777777" w:rsidTr="006C0A4B">
        <w:tc>
          <w:tcPr>
            <w:tcW w:w="2405" w:type="dxa"/>
          </w:tcPr>
          <w:p w14:paraId="3DE84EA4" w14:textId="77777777" w:rsidR="006C0A4B" w:rsidRPr="00C104DF" w:rsidRDefault="006C0A4B" w:rsidP="006C0A4B">
            <w:pPr>
              <w:pStyle w:val="ListParagraph"/>
              <w:numPr>
                <w:ilvl w:val="0"/>
                <w:numId w:val="27"/>
              </w:numPr>
              <w:spacing w:after="0" w:line="240" w:lineRule="auto"/>
            </w:pPr>
            <w:r>
              <w:t>M. Syarifudin Perkumpulan Tanah Air – PETA Sumatera Selatan</w:t>
            </w:r>
          </w:p>
        </w:tc>
        <w:tc>
          <w:tcPr>
            <w:tcW w:w="2999" w:type="dxa"/>
          </w:tcPr>
          <w:p w14:paraId="141DCF55" w14:textId="77777777" w:rsidR="006C0A4B" w:rsidRPr="00C104DF" w:rsidRDefault="006C0A4B" w:rsidP="006C0A4B">
            <w:r>
              <w:t>0812 7340 0737</w:t>
            </w:r>
          </w:p>
        </w:tc>
        <w:tc>
          <w:tcPr>
            <w:tcW w:w="2211" w:type="dxa"/>
          </w:tcPr>
          <w:p w14:paraId="56A7BCFB" w14:textId="77777777" w:rsidR="006C0A4B" w:rsidRDefault="006C0A4B" w:rsidP="006C0A4B">
            <w:pPr>
              <w:pStyle w:val="ListParagraph"/>
              <w:numPr>
                <w:ilvl w:val="0"/>
                <w:numId w:val="28"/>
              </w:numPr>
              <w:spacing w:after="0" w:line="240" w:lineRule="auto"/>
            </w:pPr>
            <w:r>
              <w:t>Key impacts to community and grantee.</w:t>
            </w:r>
          </w:p>
          <w:p w14:paraId="7C09BF7F" w14:textId="77777777" w:rsidR="006C0A4B" w:rsidRDefault="006C0A4B" w:rsidP="006C0A4B">
            <w:pPr>
              <w:pStyle w:val="ListParagraph"/>
              <w:numPr>
                <w:ilvl w:val="0"/>
                <w:numId w:val="28"/>
              </w:numPr>
              <w:spacing w:after="0" w:line="240" w:lineRule="auto"/>
            </w:pPr>
            <w:r>
              <w:t>Appropriateness, efficiency and sustainability</w:t>
            </w:r>
          </w:p>
        </w:tc>
        <w:tc>
          <w:tcPr>
            <w:tcW w:w="2569" w:type="dxa"/>
          </w:tcPr>
          <w:p w14:paraId="1D0474EF" w14:textId="77777777" w:rsidR="006C0A4B" w:rsidRDefault="006C0A4B" w:rsidP="006C0A4B">
            <w:pPr>
              <w:pStyle w:val="ListParagraph"/>
              <w:numPr>
                <w:ilvl w:val="0"/>
                <w:numId w:val="28"/>
              </w:numPr>
              <w:spacing w:after="0" w:line="240" w:lineRule="auto"/>
            </w:pPr>
            <w:r>
              <w:t>17</w:t>
            </w:r>
            <w:r w:rsidRPr="001D0EB7">
              <w:rPr>
                <w:vertAlign w:val="superscript"/>
              </w:rPr>
              <w:t>th</w:t>
            </w:r>
            <w:r>
              <w:t xml:space="preserve"> September </w:t>
            </w:r>
          </w:p>
        </w:tc>
      </w:tr>
      <w:tr w:rsidR="006C0A4B" w14:paraId="03718A6C" w14:textId="77777777" w:rsidTr="006C0A4B">
        <w:tc>
          <w:tcPr>
            <w:tcW w:w="2405" w:type="dxa"/>
          </w:tcPr>
          <w:p w14:paraId="4DACE10F" w14:textId="77777777" w:rsidR="006C0A4B" w:rsidRPr="00C104DF" w:rsidRDefault="006C0A4B" w:rsidP="006C0A4B">
            <w:pPr>
              <w:pStyle w:val="ListParagraph"/>
              <w:numPr>
                <w:ilvl w:val="0"/>
                <w:numId w:val="27"/>
              </w:numPr>
              <w:spacing w:after="0" w:line="240" w:lineRule="auto"/>
            </w:pPr>
          </w:p>
        </w:tc>
        <w:tc>
          <w:tcPr>
            <w:tcW w:w="2999" w:type="dxa"/>
          </w:tcPr>
          <w:p w14:paraId="7C42D024" w14:textId="77777777" w:rsidR="006C0A4B" w:rsidRPr="00C104DF" w:rsidRDefault="006C0A4B" w:rsidP="006C0A4B"/>
        </w:tc>
        <w:tc>
          <w:tcPr>
            <w:tcW w:w="2211" w:type="dxa"/>
          </w:tcPr>
          <w:p w14:paraId="2A37F129" w14:textId="77777777" w:rsidR="006C0A4B" w:rsidRDefault="006C0A4B" w:rsidP="006C0A4B">
            <w:pPr>
              <w:pStyle w:val="ListParagraph"/>
              <w:ind w:left="360"/>
            </w:pPr>
          </w:p>
        </w:tc>
        <w:tc>
          <w:tcPr>
            <w:tcW w:w="2569" w:type="dxa"/>
          </w:tcPr>
          <w:p w14:paraId="3F2B83F1" w14:textId="77777777" w:rsidR="006C0A4B" w:rsidRDefault="006C0A4B" w:rsidP="006C0A4B">
            <w:pPr>
              <w:pStyle w:val="ListParagraph"/>
              <w:ind w:left="360"/>
            </w:pPr>
          </w:p>
        </w:tc>
      </w:tr>
      <w:tr w:rsidR="006C0A4B" w14:paraId="3C25412F" w14:textId="77777777" w:rsidTr="006C0A4B">
        <w:tc>
          <w:tcPr>
            <w:tcW w:w="10184" w:type="dxa"/>
            <w:gridSpan w:val="4"/>
          </w:tcPr>
          <w:p w14:paraId="35D80ADB" w14:textId="77777777" w:rsidR="006C0A4B" w:rsidRDefault="006C0A4B" w:rsidP="006C0A4B">
            <w:pPr>
              <w:pStyle w:val="ListParagraph"/>
              <w:ind w:left="360"/>
            </w:pPr>
            <w:r>
              <w:t>RG Province</w:t>
            </w:r>
          </w:p>
        </w:tc>
      </w:tr>
      <w:tr w:rsidR="006C0A4B" w14:paraId="00BABE84" w14:textId="77777777" w:rsidTr="006C0A4B">
        <w:tc>
          <w:tcPr>
            <w:tcW w:w="2405" w:type="dxa"/>
          </w:tcPr>
          <w:p w14:paraId="7C4288CE" w14:textId="77777777" w:rsidR="006C0A4B" w:rsidRPr="00C104DF" w:rsidRDefault="006C0A4B" w:rsidP="006C0A4B">
            <w:pPr>
              <w:pStyle w:val="ListParagraph"/>
              <w:numPr>
                <w:ilvl w:val="0"/>
                <w:numId w:val="27"/>
              </w:numPr>
              <w:spacing w:after="0" w:line="240" w:lineRule="auto"/>
            </w:pPr>
            <w:r>
              <w:t>Dhio Dhani Sineba, Dinamisator BRG Provinsi Sumsel</w:t>
            </w:r>
          </w:p>
        </w:tc>
        <w:tc>
          <w:tcPr>
            <w:tcW w:w="2999" w:type="dxa"/>
          </w:tcPr>
          <w:p w14:paraId="1F8733C9" w14:textId="77777777" w:rsidR="006C0A4B" w:rsidRPr="00C104DF" w:rsidRDefault="006C0A4B" w:rsidP="006C0A4B">
            <w:r>
              <w:t>081368633608</w:t>
            </w:r>
          </w:p>
        </w:tc>
        <w:tc>
          <w:tcPr>
            <w:tcW w:w="2211" w:type="dxa"/>
          </w:tcPr>
          <w:p w14:paraId="20DA5DB2" w14:textId="77777777" w:rsidR="006C0A4B" w:rsidRDefault="006C0A4B" w:rsidP="006C0A4B">
            <w:pPr>
              <w:pStyle w:val="ListParagraph"/>
              <w:numPr>
                <w:ilvl w:val="0"/>
                <w:numId w:val="28"/>
              </w:numPr>
              <w:spacing w:after="0" w:line="240" w:lineRule="auto"/>
            </w:pPr>
            <w:r>
              <w:t>Relevance, appropriateness and efficiency.</w:t>
            </w:r>
          </w:p>
          <w:p w14:paraId="74492790" w14:textId="77777777" w:rsidR="006C0A4B" w:rsidRDefault="006C0A4B" w:rsidP="006C0A4B">
            <w:pPr>
              <w:pStyle w:val="ListParagraph"/>
              <w:numPr>
                <w:ilvl w:val="0"/>
                <w:numId w:val="28"/>
              </w:numPr>
              <w:spacing w:after="0" w:line="240" w:lineRule="auto"/>
            </w:pPr>
            <w:r>
              <w:t>Lesson learned from the project.</w:t>
            </w:r>
          </w:p>
        </w:tc>
        <w:tc>
          <w:tcPr>
            <w:tcW w:w="2569" w:type="dxa"/>
          </w:tcPr>
          <w:p w14:paraId="357FBE77" w14:textId="77777777" w:rsidR="006C0A4B" w:rsidRDefault="006C0A4B" w:rsidP="006C0A4B">
            <w:pPr>
              <w:pStyle w:val="ListParagraph"/>
              <w:numPr>
                <w:ilvl w:val="0"/>
                <w:numId w:val="28"/>
              </w:numPr>
              <w:spacing w:after="0" w:line="240" w:lineRule="auto"/>
            </w:pPr>
            <w:r>
              <w:t>18</w:t>
            </w:r>
            <w:r w:rsidRPr="001D0EB7">
              <w:rPr>
                <w:vertAlign w:val="superscript"/>
              </w:rPr>
              <w:t>th</w:t>
            </w:r>
            <w:r>
              <w:t xml:space="preserve"> September </w:t>
            </w:r>
          </w:p>
        </w:tc>
      </w:tr>
      <w:tr w:rsidR="006C0A4B" w14:paraId="0CF9AB1C" w14:textId="77777777" w:rsidTr="006C0A4B">
        <w:tc>
          <w:tcPr>
            <w:tcW w:w="2405" w:type="dxa"/>
          </w:tcPr>
          <w:p w14:paraId="172B74EB" w14:textId="77777777" w:rsidR="006C0A4B" w:rsidRPr="00C104DF" w:rsidRDefault="006C0A4B" w:rsidP="006C0A4B">
            <w:pPr>
              <w:pStyle w:val="ListParagraph"/>
              <w:numPr>
                <w:ilvl w:val="0"/>
                <w:numId w:val="27"/>
              </w:numPr>
              <w:spacing w:after="0" w:line="240" w:lineRule="auto"/>
            </w:pPr>
            <w:r>
              <w:t>DR. Najib Asmani dan Pak Hadi, TRGD Provinsi Sumsel</w:t>
            </w:r>
          </w:p>
        </w:tc>
        <w:tc>
          <w:tcPr>
            <w:tcW w:w="2999" w:type="dxa"/>
          </w:tcPr>
          <w:p w14:paraId="7931203A" w14:textId="77777777" w:rsidR="006C0A4B" w:rsidRPr="00C104DF" w:rsidRDefault="006C0A4B" w:rsidP="006C0A4B">
            <w:r>
              <w:t>0811 715 025</w:t>
            </w:r>
          </w:p>
        </w:tc>
        <w:tc>
          <w:tcPr>
            <w:tcW w:w="2211" w:type="dxa"/>
          </w:tcPr>
          <w:p w14:paraId="6CAE5A00" w14:textId="77777777" w:rsidR="006C0A4B" w:rsidRDefault="006C0A4B" w:rsidP="006C0A4B">
            <w:pPr>
              <w:pStyle w:val="ListParagraph"/>
              <w:numPr>
                <w:ilvl w:val="0"/>
                <w:numId w:val="28"/>
              </w:numPr>
              <w:spacing w:after="0" w:line="240" w:lineRule="auto"/>
            </w:pPr>
            <w:r>
              <w:t>Relevance, effectiveness and lesson learned</w:t>
            </w:r>
          </w:p>
        </w:tc>
        <w:tc>
          <w:tcPr>
            <w:tcW w:w="2569" w:type="dxa"/>
          </w:tcPr>
          <w:p w14:paraId="77BF9D12" w14:textId="77777777" w:rsidR="006C0A4B" w:rsidRDefault="006C0A4B" w:rsidP="006C0A4B">
            <w:pPr>
              <w:pStyle w:val="ListParagraph"/>
              <w:numPr>
                <w:ilvl w:val="0"/>
                <w:numId w:val="28"/>
              </w:numPr>
              <w:spacing w:after="0" w:line="240" w:lineRule="auto"/>
            </w:pPr>
            <w:r>
              <w:t>18</w:t>
            </w:r>
            <w:r w:rsidRPr="00F22209">
              <w:rPr>
                <w:vertAlign w:val="superscript"/>
              </w:rPr>
              <w:t>th</w:t>
            </w:r>
            <w:r>
              <w:t xml:space="preserve"> September</w:t>
            </w:r>
          </w:p>
        </w:tc>
      </w:tr>
      <w:tr w:rsidR="006C0A4B" w14:paraId="56DE5E6B" w14:textId="77777777" w:rsidTr="006C0A4B">
        <w:tc>
          <w:tcPr>
            <w:tcW w:w="2405" w:type="dxa"/>
          </w:tcPr>
          <w:p w14:paraId="6126167B" w14:textId="77777777" w:rsidR="006C0A4B" w:rsidRPr="00C104DF" w:rsidRDefault="006C0A4B" w:rsidP="006C0A4B">
            <w:pPr>
              <w:pStyle w:val="ListParagraph"/>
              <w:numPr>
                <w:ilvl w:val="0"/>
                <w:numId w:val="27"/>
              </w:numPr>
              <w:spacing w:after="0" w:line="240" w:lineRule="auto"/>
            </w:pPr>
            <w:r>
              <w:lastRenderedPageBreak/>
              <w:t>Muslim Rasyid, Dinamisator BRG Provinsi Riau</w:t>
            </w:r>
          </w:p>
        </w:tc>
        <w:tc>
          <w:tcPr>
            <w:tcW w:w="2999" w:type="dxa"/>
          </w:tcPr>
          <w:p w14:paraId="0D394733" w14:textId="77777777" w:rsidR="006C0A4B" w:rsidRPr="00C104DF" w:rsidRDefault="006C0A4B" w:rsidP="006C0A4B">
            <w:r>
              <w:t>0812 7637 233</w:t>
            </w:r>
          </w:p>
        </w:tc>
        <w:tc>
          <w:tcPr>
            <w:tcW w:w="2211" w:type="dxa"/>
          </w:tcPr>
          <w:p w14:paraId="696D332F" w14:textId="77777777" w:rsidR="006C0A4B" w:rsidRDefault="006C0A4B" w:rsidP="006C0A4B">
            <w:pPr>
              <w:pStyle w:val="ListParagraph"/>
              <w:numPr>
                <w:ilvl w:val="0"/>
                <w:numId w:val="28"/>
              </w:numPr>
              <w:spacing w:after="0" w:line="240" w:lineRule="auto"/>
            </w:pPr>
            <w:r>
              <w:t>Relevance, appropriateness and efficiency.</w:t>
            </w:r>
          </w:p>
          <w:p w14:paraId="1D51931A" w14:textId="77777777" w:rsidR="006C0A4B" w:rsidRDefault="006C0A4B" w:rsidP="006C0A4B">
            <w:pPr>
              <w:pStyle w:val="ListParagraph"/>
              <w:numPr>
                <w:ilvl w:val="0"/>
                <w:numId w:val="28"/>
              </w:numPr>
              <w:spacing w:after="0" w:line="240" w:lineRule="auto"/>
            </w:pPr>
            <w:r>
              <w:t>Lesson learned from the project.</w:t>
            </w:r>
          </w:p>
        </w:tc>
        <w:tc>
          <w:tcPr>
            <w:tcW w:w="2569" w:type="dxa"/>
          </w:tcPr>
          <w:p w14:paraId="5D851E0A" w14:textId="77777777" w:rsidR="006C0A4B" w:rsidRDefault="006C0A4B" w:rsidP="006C0A4B">
            <w:pPr>
              <w:pStyle w:val="ListParagraph"/>
              <w:numPr>
                <w:ilvl w:val="0"/>
                <w:numId w:val="28"/>
              </w:numPr>
              <w:spacing w:after="0" w:line="240" w:lineRule="auto"/>
            </w:pPr>
            <w:r>
              <w:t xml:space="preserve">19 September </w:t>
            </w:r>
          </w:p>
        </w:tc>
      </w:tr>
      <w:tr w:rsidR="006C0A4B" w14:paraId="31708ADB" w14:textId="77777777" w:rsidTr="006C0A4B">
        <w:tc>
          <w:tcPr>
            <w:tcW w:w="2405" w:type="dxa"/>
          </w:tcPr>
          <w:p w14:paraId="2BD90138" w14:textId="77777777" w:rsidR="006C0A4B" w:rsidRPr="00C104DF" w:rsidRDefault="006C0A4B" w:rsidP="006C0A4B">
            <w:pPr>
              <w:pStyle w:val="ListParagraph"/>
              <w:numPr>
                <w:ilvl w:val="0"/>
                <w:numId w:val="27"/>
              </w:numPr>
              <w:spacing w:after="0" w:line="240" w:lineRule="auto"/>
            </w:pPr>
            <w:r>
              <w:t>Risda, TRGD province Riau</w:t>
            </w:r>
          </w:p>
        </w:tc>
        <w:tc>
          <w:tcPr>
            <w:tcW w:w="2999" w:type="dxa"/>
          </w:tcPr>
          <w:p w14:paraId="3F108CB9" w14:textId="77777777" w:rsidR="006C0A4B" w:rsidRPr="00C104DF" w:rsidRDefault="006C0A4B" w:rsidP="006C0A4B">
            <w:r>
              <w:t>0852 7137 7899</w:t>
            </w:r>
          </w:p>
        </w:tc>
        <w:tc>
          <w:tcPr>
            <w:tcW w:w="2211" w:type="dxa"/>
          </w:tcPr>
          <w:p w14:paraId="78F364B4" w14:textId="77777777" w:rsidR="006C0A4B" w:rsidRDefault="006C0A4B" w:rsidP="006C0A4B">
            <w:pPr>
              <w:pStyle w:val="ListParagraph"/>
              <w:numPr>
                <w:ilvl w:val="0"/>
                <w:numId w:val="28"/>
              </w:numPr>
              <w:spacing w:after="0" w:line="240" w:lineRule="auto"/>
            </w:pPr>
            <w:r>
              <w:t>Relevance and lesson learned from the project.</w:t>
            </w:r>
          </w:p>
          <w:p w14:paraId="2C6B42E1" w14:textId="77777777" w:rsidR="006C0A4B" w:rsidRDefault="006C0A4B" w:rsidP="006C0A4B">
            <w:pPr>
              <w:pStyle w:val="ListParagraph"/>
              <w:ind w:left="360"/>
            </w:pPr>
          </w:p>
        </w:tc>
        <w:tc>
          <w:tcPr>
            <w:tcW w:w="2569" w:type="dxa"/>
          </w:tcPr>
          <w:p w14:paraId="29F18463" w14:textId="77777777" w:rsidR="006C0A4B" w:rsidRDefault="006C0A4B" w:rsidP="006C0A4B">
            <w:pPr>
              <w:pStyle w:val="ListParagraph"/>
              <w:numPr>
                <w:ilvl w:val="0"/>
                <w:numId w:val="28"/>
              </w:numPr>
              <w:spacing w:after="0" w:line="240" w:lineRule="auto"/>
            </w:pPr>
            <w:r>
              <w:t xml:space="preserve">19 September </w:t>
            </w:r>
          </w:p>
        </w:tc>
      </w:tr>
      <w:tr w:rsidR="006C0A4B" w14:paraId="6C563FE9" w14:textId="77777777" w:rsidTr="006C0A4B">
        <w:tc>
          <w:tcPr>
            <w:tcW w:w="2405" w:type="dxa"/>
          </w:tcPr>
          <w:p w14:paraId="458BB293" w14:textId="77777777" w:rsidR="006C0A4B" w:rsidRPr="00C104DF" w:rsidRDefault="006C0A4B" w:rsidP="006C0A4B">
            <w:pPr>
              <w:pStyle w:val="ListParagraph"/>
              <w:numPr>
                <w:ilvl w:val="0"/>
                <w:numId w:val="27"/>
              </w:numPr>
              <w:spacing w:after="0" w:line="240" w:lineRule="auto"/>
            </w:pPr>
            <w:r>
              <w:t>Riko Kurniawan and Pendi, WALHI Riau</w:t>
            </w:r>
          </w:p>
        </w:tc>
        <w:tc>
          <w:tcPr>
            <w:tcW w:w="2999" w:type="dxa"/>
          </w:tcPr>
          <w:p w14:paraId="1B4E8207" w14:textId="77777777" w:rsidR="006C0A4B" w:rsidRPr="00C104DF" w:rsidRDefault="006C0A4B" w:rsidP="006C0A4B">
            <w:r>
              <w:t>0813 71302269</w:t>
            </w:r>
          </w:p>
        </w:tc>
        <w:tc>
          <w:tcPr>
            <w:tcW w:w="2211" w:type="dxa"/>
          </w:tcPr>
          <w:p w14:paraId="2DDF0B1B" w14:textId="77777777" w:rsidR="006C0A4B" w:rsidRDefault="006C0A4B" w:rsidP="006C0A4B">
            <w:pPr>
              <w:pStyle w:val="ListParagraph"/>
              <w:numPr>
                <w:ilvl w:val="0"/>
                <w:numId w:val="28"/>
              </w:numPr>
              <w:spacing w:after="0" w:line="240" w:lineRule="auto"/>
            </w:pPr>
            <w:r>
              <w:t>Key impact to community and grantee.</w:t>
            </w:r>
          </w:p>
          <w:p w14:paraId="60B9C600" w14:textId="77777777" w:rsidR="006C0A4B" w:rsidRDefault="006C0A4B" w:rsidP="006C0A4B">
            <w:pPr>
              <w:pStyle w:val="ListParagraph"/>
              <w:numPr>
                <w:ilvl w:val="0"/>
                <w:numId w:val="28"/>
              </w:numPr>
              <w:spacing w:after="0" w:line="240" w:lineRule="auto"/>
            </w:pPr>
            <w:r>
              <w:t>Sustainability and replicability.</w:t>
            </w:r>
          </w:p>
          <w:p w14:paraId="51EDDADF" w14:textId="77777777" w:rsidR="006C0A4B" w:rsidRDefault="006C0A4B" w:rsidP="006C0A4B">
            <w:pPr>
              <w:pStyle w:val="ListParagraph"/>
              <w:numPr>
                <w:ilvl w:val="0"/>
                <w:numId w:val="28"/>
              </w:numPr>
              <w:spacing w:after="0" w:line="240" w:lineRule="auto"/>
            </w:pPr>
            <w:r>
              <w:t>Key lesson learned from the project</w:t>
            </w:r>
          </w:p>
        </w:tc>
        <w:tc>
          <w:tcPr>
            <w:tcW w:w="2569" w:type="dxa"/>
          </w:tcPr>
          <w:p w14:paraId="2CF273EE" w14:textId="77777777" w:rsidR="006C0A4B" w:rsidRDefault="006C0A4B" w:rsidP="006C0A4B">
            <w:pPr>
              <w:pStyle w:val="ListParagraph"/>
              <w:numPr>
                <w:ilvl w:val="0"/>
                <w:numId w:val="28"/>
              </w:numPr>
              <w:spacing w:after="0" w:line="240" w:lineRule="auto"/>
            </w:pPr>
            <w:r>
              <w:t>20 September</w:t>
            </w:r>
          </w:p>
        </w:tc>
      </w:tr>
      <w:tr w:rsidR="006C0A4B" w14:paraId="593F059C" w14:textId="77777777" w:rsidTr="006C0A4B">
        <w:tc>
          <w:tcPr>
            <w:tcW w:w="2405" w:type="dxa"/>
          </w:tcPr>
          <w:p w14:paraId="43DEAE4D" w14:textId="77777777" w:rsidR="006C0A4B" w:rsidRPr="00C104DF" w:rsidRDefault="006C0A4B" w:rsidP="006C0A4B">
            <w:pPr>
              <w:pStyle w:val="ListParagraph"/>
              <w:numPr>
                <w:ilvl w:val="0"/>
                <w:numId w:val="27"/>
              </w:numPr>
              <w:spacing w:after="0" w:line="240" w:lineRule="auto"/>
            </w:pPr>
            <w:r>
              <w:t>Andi, Yayasan Mitra Insani</w:t>
            </w:r>
          </w:p>
        </w:tc>
        <w:tc>
          <w:tcPr>
            <w:tcW w:w="2999" w:type="dxa"/>
          </w:tcPr>
          <w:p w14:paraId="50D1A619" w14:textId="77777777" w:rsidR="006C0A4B" w:rsidRPr="00C104DF" w:rsidRDefault="006C0A4B" w:rsidP="006C0A4B">
            <w:r>
              <w:t>0852 713 77899</w:t>
            </w:r>
          </w:p>
        </w:tc>
        <w:tc>
          <w:tcPr>
            <w:tcW w:w="2211" w:type="dxa"/>
          </w:tcPr>
          <w:p w14:paraId="15DDFD07" w14:textId="77777777" w:rsidR="006C0A4B" w:rsidRDefault="006C0A4B" w:rsidP="006C0A4B">
            <w:pPr>
              <w:pStyle w:val="ListParagraph"/>
              <w:numPr>
                <w:ilvl w:val="0"/>
                <w:numId w:val="28"/>
              </w:numPr>
              <w:spacing w:after="0" w:line="240" w:lineRule="auto"/>
            </w:pPr>
            <w:r>
              <w:t>Key impact to community and grantee.</w:t>
            </w:r>
          </w:p>
          <w:p w14:paraId="0040B742" w14:textId="77777777" w:rsidR="006C0A4B" w:rsidRDefault="006C0A4B" w:rsidP="006C0A4B">
            <w:pPr>
              <w:pStyle w:val="ListParagraph"/>
              <w:numPr>
                <w:ilvl w:val="0"/>
                <w:numId w:val="28"/>
              </w:numPr>
              <w:spacing w:after="0" w:line="240" w:lineRule="auto"/>
            </w:pPr>
            <w:r>
              <w:t>Sustainability and replicability.</w:t>
            </w:r>
          </w:p>
          <w:p w14:paraId="4DC31DEA" w14:textId="77777777" w:rsidR="006C0A4B" w:rsidRDefault="006C0A4B" w:rsidP="006C0A4B">
            <w:pPr>
              <w:pStyle w:val="ListParagraph"/>
              <w:numPr>
                <w:ilvl w:val="0"/>
                <w:numId w:val="28"/>
              </w:numPr>
              <w:spacing w:after="0" w:line="240" w:lineRule="auto"/>
            </w:pPr>
            <w:r>
              <w:t>Key lesson learned from the project</w:t>
            </w:r>
          </w:p>
        </w:tc>
        <w:tc>
          <w:tcPr>
            <w:tcW w:w="2569" w:type="dxa"/>
          </w:tcPr>
          <w:p w14:paraId="515F8A07" w14:textId="77777777" w:rsidR="006C0A4B" w:rsidRDefault="006C0A4B" w:rsidP="006C0A4B">
            <w:pPr>
              <w:pStyle w:val="ListParagraph"/>
              <w:numPr>
                <w:ilvl w:val="0"/>
                <w:numId w:val="28"/>
              </w:numPr>
              <w:spacing w:after="0" w:line="240" w:lineRule="auto"/>
            </w:pPr>
            <w:r>
              <w:t>20 September</w:t>
            </w:r>
          </w:p>
        </w:tc>
      </w:tr>
      <w:tr w:rsidR="006C0A4B" w14:paraId="42B4B41A" w14:textId="77777777" w:rsidTr="006C0A4B">
        <w:tc>
          <w:tcPr>
            <w:tcW w:w="2405" w:type="dxa"/>
          </w:tcPr>
          <w:p w14:paraId="61C70E0F" w14:textId="77777777" w:rsidR="006C0A4B" w:rsidRDefault="006C0A4B" w:rsidP="006C0A4B">
            <w:pPr>
              <w:pStyle w:val="ListParagraph"/>
              <w:numPr>
                <w:ilvl w:val="0"/>
                <w:numId w:val="27"/>
              </w:numPr>
              <w:spacing w:after="0" w:line="240" w:lineRule="auto"/>
            </w:pPr>
            <w:r>
              <w:t>Ella Lovianti, TRGD Jambi (Female)</w:t>
            </w:r>
          </w:p>
        </w:tc>
        <w:tc>
          <w:tcPr>
            <w:tcW w:w="2999" w:type="dxa"/>
          </w:tcPr>
          <w:p w14:paraId="2C732DDE" w14:textId="77777777" w:rsidR="006C0A4B" w:rsidRPr="00C104DF" w:rsidRDefault="006C0A4B" w:rsidP="006C0A4B">
            <w:r>
              <w:t>0813 732 87417</w:t>
            </w:r>
          </w:p>
        </w:tc>
        <w:tc>
          <w:tcPr>
            <w:tcW w:w="2211" w:type="dxa"/>
          </w:tcPr>
          <w:p w14:paraId="59B35E03" w14:textId="77777777" w:rsidR="006C0A4B" w:rsidRDefault="006C0A4B" w:rsidP="006C0A4B">
            <w:pPr>
              <w:pStyle w:val="ListParagraph"/>
              <w:numPr>
                <w:ilvl w:val="0"/>
                <w:numId w:val="28"/>
              </w:numPr>
              <w:spacing w:after="0" w:line="240" w:lineRule="auto"/>
            </w:pPr>
            <w:r>
              <w:t>Key impact to TRGD</w:t>
            </w:r>
          </w:p>
          <w:p w14:paraId="512A740D" w14:textId="77777777" w:rsidR="006C0A4B" w:rsidRDefault="006C0A4B" w:rsidP="006C0A4B">
            <w:pPr>
              <w:pStyle w:val="ListParagraph"/>
              <w:numPr>
                <w:ilvl w:val="0"/>
                <w:numId w:val="28"/>
              </w:numPr>
              <w:spacing w:after="0" w:line="240" w:lineRule="auto"/>
            </w:pPr>
            <w:r>
              <w:t xml:space="preserve">Lesson learned and recommendation to next projects. </w:t>
            </w:r>
          </w:p>
        </w:tc>
        <w:tc>
          <w:tcPr>
            <w:tcW w:w="2569" w:type="dxa"/>
          </w:tcPr>
          <w:p w14:paraId="64B30431" w14:textId="77777777" w:rsidR="006C0A4B" w:rsidRDefault="006C0A4B" w:rsidP="006C0A4B">
            <w:pPr>
              <w:pStyle w:val="ListParagraph"/>
              <w:numPr>
                <w:ilvl w:val="0"/>
                <w:numId w:val="28"/>
              </w:numPr>
              <w:spacing w:after="0" w:line="240" w:lineRule="auto"/>
            </w:pPr>
            <w:r>
              <w:t>26 September</w:t>
            </w:r>
          </w:p>
        </w:tc>
      </w:tr>
      <w:tr w:rsidR="006C0A4B" w14:paraId="16B2B67B" w14:textId="77777777" w:rsidTr="006C0A4B">
        <w:tc>
          <w:tcPr>
            <w:tcW w:w="2405" w:type="dxa"/>
          </w:tcPr>
          <w:p w14:paraId="296E1D4B" w14:textId="77777777" w:rsidR="006C0A4B" w:rsidRPr="00C104DF" w:rsidRDefault="006C0A4B" w:rsidP="006C0A4B">
            <w:pPr>
              <w:pStyle w:val="ListParagraph"/>
              <w:numPr>
                <w:ilvl w:val="0"/>
                <w:numId w:val="27"/>
              </w:numPr>
              <w:spacing w:after="0" w:line="240" w:lineRule="auto"/>
            </w:pPr>
            <w:r>
              <w:t>Syaiful and Hambali</w:t>
            </w:r>
          </w:p>
        </w:tc>
        <w:tc>
          <w:tcPr>
            <w:tcW w:w="2999" w:type="dxa"/>
          </w:tcPr>
          <w:p w14:paraId="0066838B" w14:textId="77777777" w:rsidR="006C0A4B" w:rsidRPr="00C104DF" w:rsidRDefault="006C0A4B" w:rsidP="006C0A4B">
            <w:r>
              <w:t>Pak Hambali (0813 1470 7650/Direktur) -  Syaiful (0853 8471 0924/Koordinator program)</w:t>
            </w:r>
          </w:p>
        </w:tc>
        <w:tc>
          <w:tcPr>
            <w:tcW w:w="2211" w:type="dxa"/>
          </w:tcPr>
          <w:p w14:paraId="77D10EEF" w14:textId="77777777" w:rsidR="006C0A4B" w:rsidRDefault="006C0A4B" w:rsidP="006C0A4B">
            <w:pPr>
              <w:pStyle w:val="ListParagraph"/>
              <w:numPr>
                <w:ilvl w:val="0"/>
                <w:numId w:val="28"/>
              </w:numPr>
              <w:spacing w:after="0" w:line="240" w:lineRule="auto"/>
            </w:pPr>
            <w:r>
              <w:t>Relevance and appropriateness</w:t>
            </w:r>
          </w:p>
          <w:p w14:paraId="2A36E3CF" w14:textId="77777777" w:rsidR="006C0A4B" w:rsidRDefault="006C0A4B" w:rsidP="006C0A4B">
            <w:pPr>
              <w:pStyle w:val="ListParagraph"/>
              <w:numPr>
                <w:ilvl w:val="0"/>
                <w:numId w:val="28"/>
              </w:numPr>
              <w:spacing w:after="0" w:line="240" w:lineRule="auto"/>
            </w:pPr>
            <w:r>
              <w:t>Key impact to community and grantee.</w:t>
            </w:r>
          </w:p>
          <w:p w14:paraId="16CE3D2A" w14:textId="77777777" w:rsidR="006C0A4B" w:rsidRDefault="006C0A4B" w:rsidP="006C0A4B">
            <w:pPr>
              <w:pStyle w:val="ListParagraph"/>
              <w:numPr>
                <w:ilvl w:val="0"/>
                <w:numId w:val="28"/>
              </w:numPr>
              <w:spacing w:after="0" w:line="240" w:lineRule="auto"/>
            </w:pPr>
            <w:r>
              <w:t>Sustainability and replicability.</w:t>
            </w:r>
          </w:p>
          <w:p w14:paraId="010D3A3F" w14:textId="77777777" w:rsidR="006C0A4B" w:rsidRDefault="006C0A4B" w:rsidP="006C0A4B">
            <w:pPr>
              <w:pStyle w:val="ListParagraph"/>
              <w:numPr>
                <w:ilvl w:val="0"/>
                <w:numId w:val="28"/>
              </w:numPr>
              <w:spacing w:after="0" w:line="240" w:lineRule="auto"/>
            </w:pPr>
            <w:r>
              <w:t>Key lesson learned from the project</w:t>
            </w:r>
          </w:p>
        </w:tc>
        <w:tc>
          <w:tcPr>
            <w:tcW w:w="2569" w:type="dxa"/>
          </w:tcPr>
          <w:p w14:paraId="73802906" w14:textId="77777777" w:rsidR="006C0A4B" w:rsidRDefault="006C0A4B" w:rsidP="006C0A4B">
            <w:pPr>
              <w:pStyle w:val="ListParagraph"/>
              <w:ind w:left="360"/>
            </w:pPr>
            <w:r>
              <w:t>27 September</w:t>
            </w:r>
          </w:p>
        </w:tc>
      </w:tr>
      <w:tr w:rsidR="006C0A4B" w14:paraId="43F19207" w14:textId="77777777" w:rsidTr="006C0A4B">
        <w:tc>
          <w:tcPr>
            <w:tcW w:w="2405" w:type="dxa"/>
          </w:tcPr>
          <w:p w14:paraId="610F4FE5" w14:textId="77777777" w:rsidR="006C0A4B" w:rsidRDefault="006C0A4B" w:rsidP="006C0A4B">
            <w:pPr>
              <w:pStyle w:val="ListParagraph"/>
              <w:numPr>
                <w:ilvl w:val="0"/>
                <w:numId w:val="27"/>
              </w:numPr>
              <w:spacing w:after="0" w:line="240" w:lineRule="auto"/>
            </w:pPr>
            <w:r>
              <w:t xml:space="preserve">Pak Sukriyah (Ketua POKMAS Sumber Bakti), Pak Sanusi (Anggota), Pak Sutrisno (Bendahara POKMAS) dan Ibu Antona (Istri Pak Sanusi, Umur 38 tahun) Community </w:t>
            </w:r>
            <w:r>
              <w:lastRenderedPageBreak/>
              <w:t>of Rantau Indah Village, Tanjung Jabung Timur - Jambi</w:t>
            </w:r>
          </w:p>
        </w:tc>
        <w:tc>
          <w:tcPr>
            <w:tcW w:w="2999" w:type="dxa"/>
          </w:tcPr>
          <w:p w14:paraId="2378DB69" w14:textId="77777777" w:rsidR="006C0A4B" w:rsidRPr="00C104DF" w:rsidRDefault="006C0A4B" w:rsidP="006C0A4B">
            <w:r>
              <w:lastRenderedPageBreak/>
              <w:t>Pak Sukriyah (0852 6884 3848)</w:t>
            </w:r>
          </w:p>
        </w:tc>
        <w:tc>
          <w:tcPr>
            <w:tcW w:w="2211" w:type="dxa"/>
          </w:tcPr>
          <w:p w14:paraId="6E860F1A" w14:textId="77777777" w:rsidR="006C0A4B" w:rsidRDefault="006C0A4B" w:rsidP="006C0A4B">
            <w:pPr>
              <w:pStyle w:val="ListParagraph"/>
              <w:numPr>
                <w:ilvl w:val="0"/>
                <w:numId w:val="28"/>
              </w:numPr>
              <w:spacing w:after="0" w:line="240" w:lineRule="auto"/>
            </w:pPr>
            <w:r>
              <w:t>Relevance and appropriateness</w:t>
            </w:r>
          </w:p>
          <w:p w14:paraId="27FE4EFC" w14:textId="77777777" w:rsidR="006C0A4B" w:rsidRDefault="006C0A4B" w:rsidP="006C0A4B">
            <w:pPr>
              <w:pStyle w:val="ListParagraph"/>
              <w:numPr>
                <w:ilvl w:val="0"/>
                <w:numId w:val="28"/>
              </w:numPr>
              <w:spacing w:after="0" w:line="240" w:lineRule="auto"/>
            </w:pPr>
            <w:r>
              <w:t>Key impact to community</w:t>
            </w:r>
          </w:p>
          <w:p w14:paraId="6228DACF" w14:textId="77777777" w:rsidR="006C0A4B" w:rsidRDefault="006C0A4B" w:rsidP="006C0A4B">
            <w:pPr>
              <w:pStyle w:val="ListParagraph"/>
              <w:numPr>
                <w:ilvl w:val="0"/>
                <w:numId w:val="28"/>
              </w:numPr>
              <w:spacing w:after="0" w:line="240" w:lineRule="auto"/>
            </w:pPr>
            <w:r>
              <w:t>Key impact to women</w:t>
            </w:r>
          </w:p>
          <w:p w14:paraId="545F190E" w14:textId="77777777" w:rsidR="006C0A4B" w:rsidRDefault="006C0A4B" w:rsidP="006C0A4B">
            <w:pPr>
              <w:pStyle w:val="ListParagraph"/>
              <w:numPr>
                <w:ilvl w:val="0"/>
                <w:numId w:val="28"/>
              </w:numPr>
              <w:spacing w:after="0" w:line="240" w:lineRule="auto"/>
            </w:pPr>
            <w:r>
              <w:t>Lesson learned</w:t>
            </w:r>
          </w:p>
        </w:tc>
        <w:tc>
          <w:tcPr>
            <w:tcW w:w="2569" w:type="dxa"/>
          </w:tcPr>
          <w:p w14:paraId="5F511077" w14:textId="77777777" w:rsidR="006C0A4B" w:rsidRDefault="006C0A4B" w:rsidP="006C0A4B">
            <w:pPr>
              <w:pStyle w:val="ListParagraph"/>
              <w:numPr>
                <w:ilvl w:val="0"/>
                <w:numId w:val="28"/>
              </w:numPr>
              <w:spacing w:after="0" w:line="240" w:lineRule="auto"/>
            </w:pPr>
            <w:r>
              <w:t>27th September</w:t>
            </w:r>
          </w:p>
        </w:tc>
      </w:tr>
      <w:tr w:rsidR="006C0A4B" w14:paraId="0582F829" w14:textId="77777777" w:rsidTr="006C0A4B">
        <w:tc>
          <w:tcPr>
            <w:tcW w:w="2405" w:type="dxa"/>
          </w:tcPr>
          <w:p w14:paraId="257BE67E" w14:textId="77777777" w:rsidR="006C0A4B" w:rsidRDefault="006C0A4B" w:rsidP="006C0A4B">
            <w:pPr>
              <w:pStyle w:val="ListParagraph"/>
              <w:numPr>
                <w:ilvl w:val="0"/>
                <w:numId w:val="27"/>
              </w:numPr>
              <w:spacing w:after="0" w:line="240" w:lineRule="auto"/>
            </w:pPr>
            <w:r>
              <w:t>Syamsul Asinar, Konsultan Sekolah Lapang, South Sumatra</w:t>
            </w:r>
          </w:p>
        </w:tc>
        <w:tc>
          <w:tcPr>
            <w:tcW w:w="2999" w:type="dxa"/>
          </w:tcPr>
          <w:p w14:paraId="1D464259" w14:textId="77777777" w:rsidR="006C0A4B" w:rsidRDefault="006C0A4B" w:rsidP="006C0A4B">
            <w:r>
              <w:t>0812 8713 7276</w:t>
            </w:r>
          </w:p>
        </w:tc>
        <w:tc>
          <w:tcPr>
            <w:tcW w:w="2211" w:type="dxa"/>
          </w:tcPr>
          <w:p w14:paraId="2B6C0A41" w14:textId="77777777" w:rsidR="006C0A4B" w:rsidRDefault="006C0A4B" w:rsidP="006C0A4B">
            <w:pPr>
              <w:pStyle w:val="ListParagraph"/>
              <w:numPr>
                <w:ilvl w:val="0"/>
                <w:numId w:val="28"/>
              </w:numPr>
              <w:spacing w:after="0" w:line="240" w:lineRule="auto"/>
            </w:pPr>
            <w:r>
              <w:t>Lesson learned from the project</w:t>
            </w:r>
          </w:p>
          <w:p w14:paraId="6AD222BF" w14:textId="77777777" w:rsidR="006C0A4B" w:rsidRDefault="006C0A4B" w:rsidP="006C0A4B">
            <w:pPr>
              <w:pStyle w:val="ListParagraph"/>
              <w:numPr>
                <w:ilvl w:val="0"/>
                <w:numId w:val="28"/>
              </w:numPr>
              <w:spacing w:after="0" w:line="240" w:lineRule="auto"/>
            </w:pPr>
            <w:r>
              <w:t>Impact to community</w:t>
            </w:r>
          </w:p>
        </w:tc>
        <w:tc>
          <w:tcPr>
            <w:tcW w:w="2569" w:type="dxa"/>
          </w:tcPr>
          <w:p w14:paraId="1A8BF000" w14:textId="77777777" w:rsidR="006C0A4B" w:rsidRDefault="006C0A4B" w:rsidP="006C0A4B">
            <w:pPr>
              <w:pStyle w:val="ListParagraph"/>
              <w:numPr>
                <w:ilvl w:val="0"/>
                <w:numId w:val="28"/>
              </w:numPr>
              <w:spacing w:after="0" w:line="240" w:lineRule="auto"/>
            </w:pPr>
            <w:r>
              <w:t>29</w:t>
            </w:r>
            <w:r w:rsidRPr="008A6C87">
              <w:rPr>
                <w:vertAlign w:val="superscript"/>
              </w:rPr>
              <w:t>th</w:t>
            </w:r>
            <w:r>
              <w:t xml:space="preserve"> October</w:t>
            </w:r>
          </w:p>
        </w:tc>
      </w:tr>
      <w:tr w:rsidR="006C0A4B" w14:paraId="540C5514" w14:textId="77777777" w:rsidTr="006C0A4B">
        <w:tc>
          <w:tcPr>
            <w:tcW w:w="2405" w:type="dxa"/>
          </w:tcPr>
          <w:p w14:paraId="0C76ED4D" w14:textId="77777777" w:rsidR="006C0A4B" w:rsidRDefault="006C0A4B" w:rsidP="006C0A4B">
            <w:pPr>
              <w:pStyle w:val="ListParagraph"/>
              <w:numPr>
                <w:ilvl w:val="0"/>
                <w:numId w:val="27"/>
              </w:numPr>
              <w:spacing w:after="0" w:line="240" w:lineRule="auto"/>
            </w:pPr>
            <w:r>
              <w:t>Lelly and Ridho Faizadi (Female), Yayasan gemawan – West Kalimantan</w:t>
            </w:r>
          </w:p>
        </w:tc>
        <w:tc>
          <w:tcPr>
            <w:tcW w:w="2999" w:type="dxa"/>
          </w:tcPr>
          <w:p w14:paraId="497A637C" w14:textId="77777777" w:rsidR="006C0A4B" w:rsidRPr="00C104DF" w:rsidRDefault="006C0A4B" w:rsidP="006C0A4B">
            <w:r>
              <w:t>0813 4522 5232</w:t>
            </w:r>
          </w:p>
        </w:tc>
        <w:tc>
          <w:tcPr>
            <w:tcW w:w="2211" w:type="dxa"/>
          </w:tcPr>
          <w:p w14:paraId="774774F2" w14:textId="77777777" w:rsidR="006C0A4B" w:rsidRDefault="006C0A4B" w:rsidP="006C0A4B">
            <w:pPr>
              <w:pStyle w:val="ListParagraph"/>
              <w:numPr>
                <w:ilvl w:val="0"/>
                <w:numId w:val="28"/>
              </w:numPr>
              <w:spacing w:after="0" w:line="240" w:lineRule="auto"/>
            </w:pPr>
            <w:r>
              <w:t>Key impact to community and grantee.</w:t>
            </w:r>
          </w:p>
          <w:p w14:paraId="0B5E4D25" w14:textId="77777777" w:rsidR="006C0A4B" w:rsidRDefault="006C0A4B" w:rsidP="006C0A4B">
            <w:pPr>
              <w:pStyle w:val="ListParagraph"/>
              <w:numPr>
                <w:ilvl w:val="0"/>
                <w:numId w:val="28"/>
              </w:numPr>
              <w:spacing w:after="0" w:line="240" w:lineRule="auto"/>
            </w:pPr>
            <w:r>
              <w:t>Sustainability and replicability.</w:t>
            </w:r>
          </w:p>
          <w:p w14:paraId="3BC24734" w14:textId="77777777" w:rsidR="006C0A4B" w:rsidRDefault="006C0A4B" w:rsidP="006C0A4B">
            <w:pPr>
              <w:pStyle w:val="ListParagraph"/>
              <w:numPr>
                <w:ilvl w:val="0"/>
                <w:numId w:val="28"/>
              </w:numPr>
              <w:spacing w:after="0" w:line="240" w:lineRule="auto"/>
            </w:pPr>
            <w:r>
              <w:t>Key lesson learned from the project</w:t>
            </w:r>
          </w:p>
        </w:tc>
        <w:tc>
          <w:tcPr>
            <w:tcW w:w="2569" w:type="dxa"/>
          </w:tcPr>
          <w:p w14:paraId="273269AA" w14:textId="77777777" w:rsidR="006C0A4B" w:rsidRDefault="006C0A4B" w:rsidP="006C0A4B">
            <w:pPr>
              <w:pStyle w:val="ListParagraph"/>
              <w:numPr>
                <w:ilvl w:val="0"/>
                <w:numId w:val="28"/>
              </w:numPr>
              <w:spacing w:after="0" w:line="240" w:lineRule="auto"/>
            </w:pPr>
            <w:r>
              <w:t>3</w:t>
            </w:r>
            <w:r w:rsidRPr="008A6C87">
              <w:rPr>
                <w:vertAlign w:val="superscript"/>
              </w:rPr>
              <w:t>rd</w:t>
            </w:r>
            <w:r>
              <w:t xml:space="preserve">  October</w:t>
            </w:r>
          </w:p>
        </w:tc>
      </w:tr>
      <w:tr w:rsidR="006C0A4B" w14:paraId="3564A62E" w14:textId="77777777" w:rsidTr="006C0A4B">
        <w:tc>
          <w:tcPr>
            <w:tcW w:w="2405" w:type="dxa"/>
          </w:tcPr>
          <w:p w14:paraId="7828D48D" w14:textId="77777777" w:rsidR="006C0A4B" w:rsidRDefault="006C0A4B" w:rsidP="006C0A4B">
            <w:pPr>
              <w:pStyle w:val="ListParagraph"/>
              <w:numPr>
                <w:ilvl w:val="0"/>
                <w:numId w:val="27"/>
              </w:numPr>
              <w:spacing w:after="0" w:line="240" w:lineRule="auto"/>
            </w:pPr>
            <w:r>
              <w:t>Wawan (Dinamisator BRG West Kalimantan)</w:t>
            </w:r>
          </w:p>
        </w:tc>
        <w:tc>
          <w:tcPr>
            <w:tcW w:w="2999" w:type="dxa"/>
          </w:tcPr>
          <w:p w14:paraId="516F21D4" w14:textId="77777777" w:rsidR="006C0A4B" w:rsidRPr="00C104DF" w:rsidRDefault="006C0A4B" w:rsidP="006C0A4B">
            <w:r>
              <w:t>0812 5704959</w:t>
            </w:r>
          </w:p>
        </w:tc>
        <w:tc>
          <w:tcPr>
            <w:tcW w:w="2211" w:type="dxa"/>
          </w:tcPr>
          <w:p w14:paraId="2F719E8E" w14:textId="77777777" w:rsidR="006C0A4B" w:rsidRDefault="006C0A4B" w:rsidP="006C0A4B">
            <w:r>
              <w:t>Key impact to community.</w:t>
            </w:r>
          </w:p>
          <w:p w14:paraId="34DC6D93" w14:textId="77777777" w:rsidR="006C0A4B" w:rsidRDefault="006C0A4B" w:rsidP="006C0A4B">
            <w:r>
              <w:t>Key lesson learned from UNDP’s project</w:t>
            </w:r>
          </w:p>
        </w:tc>
        <w:tc>
          <w:tcPr>
            <w:tcW w:w="2569" w:type="dxa"/>
          </w:tcPr>
          <w:p w14:paraId="07647EE4" w14:textId="77777777" w:rsidR="006C0A4B" w:rsidRDefault="006C0A4B" w:rsidP="006C0A4B">
            <w:pPr>
              <w:pStyle w:val="ListParagraph"/>
              <w:numPr>
                <w:ilvl w:val="0"/>
                <w:numId w:val="28"/>
              </w:numPr>
              <w:spacing w:after="0" w:line="240" w:lineRule="auto"/>
            </w:pPr>
            <w:r>
              <w:t>3</w:t>
            </w:r>
            <w:r w:rsidRPr="008A6C87">
              <w:rPr>
                <w:vertAlign w:val="superscript"/>
              </w:rPr>
              <w:t>rd</w:t>
            </w:r>
            <w:r>
              <w:t xml:space="preserve"> October</w:t>
            </w:r>
          </w:p>
        </w:tc>
      </w:tr>
      <w:tr w:rsidR="006C0A4B" w14:paraId="53FB9BD2" w14:textId="77777777" w:rsidTr="006C0A4B">
        <w:tc>
          <w:tcPr>
            <w:tcW w:w="2405" w:type="dxa"/>
          </w:tcPr>
          <w:p w14:paraId="7147F2C6" w14:textId="77777777" w:rsidR="006C0A4B" w:rsidRDefault="006C0A4B" w:rsidP="006C0A4B">
            <w:pPr>
              <w:pStyle w:val="ListParagraph"/>
              <w:numPr>
                <w:ilvl w:val="0"/>
                <w:numId w:val="27"/>
              </w:numPr>
              <w:spacing w:after="0" w:line="240" w:lineRule="auto"/>
            </w:pPr>
            <w:r>
              <w:t>Surahman, Sutarman, Ibu Henny (LPPKM – Universitas Tanjung Pura) – West Kalimantan</w:t>
            </w:r>
          </w:p>
        </w:tc>
        <w:tc>
          <w:tcPr>
            <w:tcW w:w="2999" w:type="dxa"/>
          </w:tcPr>
          <w:p w14:paraId="70397B61" w14:textId="77777777" w:rsidR="006C0A4B" w:rsidRPr="00C104DF" w:rsidRDefault="006C0A4B" w:rsidP="006C0A4B">
            <w:r>
              <w:t>Ibu Henny – 0812 98693663</w:t>
            </w:r>
          </w:p>
        </w:tc>
        <w:tc>
          <w:tcPr>
            <w:tcW w:w="2211" w:type="dxa"/>
          </w:tcPr>
          <w:p w14:paraId="683F3657" w14:textId="77777777" w:rsidR="006C0A4B" w:rsidRDefault="006C0A4B" w:rsidP="006C0A4B">
            <w:pPr>
              <w:pStyle w:val="ListParagraph"/>
              <w:numPr>
                <w:ilvl w:val="0"/>
                <w:numId w:val="28"/>
              </w:numPr>
              <w:spacing w:after="0" w:line="240" w:lineRule="auto"/>
            </w:pPr>
            <w:r>
              <w:t>Key impact to community and grantee.</w:t>
            </w:r>
          </w:p>
          <w:p w14:paraId="5C149C6B" w14:textId="77777777" w:rsidR="006C0A4B" w:rsidRDefault="006C0A4B" w:rsidP="006C0A4B">
            <w:pPr>
              <w:pStyle w:val="ListParagraph"/>
              <w:numPr>
                <w:ilvl w:val="0"/>
                <w:numId w:val="28"/>
              </w:numPr>
              <w:spacing w:after="0" w:line="240" w:lineRule="auto"/>
            </w:pPr>
            <w:r>
              <w:t>Sustainability and replicability.</w:t>
            </w:r>
          </w:p>
          <w:p w14:paraId="1DC19588" w14:textId="77777777" w:rsidR="006C0A4B" w:rsidRDefault="006C0A4B" w:rsidP="006C0A4B">
            <w:pPr>
              <w:pStyle w:val="ListParagraph"/>
              <w:numPr>
                <w:ilvl w:val="0"/>
                <w:numId w:val="28"/>
              </w:numPr>
              <w:spacing w:after="0" w:line="240" w:lineRule="auto"/>
            </w:pPr>
            <w:r>
              <w:t>Key lesson learned from the project</w:t>
            </w:r>
          </w:p>
        </w:tc>
        <w:tc>
          <w:tcPr>
            <w:tcW w:w="2569" w:type="dxa"/>
          </w:tcPr>
          <w:p w14:paraId="26924206" w14:textId="77777777" w:rsidR="006C0A4B" w:rsidRDefault="006C0A4B" w:rsidP="006C0A4B">
            <w:pPr>
              <w:pStyle w:val="ListParagraph"/>
              <w:numPr>
                <w:ilvl w:val="0"/>
                <w:numId w:val="28"/>
              </w:numPr>
              <w:spacing w:after="0" w:line="240" w:lineRule="auto"/>
            </w:pPr>
            <w:r>
              <w:t>4th October</w:t>
            </w:r>
          </w:p>
        </w:tc>
      </w:tr>
      <w:tr w:rsidR="006C0A4B" w14:paraId="4C137347" w14:textId="77777777" w:rsidTr="006C0A4B">
        <w:tc>
          <w:tcPr>
            <w:tcW w:w="2405" w:type="dxa"/>
          </w:tcPr>
          <w:p w14:paraId="7695B79B" w14:textId="77777777" w:rsidR="006C0A4B" w:rsidRDefault="006C0A4B" w:rsidP="006C0A4B">
            <w:pPr>
              <w:pStyle w:val="ListParagraph"/>
              <w:numPr>
                <w:ilvl w:val="0"/>
                <w:numId w:val="27"/>
              </w:numPr>
              <w:spacing w:after="0" w:line="240" w:lineRule="auto"/>
            </w:pPr>
            <w:r>
              <w:t xml:space="preserve">Joko Waluyo,Dinamisator BRG </w:t>
            </w:r>
          </w:p>
        </w:tc>
        <w:tc>
          <w:tcPr>
            <w:tcW w:w="2999" w:type="dxa"/>
          </w:tcPr>
          <w:p w14:paraId="68B199DC" w14:textId="77777777" w:rsidR="006C0A4B" w:rsidRPr="00C104DF" w:rsidRDefault="006C0A4B" w:rsidP="006C0A4B">
            <w:r>
              <w:t>0811 845 648</w:t>
            </w:r>
          </w:p>
        </w:tc>
        <w:tc>
          <w:tcPr>
            <w:tcW w:w="2211" w:type="dxa"/>
          </w:tcPr>
          <w:p w14:paraId="00688423" w14:textId="77777777" w:rsidR="006C0A4B" w:rsidRDefault="006C0A4B" w:rsidP="006C0A4B">
            <w:pPr>
              <w:pStyle w:val="ListParagraph"/>
              <w:numPr>
                <w:ilvl w:val="0"/>
                <w:numId w:val="28"/>
              </w:numPr>
              <w:spacing w:after="0" w:line="240" w:lineRule="auto"/>
            </w:pPr>
            <w:r>
              <w:t>Sustainability and replicability.</w:t>
            </w:r>
          </w:p>
          <w:p w14:paraId="44A1E5D1" w14:textId="77777777" w:rsidR="006C0A4B" w:rsidRDefault="006C0A4B" w:rsidP="006C0A4B">
            <w:pPr>
              <w:pStyle w:val="ListParagraph"/>
              <w:numPr>
                <w:ilvl w:val="0"/>
                <w:numId w:val="28"/>
              </w:numPr>
              <w:spacing w:after="0" w:line="240" w:lineRule="auto"/>
            </w:pPr>
            <w:r>
              <w:t>Key lesson learned from the project.</w:t>
            </w:r>
          </w:p>
        </w:tc>
        <w:tc>
          <w:tcPr>
            <w:tcW w:w="2569" w:type="dxa"/>
          </w:tcPr>
          <w:p w14:paraId="11FA5820" w14:textId="77777777" w:rsidR="006C0A4B" w:rsidRDefault="006C0A4B" w:rsidP="006C0A4B">
            <w:pPr>
              <w:pStyle w:val="ListParagraph"/>
              <w:numPr>
                <w:ilvl w:val="0"/>
                <w:numId w:val="28"/>
              </w:numPr>
              <w:spacing w:after="0" w:line="240" w:lineRule="auto"/>
            </w:pPr>
            <w:r>
              <w:t>4th October</w:t>
            </w:r>
          </w:p>
        </w:tc>
      </w:tr>
      <w:tr w:rsidR="006C0A4B" w14:paraId="5C2A8576" w14:textId="77777777" w:rsidTr="006C0A4B">
        <w:tc>
          <w:tcPr>
            <w:tcW w:w="2405" w:type="dxa"/>
          </w:tcPr>
          <w:p w14:paraId="213A58B7" w14:textId="77777777" w:rsidR="006C0A4B" w:rsidRDefault="006C0A4B" w:rsidP="006C0A4B">
            <w:pPr>
              <w:pStyle w:val="ListParagraph"/>
              <w:numPr>
                <w:ilvl w:val="0"/>
                <w:numId w:val="27"/>
              </w:numPr>
              <w:spacing w:after="0" w:line="240" w:lineRule="auto"/>
            </w:pPr>
            <w:r>
              <w:t>Mastuati, Lembaga Dayat Panarung</w:t>
            </w:r>
          </w:p>
        </w:tc>
        <w:tc>
          <w:tcPr>
            <w:tcW w:w="2999" w:type="dxa"/>
          </w:tcPr>
          <w:p w14:paraId="566A29DD" w14:textId="77777777" w:rsidR="006C0A4B" w:rsidRPr="00C104DF" w:rsidRDefault="006C0A4B" w:rsidP="006C0A4B">
            <w:r>
              <w:t>0813 5155 8868</w:t>
            </w:r>
          </w:p>
        </w:tc>
        <w:tc>
          <w:tcPr>
            <w:tcW w:w="2211" w:type="dxa"/>
          </w:tcPr>
          <w:p w14:paraId="41D4E4C4" w14:textId="77777777" w:rsidR="006C0A4B" w:rsidRDefault="006C0A4B" w:rsidP="006C0A4B">
            <w:pPr>
              <w:pStyle w:val="ListParagraph"/>
              <w:numPr>
                <w:ilvl w:val="0"/>
                <w:numId w:val="28"/>
              </w:numPr>
              <w:spacing w:after="0" w:line="240" w:lineRule="auto"/>
            </w:pPr>
            <w:r>
              <w:t>Key impact to community and grantee</w:t>
            </w:r>
          </w:p>
          <w:p w14:paraId="1F59191C" w14:textId="77777777" w:rsidR="006C0A4B" w:rsidRDefault="006C0A4B" w:rsidP="006C0A4B">
            <w:pPr>
              <w:pStyle w:val="ListParagraph"/>
              <w:numPr>
                <w:ilvl w:val="0"/>
                <w:numId w:val="28"/>
              </w:numPr>
              <w:spacing w:after="0" w:line="240" w:lineRule="auto"/>
            </w:pPr>
            <w:r>
              <w:t>Sustainability and replicability.</w:t>
            </w:r>
          </w:p>
          <w:p w14:paraId="3824FBD9" w14:textId="77777777" w:rsidR="006C0A4B" w:rsidRDefault="006C0A4B" w:rsidP="006C0A4B">
            <w:pPr>
              <w:pStyle w:val="ListParagraph"/>
              <w:numPr>
                <w:ilvl w:val="0"/>
                <w:numId w:val="28"/>
              </w:numPr>
              <w:spacing w:after="0" w:line="240" w:lineRule="auto"/>
            </w:pPr>
            <w:r>
              <w:t>Key lesson learned from the project</w:t>
            </w:r>
          </w:p>
        </w:tc>
        <w:tc>
          <w:tcPr>
            <w:tcW w:w="2569" w:type="dxa"/>
          </w:tcPr>
          <w:p w14:paraId="7DDE81E7" w14:textId="77777777" w:rsidR="006C0A4B" w:rsidRDefault="006C0A4B" w:rsidP="006C0A4B">
            <w:pPr>
              <w:pStyle w:val="ListParagraph"/>
              <w:numPr>
                <w:ilvl w:val="0"/>
                <w:numId w:val="28"/>
              </w:numPr>
              <w:spacing w:after="0" w:line="240" w:lineRule="auto"/>
            </w:pPr>
            <w:r>
              <w:t>5th October</w:t>
            </w:r>
          </w:p>
        </w:tc>
      </w:tr>
      <w:tr w:rsidR="006C0A4B" w14:paraId="6F0589BB" w14:textId="77777777" w:rsidTr="006C0A4B">
        <w:tc>
          <w:tcPr>
            <w:tcW w:w="2405" w:type="dxa"/>
          </w:tcPr>
          <w:p w14:paraId="664ED429" w14:textId="77777777" w:rsidR="006C0A4B" w:rsidRDefault="006C0A4B" w:rsidP="006C0A4B">
            <w:pPr>
              <w:pStyle w:val="ListParagraph"/>
              <w:numPr>
                <w:ilvl w:val="0"/>
                <w:numId w:val="27"/>
              </w:numPr>
              <w:spacing w:after="0" w:line="240" w:lineRule="auto"/>
            </w:pPr>
            <w:r>
              <w:t>Dwi Dedeh – Fasilitator peternakan BRG</w:t>
            </w:r>
          </w:p>
        </w:tc>
        <w:tc>
          <w:tcPr>
            <w:tcW w:w="2999" w:type="dxa"/>
          </w:tcPr>
          <w:p w14:paraId="792E0FFE" w14:textId="77777777" w:rsidR="006C0A4B" w:rsidRPr="00C104DF" w:rsidRDefault="006C0A4B" w:rsidP="006C0A4B">
            <w:r>
              <w:t>0822 5553 3143</w:t>
            </w:r>
          </w:p>
        </w:tc>
        <w:tc>
          <w:tcPr>
            <w:tcW w:w="2211" w:type="dxa"/>
          </w:tcPr>
          <w:p w14:paraId="77288113" w14:textId="77777777" w:rsidR="006C0A4B" w:rsidRDefault="006C0A4B" w:rsidP="006C0A4B">
            <w:pPr>
              <w:pStyle w:val="ListParagraph"/>
              <w:numPr>
                <w:ilvl w:val="0"/>
                <w:numId w:val="28"/>
              </w:numPr>
              <w:spacing w:after="0" w:line="240" w:lineRule="auto"/>
            </w:pPr>
            <w:r>
              <w:t>Key impact to community and grantee</w:t>
            </w:r>
          </w:p>
          <w:p w14:paraId="67ECB534" w14:textId="77777777" w:rsidR="006C0A4B" w:rsidRDefault="006C0A4B" w:rsidP="006C0A4B">
            <w:pPr>
              <w:pStyle w:val="ListParagraph"/>
              <w:numPr>
                <w:ilvl w:val="0"/>
                <w:numId w:val="28"/>
              </w:numPr>
              <w:spacing w:after="0" w:line="240" w:lineRule="auto"/>
            </w:pPr>
            <w:r>
              <w:t>Sustainability and replicability.</w:t>
            </w:r>
          </w:p>
          <w:p w14:paraId="7EF07D1B" w14:textId="77777777" w:rsidR="006C0A4B" w:rsidRDefault="006C0A4B" w:rsidP="006C0A4B">
            <w:pPr>
              <w:pStyle w:val="ListParagraph"/>
              <w:numPr>
                <w:ilvl w:val="0"/>
                <w:numId w:val="28"/>
              </w:numPr>
              <w:spacing w:after="0" w:line="240" w:lineRule="auto"/>
            </w:pPr>
            <w:r>
              <w:lastRenderedPageBreak/>
              <w:t>Key lesson learned from the project</w:t>
            </w:r>
          </w:p>
        </w:tc>
        <w:tc>
          <w:tcPr>
            <w:tcW w:w="2569" w:type="dxa"/>
          </w:tcPr>
          <w:p w14:paraId="6AFC6041" w14:textId="77777777" w:rsidR="006C0A4B" w:rsidRDefault="006C0A4B" w:rsidP="006C0A4B">
            <w:pPr>
              <w:pStyle w:val="ListParagraph"/>
              <w:numPr>
                <w:ilvl w:val="0"/>
                <w:numId w:val="28"/>
              </w:numPr>
              <w:spacing w:after="0" w:line="240" w:lineRule="auto"/>
            </w:pPr>
            <w:r>
              <w:lastRenderedPageBreak/>
              <w:t>5</w:t>
            </w:r>
            <w:r w:rsidRPr="00D24119">
              <w:rPr>
                <w:vertAlign w:val="superscript"/>
              </w:rPr>
              <w:t>th</w:t>
            </w:r>
            <w:r>
              <w:t xml:space="preserve"> October</w:t>
            </w:r>
          </w:p>
        </w:tc>
      </w:tr>
      <w:tr w:rsidR="006C0A4B" w14:paraId="41AB9A38" w14:textId="77777777" w:rsidTr="006C0A4B">
        <w:tc>
          <w:tcPr>
            <w:tcW w:w="2405" w:type="dxa"/>
          </w:tcPr>
          <w:p w14:paraId="4281CF55" w14:textId="77777777" w:rsidR="006C0A4B" w:rsidRDefault="006C0A4B" w:rsidP="006C0A4B">
            <w:pPr>
              <w:pStyle w:val="ListParagraph"/>
              <w:numPr>
                <w:ilvl w:val="0"/>
                <w:numId w:val="27"/>
              </w:numPr>
              <w:spacing w:after="0" w:line="240" w:lineRule="auto"/>
            </w:pPr>
            <w:r>
              <w:t>Patmawati,  ELPAM</w:t>
            </w:r>
          </w:p>
        </w:tc>
        <w:tc>
          <w:tcPr>
            <w:tcW w:w="2999" w:type="dxa"/>
          </w:tcPr>
          <w:p w14:paraId="08FBC839" w14:textId="77777777" w:rsidR="006C0A4B" w:rsidRPr="00C104DF" w:rsidRDefault="006C0A4B" w:rsidP="006C0A4B">
            <w:r>
              <w:t>0821 5901 4743</w:t>
            </w:r>
          </w:p>
        </w:tc>
        <w:tc>
          <w:tcPr>
            <w:tcW w:w="2211" w:type="dxa"/>
          </w:tcPr>
          <w:p w14:paraId="3E3CEC1A" w14:textId="77777777" w:rsidR="006C0A4B" w:rsidRDefault="006C0A4B" w:rsidP="006C0A4B">
            <w:pPr>
              <w:pStyle w:val="ListParagraph"/>
              <w:numPr>
                <w:ilvl w:val="0"/>
                <w:numId w:val="28"/>
              </w:numPr>
              <w:spacing w:after="0" w:line="240" w:lineRule="auto"/>
            </w:pPr>
            <w:r>
              <w:t>Key impact to community and grantee</w:t>
            </w:r>
          </w:p>
          <w:p w14:paraId="423A8088" w14:textId="77777777" w:rsidR="006C0A4B" w:rsidRDefault="006C0A4B" w:rsidP="006C0A4B">
            <w:pPr>
              <w:pStyle w:val="ListParagraph"/>
              <w:numPr>
                <w:ilvl w:val="0"/>
                <w:numId w:val="28"/>
              </w:numPr>
              <w:spacing w:after="0" w:line="240" w:lineRule="auto"/>
            </w:pPr>
            <w:r>
              <w:t>Sustainability and replicability.</w:t>
            </w:r>
          </w:p>
          <w:p w14:paraId="5961A823" w14:textId="77777777" w:rsidR="006C0A4B" w:rsidRDefault="006C0A4B" w:rsidP="006C0A4B">
            <w:pPr>
              <w:pStyle w:val="ListParagraph"/>
              <w:numPr>
                <w:ilvl w:val="0"/>
                <w:numId w:val="28"/>
              </w:numPr>
              <w:spacing w:after="0" w:line="240" w:lineRule="auto"/>
            </w:pPr>
            <w:r>
              <w:t>Key lesson learned from the project</w:t>
            </w:r>
          </w:p>
        </w:tc>
        <w:tc>
          <w:tcPr>
            <w:tcW w:w="2569" w:type="dxa"/>
          </w:tcPr>
          <w:p w14:paraId="127C328A" w14:textId="77777777" w:rsidR="006C0A4B" w:rsidRDefault="006C0A4B" w:rsidP="006C0A4B">
            <w:pPr>
              <w:pStyle w:val="ListParagraph"/>
              <w:numPr>
                <w:ilvl w:val="0"/>
                <w:numId w:val="28"/>
              </w:numPr>
              <w:spacing w:after="0" w:line="240" w:lineRule="auto"/>
            </w:pPr>
            <w:r>
              <w:t>5</w:t>
            </w:r>
            <w:r w:rsidRPr="00D24119">
              <w:rPr>
                <w:vertAlign w:val="superscript"/>
              </w:rPr>
              <w:t>th</w:t>
            </w:r>
            <w:r>
              <w:t xml:space="preserve"> October</w:t>
            </w:r>
          </w:p>
        </w:tc>
      </w:tr>
      <w:tr w:rsidR="006C0A4B" w14:paraId="0FDCC89A" w14:textId="77777777" w:rsidTr="006C0A4B">
        <w:tc>
          <w:tcPr>
            <w:tcW w:w="2405" w:type="dxa"/>
          </w:tcPr>
          <w:p w14:paraId="6F48381F" w14:textId="77777777" w:rsidR="006C0A4B" w:rsidRDefault="006C0A4B" w:rsidP="006C0A4B">
            <w:pPr>
              <w:pStyle w:val="ListParagraph"/>
              <w:numPr>
                <w:ilvl w:val="0"/>
                <w:numId w:val="27"/>
              </w:numPr>
              <w:spacing w:after="0" w:line="240" w:lineRule="auto"/>
            </w:pPr>
            <w:r>
              <w:t>Aswin Yusuf, LPPM Universitas Palangkaraya</w:t>
            </w:r>
          </w:p>
        </w:tc>
        <w:tc>
          <w:tcPr>
            <w:tcW w:w="2999" w:type="dxa"/>
          </w:tcPr>
          <w:p w14:paraId="409DFF0A" w14:textId="77777777" w:rsidR="006C0A4B" w:rsidRPr="00C104DF" w:rsidRDefault="006C0A4B" w:rsidP="006C0A4B">
            <w:r>
              <w:t>0822 5429 7627</w:t>
            </w:r>
          </w:p>
        </w:tc>
        <w:tc>
          <w:tcPr>
            <w:tcW w:w="2211" w:type="dxa"/>
          </w:tcPr>
          <w:p w14:paraId="084DED31" w14:textId="77777777" w:rsidR="006C0A4B" w:rsidRDefault="006C0A4B" w:rsidP="006C0A4B">
            <w:pPr>
              <w:pStyle w:val="ListParagraph"/>
              <w:numPr>
                <w:ilvl w:val="0"/>
                <w:numId w:val="28"/>
              </w:numPr>
              <w:spacing w:after="0" w:line="240" w:lineRule="auto"/>
            </w:pPr>
            <w:r>
              <w:t>Sustainability and replicability.</w:t>
            </w:r>
          </w:p>
          <w:p w14:paraId="30911A03" w14:textId="77777777" w:rsidR="006C0A4B" w:rsidRDefault="006C0A4B" w:rsidP="006C0A4B">
            <w:pPr>
              <w:pStyle w:val="ListParagraph"/>
              <w:numPr>
                <w:ilvl w:val="0"/>
                <w:numId w:val="28"/>
              </w:numPr>
              <w:spacing w:after="0" w:line="240" w:lineRule="auto"/>
            </w:pPr>
            <w:r>
              <w:t>Key lesson learned from the project</w:t>
            </w:r>
          </w:p>
        </w:tc>
        <w:tc>
          <w:tcPr>
            <w:tcW w:w="2569" w:type="dxa"/>
          </w:tcPr>
          <w:p w14:paraId="499FBB2F" w14:textId="77777777" w:rsidR="006C0A4B" w:rsidRDefault="006C0A4B" w:rsidP="006C0A4B">
            <w:pPr>
              <w:pStyle w:val="ListParagraph"/>
              <w:numPr>
                <w:ilvl w:val="0"/>
                <w:numId w:val="28"/>
              </w:numPr>
              <w:spacing w:after="0" w:line="240" w:lineRule="auto"/>
            </w:pPr>
            <w:r>
              <w:t>5</w:t>
            </w:r>
            <w:r w:rsidRPr="00D24119">
              <w:rPr>
                <w:vertAlign w:val="superscript"/>
              </w:rPr>
              <w:t>th</w:t>
            </w:r>
            <w:r>
              <w:t xml:space="preserve"> October</w:t>
            </w:r>
          </w:p>
        </w:tc>
      </w:tr>
      <w:tr w:rsidR="006C0A4B" w14:paraId="0A2CECAB" w14:textId="77777777" w:rsidTr="006C0A4B">
        <w:tc>
          <w:tcPr>
            <w:tcW w:w="2405" w:type="dxa"/>
          </w:tcPr>
          <w:p w14:paraId="24087D36" w14:textId="77777777" w:rsidR="006C0A4B" w:rsidRDefault="006C0A4B" w:rsidP="006C0A4B">
            <w:pPr>
              <w:pStyle w:val="ListParagraph"/>
              <w:numPr>
                <w:ilvl w:val="0"/>
                <w:numId w:val="27"/>
              </w:numPr>
              <w:spacing w:after="0" w:line="240" w:lineRule="auto"/>
            </w:pPr>
            <w:r>
              <w:t>Tri Miniarti – TRGD Provinsi Kalteng</w:t>
            </w:r>
          </w:p>
        </w:tc>
        <w:tc>
          <w:tcPr>
            <w:tcW w:w="2999" w:type="dxa"/>
          </w:tcPr>
          <w:p w14:paraId="74B83C1B" w14:textId="77777777" w:rsidR="006C0A4B" w:rsidRPr="00C104DF" w:rsidRDefault="006C0A4B" w:rsidP="006C0A4B">
            <w:r>
              <w:t>0812 5061 4010</w:t>
            </w:r>
          </w:p>
        </w:tc>
        <w:tc>
          <w:tcPr>
            <w:tcW w:w="2211" w:type="dxa"/>
          </w:tcPr>
          <w:p w14:paraId="5AE6E08D" w14:textId="77777777" w:rsidR="006C0A4B" w:rsidRDefault="006C0A4B" w:rsidP="006C0A4B">
            <w:pPr>
              <w:pStyle w:val="ListParagraph"/>
              <w:numPr>
                <w:ilvl w:val="0"/>
                <w:numId w:val="28"/>
              </w:numPr>
              <w:spacing w:after="0" w:line="240" w:lineRule="auto"/>
            </w:pPr>
            <w:r>
              <w:t>Relevance and appropriateness</w:t>
            </w:r>
          </w:p>
          <w:p w14:paraId="66416E17" w14:textId="77777777" w:rsidR="006C0A4B" w:rsidRDefault="006C0A4B" w:rsidP="006C0A4B">
            <w:pPr>
              <w:pStyle w:val="ListParagraph"/>
              <w:numPr>
                <w:ilvl w:val="0"/>
                <w:numId w:val="28"/>
              </w:numPr>
              <w:spacing w:after="0" w:line="240" w:lineRule="auto"/>
            </w:pPr>
            <w:r>
              <w:t>Key lesson learned from UNDP project.</w:t>
            </w:r>
          </w:p>
        </w:tc>
        <w:tc>
          <w:tcPr>
            <w:tcW w:w="2569" w:type="dxa"/>
          </w:tcPr>
          <w:p w14:paraId="772965A2" w14:textId="77777777" w:rsidR="006C0A4B" w:rsidRDefault="006C0A4B" w:rsidP="006C0A4B">
            <w:pPr>
              <w:pStyle w:val="ListParagraph"/>
              <w:numPr>
                <w:ilvl w:val="0"/>
                <w:numId w:val="28"/>
              </w:numPr>
              <w:spacing w:after="0" w:line="240" w:lineRule="auto"/>
            </w:pPr>
            <w:r>
              <w:t>6</w:t>
            </w:r>
            <w:r w:rsidRPr="00D24119">
              <w:rPr>
                <w:vertAlign w:val="superscript"/>
              </w:rPr>
              <w:t>th</w:t>
            </w:r>
            <w:r>
              <w:t xml:space="preserve"> October</w:t>
            </w:r>
          </w:p>
        </w:tc>
      </w:tr>
      <w:tr w:rsidR="006C0A4B" w14:paraId="75B56D85" w14:textId="77777777" w:rsidTr="006C0A4B">
        <w:tc>
          <w:tcPr>
            <w:tcW w:w="2405" w:type="dxa"/>
          </w:tcPr>
          <w:p w14:paraId="7880167D" w14:textId="77777777" w:rsidR="006C0A4B" w:rsidRDefault="006C0A4B" w:rsidP="006C0A4B">
            <w:pPr>
              <w:pStyle w:val="ListParagraph"/>
              <w:numPr>
                <w:ilvl w:val="0"/>
                <w:numId w:val="27"/>
              </w:numPr>
              <w:spacing w:after="0" w:line="240" w:lineRule="auto"/>
            </w:pPr>
            <w:r>
              <w:t>Abdullah Unjung, Sekretaris Desa, Desa Tanjung Taruna – Kabupaten Pulang Pisau</w:t>
            </w:r>
          </w:p>
        </w:tc>
        <w:tc>
          <w:tcPr>
            <w:tcW w:w="2999" w:type="dxa"/>
          </w:tcPr>
          <w:p w14:paraId="64EBA65B" w14:textId="77777777" w:rsidR="006C0A4B" w:rsidRPr="00C104DF" w:rsidRDefault="006C0A4B" w:rsidP="006C0A4B"/>
        </w:tc>
        <w:tc>
          <w:tcPr>
            <w:tcW w:w="2211" w:type="dxa"/>
          </w:tcPr>
          <w:p w14:paraId="3F59CF18" w14:textId="77777777" w:rsidR="006C0A4B" w:rsidRDefault="006C0A4B" w:rsidP="006C0A4B">
            <w:pPr>
              <w:pStyle w:val="ListParagraph"/>
              <w:numPr>
                <w:ilvl w:val="0"/>
                <w:numId w:val="28"/>
              </w:numPr>
              <w:spacing w:after="0" w:line="240" w:lineRule="auto"/>
            </w:pPr>
            <w:r>
              <w:t>Key impact to community</w:t>
            </w:r>
          </w:p>
          <w:p w14:paraId="736AA3FB" w14:textId="77777777" w:rsidR="006C0A4B" w:rsidRDefault="006C0A4B" w:rsidP="006C0A4B">
            <w:pPr>
              <w:pStyle w:val="ListParagraph"/>
              <w:numPr>
                <w:ilvl w:val="0"/>
                <w:numId w:val="28"/>
              </w:numPr>
              <w:spacing w:after="0" w:line="240" w:lineRule="auto"/>
            </w:pPr>
            <w:r>
              <w:t>Lesson learned from UNDP project</w:t>
            </w:r>
          </w:p>
        </w:tc>
        <w:tc>
          <w:tcPr>
            <w:tcW w:w="2569" w:type="dxa"/>
          </w:tcPr>
          <w:p w14:paraId="5D21D356" w14:textId="77777777" w:rsidR="006C0A4B" w:rsidRDefault="006C0A4B" w:rsidP="006C0A4B">
            <w:pPr>
              <w:pStyle w:val="ListParagraph"/>
              <w:numPr>
                <w:ilvl w:val="0"/>
                <w:numId w:val="28"/>
              </w:numPr>
              <w:spacing w:after="0" w:line="240" w:lineRule="auto"/>
            </w:pPr>
            <w:r>
              <w:t>6</w:t>
            </w:r>
            <w:r w:rsidRPr="00D24119">
              <w:rPr>
                <w:vertAlign w:val="superscript"/>
              </w:rPr>
              <w:t>th</w:t>
            </w:r>
            <w:r>
              <w:t xml:space="preserve"> October</w:t>
            </w:r>
          </w:p>
        </w:tc>
      </w:tr>
      <w:tr w:rsidR="006C0A4B" w14:paraId="5AFD51B4" w14:textId="77777777" w:rsidTr="006C0A4B">
        <w:tc>
          <w:tcPr>
            <w:tcW w:w="2405" w:type="dxa"/>
          </w:tcPr>
          <w:p w14:paraId="4C377B01" w14:textId="77777777" w:rsidR="006C0A4B" w:rsidRDefault="006C0A4B" w:rsidP="006C0A4B">
            <w:pPr>
              <w:pStyle w:val="ListParagraph"/>
              <w:numPr>
                <w:ilvl w:val="0"/>
                <w:numId w:val="27"/>
              </w:numPr>
              <w:spacing w:after="0" w:line="240" w:lineRule="auto"/>
            </w:pPr>
            <w:r>
              <w:t>Pak Muhyar - Ibu Mariyana, Ibu Norhayati, Irawan, Hermanto dan Penyang</w:t>
            </w:r>
          </w:p>
        </w:tc>
        <w:tc>
          <w:tcPr>
            <w:tcW w:w="2999" w:type="dxa"/>
          </w:tcPr>
          <w:p w14:paraId="0776C097" w14:textId="77777777" w:rsidR="006C0A4B" w:rsidRPr="00C104DF" w:rsidRDefault="006C0A4B" w:rsidP="006C0A4B">
            <w:r>
              <w:t>Pak Muhyar – 0853 93380031</w:t>
            </w:r>
          </w:p>
        </w:tc>
        <w:tc>
          <w:tcPr>
            <w:tcW w:w="2211" w:type="dxa"/>
          </w:tcPr>
          <w:p w14:paraId="71C7118E" w14:textId="77777777" w:rsidR="006C0A4B" w:rsidRDefault="006C0A4B" w:rsidP="006C0A4B">
            <w:pPr>
              <w:pStyle w:val="ListParagraph"/>
              <w:numPr>
                <w:ilvl w:val="0"/>
                <w:numId w:val="28"/>
              </w:numPr>
              <w:spacing w:after="0" w:line="240" w:lineRule="auto"/>
            </w:pPr>
            <w:r>
              <w:t>Key impact the project to community</w:t>
            </w:r>
          </w:p>
          <w:p w14:paraId="7CF97755" w14:textId="77777777" w:rsidR="006C0A4B" w:rsidRDefault="006C0A4B" w:rsidP="006C0A4B">
            <w:pPr>
              <w:pStyle w:val="ListParagraph"/>
              <w:numPr>
                <w:ilvl w:val="0"/>
                <w:numId w:val="28"/>
              </w:numPr>
              <w:spacing w:after="0" w:line="240" w:lineRule="auto"/>
            </w:pPr>
            <w:r>
              <w:t>Key lesson learned</w:t>
            </w:r>
          </w:p>
        </w:tc>
        <w:tc>
          <w:tcPr>
            <w:tcW w:w="2569" w:type="dxa"/>
          </w:tcPr>
          <w:p w14:paraId="0963F6BC" w14:textId="77777777" w:rsidR="006C0A4B" w:rsidRDefault="006C0A4B" w:rsidP="006C0A4B">
            <w:pPr>
              <w:pStyle w:val="ListParagraph"/>
              <w:numPr>
                <w:ilvl w:val="0"/>
                <w:numId w:val="28"/>
              </w:numPr>
              <w:spacing w:after="0" w:line="240" w:lineRule="auto"/>
            </w:pPr>
            <w:r>
              <w:t>6</w:t>
            </w:r>
            <w:r w:rsidRPr="00D24119">
              <w:rPr>
                <w:vertAlign w:val="superscript"/>
              </w:rPr>
              <w:t>th</w:t>
            </w:r>
            <w:r>
              <w:t xml:space="preserve"> October</w:t>
            </w:r>
          </w:p>
        </w:tc>
      </w:tr>
    </w:tbl>
    <w:p w14:paraId="43344433" w14:textId="77777777" w:rsidR="006C0A4B" w:rsidRPr="00BA66BF" w:rsidRDefault="006C0A4B" w:rsidP="006C0A4B">
      <w:pPr>
        <w:spacing w:after="0" w:line="240" w:lineRule="auto"/>
        <w:rPr>
          <w:sz w:val="24"/>
          <w:szCs w:val="24"/>
        </w:rPr>
      </w:pPr>
      <w:r>
        <w:rPr>
          <w:sz w:val="24"/>
          <w:szCs w:val="24"/>
        </w:rPr>
        <w:t xml:space="preserve">  </w:t>
      </w:r>
    </w:p>
    <w:p w14:paraId="043C54D8" w14:textId="77777777" w:rsidR="006C0A4B" w:rsidRDefault="006C0A4B">
      <w:pPr>
        <w:rPr>
          <w:lang w:val="en-ID"/>
        </w:rPr>
      </w:pPr>
    </w:p>
    <w:p w14:paraId="60E1DA0C" w14:textId="77777777" w:rsidR="006C0A4B" w:rsidRPr="006C0A4B" w:rsidRDefault="006C0A4B">
      <w:pPr>
        <w:rPr>
          <w:lang w:val="en-ID"/>
        </w:rPr>
      </w:pPr>
    </w:p>
    <w:p w14:paraId="2019DCB0" w14:textId="1B340EB4" w:rsidR="00D63AE4" w:rsidRDefault="00D63AE4"/>
    <w:p w14:paraId="3724BCCC" w14:textId="176BBACC" w:rsidR="00D63AE4" w:rsidRDefault="00D63AE4">
      <w:pPr>
        <w:spacing w:after="160" w:line="259" w:lineRule="auto"/>
      </w:pPr>
      <w:r>
        <w:br w:type="page"/>
      </w:r>
    </w:p>
    <w:p w14:paraId="1BF71984" w14:textId="3C1008D3" w:rsidR="00D63AE4" w:rsidRPr="00F904BD" w:rsidRDefault="00DC516A" w:rsidP="006C0A4B">
      <w:pPr>
        <w:pStyle w:val="Heading3"/>
        <w:rPr>
          <w:lang w:val="en-ID"/>
        </w:rPr>
      </w:pPr>
      <w:bookmarkStart w:id="31" w:name="_Toc528998448"/>
      <w:r>
        <w:rPr>
          <w:lang w:val="en-ID"/>
        </w:rPr>
        <w:lastRenderedPageBreak/>
        <w:t>Annex IV</w:t>
      </w:r>
      <w:r w:rsidR="006C0A4B">
        <w:rPr>
          <w:lang w:val="en-ID"/>
        </w:rPr>
        <w:t xml:space="preserve"> </w:t>
      </w:r>
      <w:r w:rsidR="00D63AE4" w:rsidRPr="00F904BD">
        <w:rPr>
          <w:lang w:val="en-ID"/>
        </w:rPr>
        <w:t>Bibliography</w:t>
      </w:r>
      <w:bookmarkEnd w:id="31"/>
      <w:r w:rsidR="00D63AE4" w:rsidRPr="00F904BD">
        <w:rPr>
          <w:lang w:val="en-ID"/>
        </w:rPr>
        <w:t xml:space="preserve"> </w:t>
      </w:r>
    </w:p>
    <w:p w14:paraId="719A930C" w14:textId="77777777" w:rsidR="00D63AE4" w:rsidRDefault="00D63AE4" w:rsidP="00D63AE4">
      <w:pPr>
        <w:rPr>
          <w:lang w:val="en-ID"/>
        </w:rPr>
      </w:pPr>
      <w:r w:rsidRPr="00B55BCD">
        <w:rPr>
          <w:lang w:val="en-ID"/>
        </w:rPr>
        <w:t>Trias Aditya &amp; Bambang Kun Cahyono</w:t>
      </w:r>
      <w:r>
        <w:rPr>
          <w:lang w:val="en-ID"/>
        </w:rPr>
        <w:t xml:space="preserve"> (2018). </w:t>
      </w:r>
      <w:r w:rsidRPr="00B55BCD">
        <w:rPr>
          <w:lang w:val="en-ID"/>
        </w:rPr>
        <w:t>Perencanaan Restorasi Hidrologis dengan Data LIDAR</w:t>
      </w:r>
      <w:r>
        <w:rPr>
          <w:lang w:val="en-ID"/>
        </w:rPr>
        <w:t xml:space="preserve"> </w:t>
      </w:r>
      <w:r w:rsidRPr="00B55BCD">
        <w:rPr>
          <w:lang w:val="en-ID"/>
        </w:rPr>
        <w:t>Kawasan Hidrologis Gambut Pulau Padang</w:t>
      </w:r>
      <w:r>
        <w:rPr>
          <w:lang w:val="en-ID"/>
        </w:rPr>
        <w:t xml:space="preserve">. </w:t>
      </w:r>
      <w:r w:rsidRPr="00B55BCD">
        <w:rPr>
          <w:lang w:val="en-ID"/>
        </w:rPr>
        <w:t>Fakultas Teknik - Universitas Gadjah Mada</w:t>
      </w:r>
    </w:p>
    <w:p w14:paraId="5208391B" w14:textId="5C00BBDB" w:rsidR="00D63AE4" w:rsidRDefault="00D63AE4" w:rsidP="00D63AE4">
      <w:pPr>
        <w:rPr>
          <w:lang w:val="en-ID"/>
        </w:rPr>
      </w:pPr>
      <w:r>
        <w:rPr>
          <w:lang w:val="en-ID"/>
        </w:rPr>
        <w:t xml:space="preserve">UNDP </w:t>
      </w:r>
      <w:r w:rsidRPr="00F904BD">
        <w:rPr>
          <w:lang w:val="en-ID"/>
        </w:rPr>
        <w:t>Strengthening BRG Institution Through Office Support and Capacity Building (OSCB) Project</w:t>
      </w:r>
      <w:r w:rsidR="00D05FB3">
        <w:rPr>
          <w:lang w:val="en-ID"/>
        </w:rPr>
        <w:t xml:space="preserve"> </w:t>
      </w:r>
      <w:r w:rsidRPr="00F904BD">
        <w:rPr>
          <w:lang w:val="en-ID"/>
        </w:rPr>
        <w:t>Annual Report June 2017 – August 2018</w:t>
      </w:r>
      <w:r w:rsidR="00D05FB3">
        <w:rPr>
          <w:lang w:val="en-ID"/>
        </w:rPr>
        <w:t xml:space="preserve"> </w:t>
      </w:r>
    </w:p>
    <w:p w14:paraId="2083A37E" w14:textId="23339E85" w:rsidR="00D63AE4" w:rsidRDefault="00D63AE4" w:rsidP="00D63AE4">
      <w:pPr>
        <w:rPr>
          <w:rFonts w:cs="Arial"/>
          <w:lang w:val="en-US"/>
        </w:rPr>
      </w:pPr>
      <w:r w:rsidRPr="00F904BD">
        <w:rPr>
          <w:lang w:val="en-ID"/>
        </w:rPr>
        <w:t>UNDP</w:t>
      </w:r>
      <w:r w:rsidR="00D05FB3">
        <w:rPr>
          <w:lang w:val="en-ID"/>
        </w:rPr>
        <w:t xml:space="preserve"> </w:t>
      </w:r>
      <w:r w:rsidRPr="00F904BD">
        <w:rPr>
          <w:rFonts w:cs="Arial"/>
          <w:lang w:val="en-US"/>
        </w:rPr>
        <w:t>Support Facility for the Institutional Setup of the Indonesia Peat Restoration Agency. Revised Prodoc May 2018</w:t>
      </w:r>
    </w:p>
    <w:p w14:paraId="3A1D021F" w14:textId="3ED40D29" w:rsidR="00D63AE4" w:rsidRPr="00D63AE4" w:rsidRDefault="00D63AE4" w:rsidP="00D63AE4">
      <w:pPr>
        <w:rPr>
          <w:rFonts w:cs="Arial"/>
          <w:lang w:val="en-US"/>
        </w:rPr>
      </w:pPr>
      <w:r>
        <w:rPr>
          <w:rFonts w:cs="Arial"/>
          <w:lang w:val="en-US"/>
        </w:rPr>
        <w:t>UNDPF 2016</w:t>
      </w:r>
      <w:r w:rsidR="00D05FB3">
        <w:rPr>
          <w:rFonts w:cs="Arial"/>
          <w:lang w:val="en-US"/>
        </w:rPr>
        <w:t xml:space="preserve"> </w:t>
      </w:r>
      <w:r w:rsidRPr="00D63AE4">
        <w:rPr>
          <w:rFonts w:cs="Arial"/>
          <w:lang w:val="en-US"/>
        </w:rPr>
        <w:t>GOVERNMENT – UNITED NATIONS PARTNERSHIP FOR DEVELOPMENT FRAMEWORK (UNPDF) 2016–2020</w:t>
      </w:r>
      <w:r>
        <w:rPr>
          <w:rFonts w:cs="Arial"/>
          <w:lang w:val="en-US"/>
        </w:rPr>
        <w:t>.</w:t>
      </w:r>
      <w:r w:rsidR="00D05FB3">
        <w:rPr>
          <w:rFonts w:cs="Arial"/>
          <w:lang w:val="en-US"/>
        </w:rPr>
        <w:t xml:space="preserve"> </w:t>
      </w:r>
      <w:r w:rsidRPr="00D63AE4">
        <w:rPr>
          <w:rFonts w:cs="Arial"/>
          <w:lang w:val="en-US"/>
        </w:rPr>
        <w:t>REPUBLIC OF INDONESIA</w:t>
      </w:r>
      <w:r w:rsidR="00D05FB3">
        <w:rPr>
          <w:rFonts w:cs="Arial"/>
          <w:lang w:val="en-US"/>
        </w:rPr>
        <w:t xml:space="preserve"> </w:t>
      </w:r>
      <w:r w:rsidRPr="00D63AE4">
        <w:rPr>
          <w:rFonts w:cs="Arial"/>
          <w:lang w:val="en-US"/>
        </w:rPr>
        <w:t>AND</w:t>
      </w:r>
      <w:r w:rsidR="00D05FB3">
        <w:rPr>
          <w:rFonts w:cs="Arial"/>
          <w:lang w:val="en-US"/>
        </w:rPr>
        <w:t xml:space="preserve"> </w:t>
      </w:r>
      <w:r w:rsidRPr="00D63AE4">
        <w:rPr>
          <w:rFonts w:cs="Arial"/>
          <w:lang w:val="en-US"/>
        </w:rPr>
        <w:t>THE UNITED NATIONS SYSTEM IN INDONESIA</w:t>
      </w:r>
    </w:p>
    <w:p w14:paraId="05E73DC0" w14:textId="77777777" w:rsidR="00D63AE4" w:rsidRPr="00D63AE4" w:rsidRDefault="00D63AE4" w:rsidP="00D63AE4">
      <w:pPr>
        <w:rPr>
          <w:rFonts w:cs="Arial"/>
          <w:lang w:val="en-US"/>
        </w:rPr>
      </w:pPr>
      <w:r w:rsidRPr="00D63AE4">
        <w:rPr>
          <w:rFonts w:cs="Arial"/>
          <w:lang w:val="en-US"/>
        </w:rPr>
        <w:t xml:space="preserve"> </w:t>
      </w:r>
    </w:p>
    <w:p w14:paraId="64E47FB5" w14:textId="567BC8BF" w:rsidR="00D63AE4" w:rsidRPr="00F904BD" w:rsidRDefault="00D05FB3" w:rsidP="00D63AE4">
      <w:pPr>
        <w:rPr>
          <w:rFonts w:cs="Arial"/>
          <w:lang w:val="en-US"/>
        </w:rPr>
      </w:pPr>
      <w:r>
        <w:rPr>
          <w:rFonts w:cs="Arial"/>
          <w:lang w:val="en-US"/>
        </w:rPr>
        <w:t xml:space="preserve"> </w:t>
      </w:r>
    </w:p>
    <w:p w14:paraId="1AE9F20A" w14:textId="77777777" w:rsidR="00D63AE4" w:rsidRDefault="00D63AE4"/>
    <w:sectPr w:rsidR="00D63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56088" w14:textId="77777777" w:rsidR="00E7582D" w:rsidRDefault="00E7582D" w:rsidP="00A267A5">
      <w:pPr>
        <w:spacing w:after="0" w:line="240" w:lineRule="auto"/>
      </w:pPr>
      <w:r>
        <w:separator/>
      </w:r>
    </w:p>
  </w:endnote>
  <w:endnote w:type="continuationSeparator" w:id="0">
    <w:p w14:paraId="23DB390C" w14:textId="77777777" w:rsidR="00E7582D" w:rsidRDefault="00E7582D" w:rsidP="00A2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w Cen MT">
    <w:altName w:val="Tw Cen MT"/>
    <w:charset w:val="00"/>
    <w:family w:val="swiss"/>
    <w:pitch w:val="variable"/>
    <w:sig w:usb0="00000007" w:usb1="00000000" w:usb2="00000000" w:usb3="00000000" w:csb0="00000003" w:csb1="00000000"/>
  </w:font>
  <w:font w:name="ヒラギノ角ゴ Pro W3">
    <w:charset w:val="4E"/>
    <w:family w:val="auto"/>
    <w:pitch w:val="variable"/>
    <w:sig w:usb0="00000001" w:usb1="08070000" w:usb2="00000010" w:usb3="00000000" w:csb0="00020000" w:csb1="00000000"/>
  </w:font>
  <w:font w:name="Book Antiqua">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4B586" w14:textId="77777777" w:rsidR="00E7582D" w:rsidRDefault="00E7582D" w:rsidP="00A267A5">
      <w:pPr>
        <w:spacing w:after="0" w:line="240" w:lineRule="auto"/>
      </w:pPr>
      <w:r>
        <w:separator/>
      </w:r>
    </w:p>
  </w:footnote>
  <w:footnote w:type="continuationSeparator" w:id="0">
    <w:p w14:paraId="79401AE4" w14:textId="77777777" w:rsidR="00E7582D" w:rsidRDefault="00E7582D" w:rsidP="00A267A5">
      <w:pPr>
        <w:spacing w:after="0" w:line="240" w:lineRule="auto"/>
      </w:pPr>
      <w:r>
        <w:continuationSeparator/>
      </w:r>
    </w:p>
  </w:footnote>
  <w:footnote w:id="1">
    <w:p w14:paraId="6E4362EF" w14:textId="4D7F7755" w:rsidR="006C0A4B" w:rsidRPr="00C50669" w:rsidRDefault="006C0A4B" w:rsidP="00980B50">
      <w:pPr>
        <w:pStyle w:val="FootnoteText"/>
        <w:rPr>
          <w:lang w:val="en-ID"/>
        </w:rPr>
      </w:pPr>
      <w:r>
        <w:rPr>
          <w:rStyle w:val="FootnoteReference"/>
        </w:rPr>
        <w:footnoteRef/>
      </w:r>
      <w:r>
        <w:t xml:space="preserve"> </w:t>
      </w:r>
      <w:r>
        <w:rPr>
          <w:lang w:val="en-ID"/>
        </w:rPr>
        <w:t>The data refers to the Project Budget Balance in period of 2016 – 2018 in which the commitment in 2017 was USD 21,800 and the commitment in 2018 is USD 373,424.</w:t>
      </w:r>
    </w:p>
  </w:footnote>
  <w:footnote w:id="2">
    <w:p w14:paraId="2617454F" w14:textId="3493F3AA" w:rsidR="006C0A4B" w:rsidRPr="001F3836" w:rsidRDefault="006C0A4B">
      <w:pPr>
        <w:pStyle w:val="FootnoteText"/>
        <w:rPr>
          <w:lang w:val="en-ID"/>
        </w:rPr>
      </w:pPr>
      <w:r>
        <w:rPr>
          <w:rStyle w:val="FootnoteReference"/>
        </w:rPr>
        <w:footnoteRef/>
      </w:r>
      <w:r>
        <w:t xml:space="preserve"> </w:t>
      </w:r>
      <w:r w:rsidRPr="001F3836">
        <w:t>https://jdih.lkpp.go.id/regulation/peraturan-lkpp/peraturan-lembaga-nomor-8-tahun-2018</w:t>
      </w:r>
    </w:p>
  </w:footnote>
  <w:footnote w:id="3">
    <w:p w14:paraId="26C6E2E6" w14:textId="77777777" w:rsidR="006C0A4B" w:rsidRPr="008D38EA" w:rsidRDefault="006C0A4B" w:rsidP="002834AF">
      <w:pPr>
        <w:spacing w:after="0" w:line="240" w:lineRule="auto"/>
        <w:rPr>
          <w:rFonts w:ascii="Times New Roman" w:hAnsi="Times New Roman"/>
          <w:sz w:val="24"/>
          <w:szCs w:val="24"/>
          <w:lang w:val="en-US"/>
        </w:rPr>
      </w:pPr>
      <w:r>
        <w:rPr>
          <w:rStyle w:val="FootnoteReference"/>
        </w:rPr>
        <w:footnoteRef/>
      </w:r>
      <w:r>
        <w:t xml:space="preserve"> </w:t>
      </w:r>
      <w:r w:rsidRPr="008D38EA">
        <w:rPr>
          <w:rFonts w:ascii="Myriad Pro" w:hAnsi="Myriad Pro"/>
          <w:sz w:val="16"/>
          <w:szCs w:val="16"/>
        </w:rPr>
        <w:t xml:space="preserve">REDD+ stands for countries' efforts </w:t>
      </w:r>
      <w:r>
        <w:rPr>
          <w:rFonts w:ascii="Myriad Pro" w:hAnsi="Myriad Pro"/>
          <w:sz w:val="16"/>
          <w:szCs w:val="16"/>
        </w:rPr>
        <w:t>to R</w:t>
      </w:r>
      <w:r w:rsidRPr="008D38EA">
        <w:rPr>
          <w:rFonts w:ascii="Myriad Pro" w:hAnsi="Myriad Pro"/>
          <w:sz w:val="16"/>
          <w:szCs w:val="16"/>
        </w:rPr>
        <w:t>educe </w:t>
      </w:r>
      <w:r>
        <w:rPr>
          <w:rFonts w:ascii="Myriad Pro" w:hAnsi="Myriad Pro"/>
          <w:sz w:val="16"/>
          <w:szCs w:val="16"/>
        </w:rPr>
        <w:t>E</w:t>
      </w:r>
      <w:r w:rsidRPr="008D38EA">
        <w:rPr>
          <w:rFonts w:ascii="Myriad Pro" w:hAnsi="Myriad Pro"/>
          <w:sz w:val="16"/>
          <w:szCs w:val="16"/>
        </w:rPr>
        <w:t>missions from </w:t>
      </w:r>
      <w:r>
        <w:rPr>
          <w:rFonts w:ascii="Myriad Pro" w:hAnsi="Myriad Pro"/>
          <w:sz w:val="16"/>
          <w:szCs w:val="16"/>
        </w:rPr>
        <w:t>D</w:t>
      </w:r>
      <w:r w:rsidRPr="008D38EA">
        <w:rPr>
          <w:rFonts w:ascii="Myriad Pro" w:hAnsi="Myriad Pro"/>
          <w:sz w:val="16"/>
          <w:szCs w:val="16"/>
        </w:rPr>
        <w:t>eforestation and forest </w:t>
      </w:r>
      <w:r>
        <w:rPr>
          <w:rFonts w:ascii="Myriad Pro" w:hAnsi="Myriad Pro"/>
          <w:sz w:val="16"/>
          <w:szCs w:val="16"/>
        </w:rPr>
        <w:t>D</w:t>
      </w:r>
      <w:r w:rsidRPr="008D38EA">
        <w:rPr>
          <w:rFonts w:ascii="Myriad Pro" w:hAnsi="Myriad Pro"/>
          <w:sz w:val="16"/>
          <w:szCs w:val="16"/>
        </w:rPr>
        <w:t>egradation</w:t>
      </w:r>
      <w:r>
        <w:rPr>
          <w:rFonts w:ascii="Myriad Pro" w:hAnsi="Myriad Pro"/>
          <w:sz w:val="16"/>
          <w:szCs w:val="16"/>
        </w:rPr>
        <w:t xml:space="preserve"> (REDD)</w:t>
      </w:r>
      <w:r w:rsidRPr="008D38EA">
        <w:rPr>
          <w:rFonts w:ascii="Myriad Pro" w:hAnsi="Myriad Pro"/>
          <w:sz w:val="16"/>
          <w:szCs w:val="16"/>
        </w:rPr>
        <w:t>, and foster conservation, sustainable management of forests, and enhancement of forest carbon stocks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hybridMultilevel"/>
    <w:tmpl w:val="5DB70AE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15014ACA"/>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81FE7A9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C4398C"/>
    <w:multiLevelType w:val="hybridMultilevel"/>
    <w:tmpl w:val="CE56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A7CC8"/>
    <w:multiLevelType w:val="hybridMultilevel"/>
    <w:tmpl w:val="BB007E16"/>
    <w:lvl w:ilvl="0" w:tplc="E084BE72">
      <w:start w:val="1"/>
      <w:numFmt w:val="decimal"/>
      <w:lvlText w:val="%1."/>
      <w:lvlJc w:val="left"/>
      <w:pPr>
        <w:ind w:left="720" w:hanging="360"/>
      </w:pPr>
      <w:rPr>
        <w:rFonts w:eastAsia="Calibr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45D2A"/>
    <w:multiLevelType w:val="hybridMultilevel"/>
    <w:tmpl w:val="C0342E80"/>
    <w:lvl w:ilvl="0" w:tplc="04090019">
      <w:start w:val="1"/>
      <w:numFmt w:val="lowerLetter"/>
      <w:lvlText w:val="%1."/>
      <w:lvlJc w:val="left"/>
      <w:pPr>
        <w:ind w:left="180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EE17101"/>
    <w:multiLevelType w:val="hybridMultilevel"/>
    <w:tmpl w:val="53F8BEBA"/>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3443915"/>
    <w:multiLevelType w:val="hybridMultilevel"/>
    <w:tmpl w:val="551A5C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38B6647"/>
    <w:multiLevelType w:val="hybridMultilevel"/>
    <w:tmpl w:val="FC18B4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903C7C"/>
    <w:multiLevelType w:val="hybridMultilevel"/>
    <w:tmpl w:val="5066C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F7C19"/>
    <w:multiLevelType w:val="hybridMultilevel"/>
    <w:tmpl w:val="695C7628"/>
    <w:lvl w:ilvl="0" w:tplc="23F49256">
      <w:start w:val="27"/>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67A76"/>
    <w:multiLevelType w:val="hybridMultilevel"/>
    <w:tmpl w:val="9478342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2587644B"/>
    <w:multiLevelType w:val="hybridMultilevel"/>
    <w:tmpl w:val="CDF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73244"/>
    <w:multiLevelType w:val="hybridMultilevel"/>
    <w:tmpl w:val="55227168"/>
    <w:lvl w:ilvl="0" w:tplc="2674B422">
      <w:start w:val="1"/>
      <w:numFmt w:val="lowerLetter"/>
      <w:lvlText w:val="%1."/>
      <w:lvlJc w:val="left"/>
      <w:pPr>
        <w:ind w:left="1800" w:hanging="360"/>
      </w:pPr>
      <w:rPr>
        <w:rFonts w:ascii="Calibri" w:eastAsia="Calibri"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567DDE"/>
    <w:multiLevelType w:val="hybridMultilevel"/>
    <w:tmpl w:val="B118806E"/>
    <w:lvl w:ilvl="0" w:tplc="3809000F">
      <w:start w:val="4"/>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0D350A1"/>
    <w:multiLevelType w:val="hybridMultilevel"/>
    <w:tmpl w:val="C80E37D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3DC02131"/>
    <w:multiLevelType w:val="hybridMultilevel"/>
    <w:tmpl w:val="B442C632"/>
    <w:lvl w:ilvl="0" w:tplc="0860B5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1109A8"/>
    <w:multiLevelType w:val="hybridMultilevel"/>
    <w:tmpl w:val="698C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B0A54"/>
    <w:multiLevelType w:val="hybridMultilevel"/>
    <w:tmpl w:val="FAE82064"/>
    <w:lvl w:ilvl="0" w:tplc="6F489484">
      <w:start w:val="1"/>
      <w:numFmt w:val="decimal"/>
      <w:lvlText w:val="%1."/>
      <w:lvlJc w:val="left"/>
      <w:pPr>
        <w:ind w:left="720" w:hanging="360"/>
      </w:pPr>
      <w:rPr>
        <w:rFonts w:ascii="Calibri" w:eastAsia="Calibri" w:hAnsi="Calibri" w:cs="Times New Roman"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9C0065D"/>
    <w:multiLevelType w:val="hybridMultilevel"/>
    <w:tmpl w:val="BB147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D1AF9"/>
    <w:multiLevelType w:val="hybridMultilevel"/>
    <w:tmpl w:val="EB5015B2"/>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1" w15:restartNumberingAfterBreak="0">
    <w:nsid w:val="55881794"/>
    <w:multiLevelType w:val="hybridMultilevel"/>
    <w:tmpl w:val="2C7E4900"/>
    <w:lvl w:ilvl="0" w:tplc="6D6E9EC4">
      <w:start w:val="4"/>
      <w:numFmt w:val="decimal"/>
      <w:lvlText w:val="%1."/>
      <w:lvlJc w:val="left"/>
      <w:pPr>
        <w:ind w:left="720" w:hanging="360"/>
      </w:pPr>
      <w:rPr>
        <w:rFonts w:asciiTheme="minorHAnsi" w:hAnsiTheme="minorHAnsi" w:cs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3E639A5"/>
    <w:multiLevelType w:val="hybridMultilevel"/>
    <w:tmpl w:val="48AC856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64764E1A"/>
    <w:multiLevelType w:val="hybridMultilevel"/>
    <w:tmpl w:val="F7E6CC7C"/>
    <w:lvl w:ilvl="0" w:tplc="A058E41E">
      <w:start w:val="4"/>
      <w:numFmt w:val="decimal"/>
      <w:lvlText w:val="%1."/>
      <w:lvlJc w:val="left"/>
      <w:pPr>
        <w:ind w:left="720" w:hanging="360"/>
      </w:pPr>
      <w:rPr>
        <w:rFonts w:asciiTheme="minorHAnsi" w:hAnsiTheme="minorHAnsi" w:cs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D4A018A"/>
    <w:multiLevelType w:val="hybridMultilevel"/>
    <w:tmpl w:val="87903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8555BE"/>
    <w:multiLevelType w:val="multilevel"/>
    <w:tmpl w:val="6570159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4E722AE"/>
    <w:multiLevelType w:val="multilevel"/>
    <w:tmpl w:val="36220B8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94C24B9"/>
    <w:multiLevelType w:val="multilevel"/>
    <w:tmpl w:val="0D7ED9B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0"/>
  </w:num>
  <w:num w:numId="3">
    <w:abstractNumId w:val="0"/>
  </w:num>
  <w:num w:numId="4">
    <w:abstractNumId w:val="7"/>
  </w:num>
  <w:num w:numId="5">
    <w:abstractNumId w:val="1"/>
  </w:num>
  <w:num w:numId="6">
    <w:abstractNumId w:val="11"/>
  </w:num>
  <w:num w:numId="7">
    <w:abstractNumId w:val="20"/>
  </w:num>
  <w:num w:numId="8">
    <w:abstractNumId w:val="2"/>
  </w:num>
  <w:num w:numId="9">
    <w:abstractNumId w:val="18"/>
  </w:num>
  <w:num w:numId="10">
    <w:abstractNumId w:val="21"/>
  </w:num>
  <w:num w:numId="11">
    <w:abstractNumId w:val="23"/>
  </w:num>
  <w:num w:numId="12">
    <w:abstractNumId w:val="14"/>
  </w:num>
  <w:num w:numId="13">
    <w:abstractNumId w:val="15"/>
  </w:num>
  <w:num w:numId="14">
    <w:abstractNumId w:val="19"/>
  </w:num>
  <w:num w:numId="15">
    <w:abstractNumId w:val="16"/>
  </w:num>
  <w:num w:numId="16">
    <w:abstractNumId w:val="13"/>
  </w:num>
  <w:num w:numId="17">
    <w:abstractNumId w:val="5"/>
  </w:num>
  <w:num w:numId="18">
    <w:abstractNumId w:val="22"/>
  </w:num>
  <w:num w:numId="19">
    <w:abstractNumId w:val="6"/>
  </w:num>
  <w:num w:numId="20">
    <w:abstractNumId w:val="3"/>
  </w:num>
  <w:num w:numId="21">
    <w:abstractNumId w:val="12"/>
  </w:num>
  <w:num w:numId="22">
    <w:abstractNumId w:val="17"/>
  </w:num>
  <w:num w:numId="23">
    <w:abstractNumId w:val="4"/>
  </w:num>
  <w:num w:numId="24">
    <w:abstractNumId w:val="27"/>
  </w:num>
  <w:num w:numId="25">
    <w:abstractNumId w:val="26"/>
  </w:num>
  <w:num w:numId="26">
    <w:abstractNumId w:val="25"/>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DF"/>
    <w:rsid w:val="000143DD"/>
    <w:rsid w:val="00016206"/>
    <w:rsid w:val="000355C9"/>
    <w:rsid w:val="00040A37"/>
    <w:rsid w:val="000424B5"/>
    <w:rsid w:val="0005780B"/>
    <w:rsid w:val="000660F9"/>
    <w:rsid w:val="000669FD"/>
    <w:rsid w:val="00074607"/>
    <w:rsid w:val="000A2906"/>
    <w:rsid w:val="000A6D7B"/>
    <w:rsid w:val="000A71AF"/>
    <w:rsid w:val="000B5EEA"/>
    <w:rsid w:val="000D72E2"/>
    <w:rsid w:val="000E06A8"/>
    <w:rsid w:val="000F3EF8"/>
    <w:rsid w:val="000F4C5F"/>
    <w:rsid w:val="00100FE0"/>
    <w:rsid w:val="0011568C"/>
    <w:rsid w:val="00124A05"/>
    <w:rsid w:val="00132B32"/>
    <w:rsid w:val="00135101"/>
    <w:rsid w:val="00150B79"/>
    <w:rsid w:val="0016633D"/>
    <w:rsid w:val="00170888"/>
    <w:rsid w:val="001729D2"/>
    <w:rsid w:val="00190921"/>
    <w:rsid w:val="00197DDF"/>
    <w:rsid w:val="001C3B3C"/>
    <w:rsid w:val="001E37E4"/>
    <w:rsid w:val="001F1761"/>
    <w:rsid w:val="001F36B1"/>
    <w:rsid w:val="001F3836"/>
    <w:rsid w:val="001F4299"/>
    <w:rsid w:val="0020682E"/>
    <w:rsid w:val="00221524"/>
    <w:rsid w:val="002225A5"/>
    <w:rsid w:val="002276C7"/>
    <w:rsid w:val="00253FA8"/>
    <w:rsid w:val="00256E07"/>
    <w:rsid w:val="00257D08"/>
    <w:rsid w:val="002763ED"/>
    <w:rsid w:val="002834AF"/>
    <w:rsid w:val="00286E37"/>
    <w:rsid w:val="00291938"/>
    <w:rsid w:val="002A050C"/>
    <w:rsid w:val="002E62A6"/>
    <w:rsid w:val="00307BCF"/>
    <w:rsid w:val="003107D3"/>
    <w:rsid w:val="00322132"/>
    <w:rsid w:val="00322ED5"/>
    <w:rsid w:val="00354CFC"/>
    <w:rsid w:val="003551A3"/>
    <w:rsid w:val="00365331"/>
    <w:rsid w:val="00371484"/>
    <w:rsid w:val="00385A5F"/>
    <w:rsid w:val="00386A5A"/>
    <w:rsid w:val="0038782C"/>
    <w:rsid w:val="00397D8B"/>
    <w:rsid w:val="003A69E2"/>
    <w:rsid w:val="003C2A0E"/>
    <w:rsid w:val="003E7162"/>
    <w:rsid w:val="003E7FE8"/>
    <w:rsid w:val="0042046E"/>
    <w:rsid w:val="0042104D"/>
    <w:rsid w:val="004503CC"/>
    <w:rsid w:val="00462B93"/>
    <w:rsid w:val="0048682B"/>
    <w:rsid w:val="00497240"/>
    <w:rsid w:val="004A28BD"/>
    <w:rsid w:val="004A316B"/>
    <w:rsid w:val="004B7DCF"/>
    <w:rsid w:val="004C4113"/>
    <w:rsid w:val="004C6011"/>
    <w:rsid w:val="004D1589"/>
    <w:rsid w:val="004D2F47"/>
    <w:rsid w:val="004D4693"/>
    <w:rsid w:val="004E38C7"/>
    <w:rsid w:val="0050584E"/>
    <w:rsid w:val="00510E05"/>
    <w:rsid w:val="005448CE"/>
    <w:rsid w:val="005738DC"/>
    <w:rsid w:val="005A3D59"/>
    <w:rsid w:val="005A485E"/>
    <w:rsid w:val="005A7ED8"/>
    <w:rsid w:val="005B12C4"/>
    <w:rsid w:val="005C0EEB"/>
    <w:rsid w:val="005C2041"/>
    <w:rsid w:val="005C477F"/>
    <w:rsid w:val="005C4DCF"/>
    <w:rsid w:val="005D29CF"/>
    <w:rsid w:val="005F171B"/>
    <w:rsid w:val="005F24B6"/>
    <w:rsid w:val="005F6184"/>
    <w:rsid w:val="005F63DA"/>
    <w:rsid w:val="005F7DD1"/>
    <w:rsid w:val="006025FC"/>
    <w:rsid w:val="0061284B"/>
    <w:rsid w:val="00613E3D"/>
    <w:rsid w:val="00651128"/>
    <w:rsid w:val="006724DF"/>
    <w:rsid w:val="00677389"/>
    <w:rsid w:val="006937EF"/>
    <w:rsid w:val="006C0A4B"/>
    <w:rsid w:val="006D07CF"/>
    <w:rsid w:val="006E2136"/>
    <w:rsid w:val="006E4183"/>
    <w:rsid w:val="006E787B"/>
    <w:rsid w:val="006F6E81"/>
    <w:rsid w:val="00701610"/>
    <w:rsid w:val="007100FB"/>
    <w:rsid w:val="00726BEA"/>
    <w:rsid w:val="00735A6D"/>
    <w:rsid w:val="00735D7F"/>
    <w:rsid w:val="00753DB7"/>
    <w:rsid w:val="00776A0E"/>
    <w:rsid w:val="007811DE"/>
    <w:rsid w:val="00786253"/>
    <w:rsid w:val="007B36AE"/>
    <w:rsid w:val="007C0E85"/>
    <w:rsid w:val="007D4907"/>
    <w:rsid w:val="007D4B43"/>
    <w:rsid w:val="007E0728"/>
    <w:rsid w:val="008057D9"/>
    <w:rsid w:val="00810A03"/>
    <w:rsid w:val="00842AD9"/>
    <w:rsid w:val="00850232"/>
    <w:rsid w:val="00851817"/>
    <w:rsid w:val="00855C26"/>
    <w:rsid w:val="00867A8B"/>
    <w:rsid w:val="008745BF"/>
    <w:rsid w:val="008A35F9"/>
    <w:rsid w:val="008A4D9A"/>
    <w:rsid w:val="009048B6"/>
    <w:rsid w:val="00913AC0"/>
    <w:rsid w:val="00927156"/>
    <w:rsid w:val="00930694"/>
    <w:rsid w:val="0093648E"/>
    <w:rsid w:val="009413A0"/>
    <w:rsid w:val="009466C0"/>
    <w:rsid w:val="00973C2C"/>
    <w:rsid w:val="00974BE6"/>
    <w:rsid w:val="009762BA"/>
    <w:rsid w:val="00980B50"/>
    <w:rsid w:val="0099027A"/>
    <w:rsid w:val="00992F2D"/>
    <w:rsid w:val="009C6392"/>
    <w:rsid w:val="009D6834"/>
    <w:rsid w:val="009D690F"/>
    <w:rsid w:val="009F223B"/>
    <w:rsid w:val="009F2682"/>
    <w:rsid w:val="00A0241E"/>
    <w:rsid w:val="00A1241B"/>
    <w:rsid w:val="00A12CB3"/>
    <w:rsid w:val="00A267A5"/>
    <w:rsid w:val="00A37936"/>
    <w:rsid w:val="00A4577A"/>
    <w:rsid w:val="00A47B96"/>
    <w:rsid w:val="00A61A5D"/>
    <w:rsid w:val="00A82C5D"/>
    <w:rsid w:val="00A84BD8"/>
    <w:rsid w:val="00A8741A"/>
    <w:rsid w:val="00A92B55"/>
    <w:rsid w:val="00AA0CF5"/>
    <w:rsid w:val="00AD1188"/>
    <w:rsid w:val="00AD7E4E"/>
    <w:rsid w:val="00AE2057"/>
    <w:rsid w:val="00B17E8D"/>
    <w:rsid w:val="00B30CF9"/>
    <w:rsid w:val="00B31186"/>
    <w:rsid w:val="00B31FE8"/>
    <w:rsid w:val="00B42CD1"/>
    <w:rsid w:val="00B463EA"/>
    <w:rsid w:val="00B47E95"/>
    <w:rsid w:val="00BB5899"/>
    <w:rsid w:val="00BC0A2E"/>
    <w:rsid w:val="00BD0C33"/>
    <w:rsid w:val="00BD7D0D"/>
    <w:rsid w:val="00BE0D4F"/>
    <w:rsid w:val="00BE70B5"/>
    <w:rsid w:val="00C14654"/>
    <w:rsid w:val="00C1525C"/>
    <w:rsid w:val="00C16DC0"/>
    <w:rsid w:val="00C24D45"/>
    <w:rsid w:val="00C405C9"/>
    <w:rsid w:val="00C439D8"/>
    <w:rsid w:val="00C5645B"/>
    <w:rsid w:val="00C654AE"/>
    <w:rsid w:val="00C73D26"/>
    <w:rsid w:val="00CA3B7C"/>
    <w:rsid w:val="00CB6996"/>
    <w:rsid w:val="00CC1D6E"/>
    <w:rsid w:val="00CC22B0"/>
    <w:rsid w:val="00CD49CF"/>
    <w:rsid w:val="00D012BA"/>
    <w:rsid w:val="00D02CCA"/>
    <w:rsid w:val="00D05FB3"/>
    <w:rsid w:val="00D1253C"/>
    <w:rsid w:val="00D13352"/>
    <w:rsid w:val="00D223C9"/>
    <w:rsid w:val="00D54CC5"/>
    <w:rsid w:val="00D626A7"/>
    <w:rsid w:val="00D63AE4"/>
    <w:rsid w:val="00D83CC7"/>
    <w:rsid w:val="00DA1876"/>
    <w:rsid w:val="00DB584B"/>
    <w:rsid w:val="00DB6CA4"/>
    <w:rsid w:val="00DC516A"/>
    <w:rsid w:val="00DD34BC"/>
    <w:rsid w:val="00DF6732"/>
    <w:rsid w:val="00E07BF3"/>
    <w:rsid w:val="00E32E10"/>
    <w:rsid w:val="00E33192"/>
    <w:rsid w:val="00E50BCE"/>
    <w:rsid w:val="00E63092"/>
    <w:rsid w:val="00E63FEC"/>
    <w:rsid w:val="00E659B3"/>
    <w:rsid w:val="00E70519"/>
    <w:rsid w:val="00E7582D"/>
    <w:rsid w:val="00E91155"/>
    <w:rsid w:val="00E924D2"/>
    <w:rsid w:val="00EA3052"/>
    <w:rsid w:val="00EC7508"/>
    <w:rsid w:val="00ED2BF2"/>
    <w:rsid w:val="00ED2E90"/>
    <w:rsid w:val="00F10CDC"/>
    <w:rsid w:val="00F11D51"/>
    <w:rsid w:val="00F23D2D"/>
    <w:rsid w:val="00F26811"/>
    <w:rsid w:val="00F51711"/>
    <w:rsid w:val="00F602FD"/>
    <w:rsid w:val="00F70820"/>
    <w:rsid w:val="00F70998"/>
    <w:rsid w:val="00F86CF6"/>
    <w:rsid w:val="00F9260B"/>
    <w:rsid w:val="00FA31A4"/>
    <w:rsid w:val="00FA37A3"/>
    <w:rsid w:val="00FD1E3E"/>
    <w:rsid w:val="00FD69E4"/>
    <w:rsid w:val="00FF4BEB"/>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9E80F"/>
  <w15:docId w15:val="{4C2329BD-872D-4B31-A0FD-2F47C16C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DDF"/>
    <w:pPr>
      <w:spacing w:after="200" w:line="276"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291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19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2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197DDF"/>
    <w:rPr>
      <w:i/>
      <w:iCs/>
      <w:color w:val="808080"/>
    </w:rPr>
  </w:style>
  <w:style w:type="paragraph" w:customStyle="1" w:styleId="MediumGrid21">
    <w:name w:val="Medium Grid 21"/>
    <w:link w:val="MediumGrid2Char"/>
    <w:uiPriority w:val="99"/>
    <w:qFormat/>
    <w:rsid w:val="00197DDF"/>
    <w:pPr>
      <w:spacing w:after="0" w:line="240" w:lineRule="auto"/>
    </w:pPr>
    <w:rPr>
      <w:rFonts w:ascii="Calibri" w:eastAsia="Calibri" w:hAnsi="Calibri" w:cs="Times New Roman"/>
      <w:lang w:val="en-GB" w:eastAsia="en-GB"/>
    </w:rPr>
  </w:style>
  <w:style w:type="character" w:customStyle="1" w:styleId="MediumGrid2Char">
    <w:name w:val="Medium Grid 2 Char"/>
    <w:link w:val="MediumGrid21"/>
    <w:uiPriority w:val="99"/>
    <w:rsid w:val="00197DDF"/>
    <w:rPr>
      <w:rFonts w:ascii="Calibri" w:eastAsia="Calibri" w:hAnsi="Calibri" w:cs="Times New Roman"/>
      <w:lang w:val="en-GB" w:eastAsia="en-GB"/>
    </w:rPr>
  </w:style>
  <w:style w:type="character" w:customStyle="1" w:styleId="Heading2Char">
    <w:name w:val="Heading 2 Char"/>
    <w:basedOn w:val="DefaultParagraphFont"/>
    <w:link w:val="Heading2"/>
    <w:uiPriority w:val="9"/>
    <w:rsid w:val="00291938"/>
    <w:rPr>
      <w:rFonts w:asciiTheme="majorHAnsi" w:eastAsiaTheme="majorEastAsia" w:hAnsiTheme="majorHAnsi" w:cstheme="majorBidi"/>
      <w:color w:val="2F5496" w:themeColor="accent1" w:themeShade="BF"/>
      <w:sz w:val="26"/>
      <w:szCs w:val="26"/>
      <w:lang w:val="id-ID"/>
    </w:rPr>
  </w:style>
  <w:style w:type="character" w:customStyle="1" w:styleId="Heading1Char">
    <w:name w:val="Heading 1 Char"/>
    <w:basedOn w:val="DefaultParagraphFont"/>
    <w:link w:val="Heading1"/>
    <w:uiPriority w:val="9"/>
    <w:rsid w:val="00291938"/>
    <w:rPr>
      <w:rFonts w:asciiTheme="majorHAnsi" w:eastAsiaTheme="majorEastAsia" w:hAnsiTheme="majorHAnsi" w:cstheme="majorBidi"/>
      <w:color w:val="2F5496" w:themeColor="accent1" w:themeShade="BF"/>
      <w:sz w:val="32"/>
      <w:szCs w:val="32"/>
      <w:lang w:val="id-ID"/>
    </w:rPr>
  </w:style>
  <w:style w:type="table" w:styleId="TableGrid">
    <w:name w:val="Table Grid"/>
    <w:basedOn w:val="TableNormal"/>
    <w:uiPriority w:val="39"/>
    <w:rsid w:val="0029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D83CC7"/>
    <w:pPr>
      <w:ind w:left="720"/>
      <w:contextualSpacing/>
    </w:p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rsid w:val="00D83CC7"/>
    <w:rPr>
      <w:rFonts w:ascii="Calibri" w:eastAsia="Calibri" w:hAnsi="Calibri" w:cs="Times New Roman"/>
      <w:lang w:val="id-ID"/>
    </w:rPr>
  </w:style>
  <w:style w:type="character" w:styleId="Hyperlink">
    <w:name w:val="Hyperlink"/>
    <w:uiPriority w:val="99"/>
    <w:unhideWhenUsed/>
    <w:rsid w:val="00D83CC7"/>
    <w:rPr>
      <w:color w:val="0000FF"/>
      <w:u w:val="single"/>
    </w:rPr>
  </w:style>
  <w:style w:type="paragraph" w:styleId="Header">
    <w:name w:val="header"/>
    <w:basedOn w:val="Normal"/>
    <w:link w:val="HeaderChar"/>
    <w:uiPriority w:val="99"/>
    <w:unhideWhenUsed/>
    <w:rsid w:val="00A26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7A5"/>
    <w:rPr>
      <w:rFonts w:ascii="Calibri" w:eastAsia="Calibri" w:hAnsi="Calibri" w:cs="Times New Roman"/>
      <w:lang w:val="id-ID"/>
    </w:rPr>
  </w:style>
  <w:style w:type="paragraph" w:styleId="Footer">
    <w:name w:val="footer"/>
    <w:basedOn w:val="Normal"/>
    <w:link w:val="FooterChar"/>
    <w:uiPriority w:val="99"/>
    <w:unhideWhenUsed/>
    <w:rsid w:val="00A26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7A5"/>
    <w:rPr>
      <w:rFonts w:ascii="Calibri" w:eastAsia="Calibri" w:hAnsi="Calibri" w:cs="Times New Roman"/>
      <w:lang w:val="id-ID"/>
    </w:rPr>
  </w:style>
  <w:style w:type="character" w:customStyle="1" w:styleId="UnresolvedMention1">
    <w:name w:val="Unresolved Mention1"/>
    <w:basedOn w:val="DefaultParagraphFont"/>
    <w:uiPriority w:val="99"/>
    <w:semiHidden/>
    <w:unhideWhenUsed/>
    <w:rsid w:val="00386A5A"/>
    <w:rPr>
      <w:color w:val="605E5C"/>
      <w:shd w:val="clear" w:color="auto" w:fill="E1DFDD"/>
    </w:rPr>
  </w:style>
  <w:style w:type="character" w:styleId="CommentReference">
    <w:name w:val="annotation reference"/>
    <w:basedOn w:val="DefaultParagraphFont"/>
    <w:uiPriority w:val="99"/>
    <w:semiHidden/>
    <w:unhideWhenUsed/>
    <w:rsid w:val="006F6E81"/>
    <w:rPr>
      <w:sz w:val="16"/>
      <w:szCs w:val="16"/>
    </w:rPr>
  </w:style>
  <w:style w:type="paragraph" w:styleId="CommentText">
    <w:name w:val="annotation text"/>
    <w:basedOn w:val="Normal"/>
    <w:link w:val="CommentTextChar"/>
    <w:uiPriority w:val="99"/>
    <w:semiHidden/>
    <w:unhideWhenUsed/>
    <w:rsid w:val="006F6E81"/>
    <w:pPr>
      <w:spacing w:line="240" w:lineRule="auto"/>
    </w:pPr>
    <w:rPr>
      <w:sz w:val="20"/>
      <w:szCs w:val="20"/>
    </w:rPr>
  </w:style>
  <w:style w:type="character" w:customStyle="1" w:styleId="CommentTextChar">
    <w:name w:val="Comment Text Char"/>
    <w:basedOn w:val="DefaultParagraphFont"/>
    <w:link w:val="CommentText"/>
    <w:uiPriority w:val="99"/>
    <w:semiHidden/>
    <w:rsid w:val="006F6E81"/>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6F6E81"/>
    <w:rPr>
      <w:b/>
      <w:bCs/>
    </w:rPr>
  </w:style>
  <w:style w:type="character" w:customStyle="1" w:styleId="CommentSubjectChar">
    <w:name w:val="Comment Subject Char"/>
    <w:basedOn w:val="CommentTextChar"/>
    <w:link w:val="CommentSubject"/>
    <w:uiPriority w:val="99"/>
    <w:semiHidden/>
    <w:rsid w:val="006F6E81"/>
    <w:rPr>
      <w:rFonts w:ascii="Calibri" w:eastAsia="Calibri" w:hAnsi="Calibri" w:cs="Times New Roman"/>
      <w:b/>
      <w:bCs/>
      <w:sz w:val="20"/>
      <w:szCs w:val="20"/>
      <w:lang w:val="id-ID"/>
    </w:rPr>
  </w:style>
  <w:style w:type="paragraph" w:styleId="BalloonText">
    <w:name w:val="Balloon Text"/>
    <w:basedOn w:val="Normal"/>
    <w:link w:val="BalloonTextChar"/>
    <w:uiPriority w:val="99"/>
    <w:semiHidden/>
    <w:unhideWhenUsed/>
    <w:rsid w:val="006F6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81"/>
    <w:rPr>
      <w:rFonts w:ascii="Segoe UI" w:eastAsia="Calibri" w:hAnsi="Segoe UI" w:cs="Segoe UI"/>
      <w:sz w:val="18"/>
      <w:szCs w:val="18"/>
      <w:lang w:val="id-ID"/>
    </w:rPr>
  </w:style>
  <w:style w:type="paragraph" w:styleId="FootnoteText">
    <w:name w:val="footnote text"/>
    <w:basedOn w:val="Normal"/>
    <w:link w:val="FootnoteTextChar"/>
    <w:uiPriority w:val="99"/>
    <w:semiHidden/>
    <w:unhideWhenUsed/>
    <w:rsid w:val="001F3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836"/>
    <w:rPr>
      <w:rFonts w:ascii="Calibri" w:eastAsia="Calibri" w:hAnsi="Calibri" w:cs="Times New Roman"/>
      <w:sz w:val="20"/>
      <w:szCs w:val="20"/>
      <w:lang w:val="id-ID"/>
    </w:rPr>
  </w:style>
  <w:style w:type="character" w:styleId="FootnoteReference">
    <w:name w:val="footnote reference"/>
    <w:aliases w:val=" BVI fnr,BVI fnr"/>
    <w:basedOn w:val="DefaultParagraphFont"/>
    <w:uiPriority w:val="99"/>
    <w:unhideWhenUsed/>
    <w:rsid w:val="001F3836"/>
    <w:rPr>
      <w:vertAlign w:val="superscript"/>
    </w:rPr>
  </w:style>
  <w:style w:type="paragraph" w:styleId="TOCHeading">
    <w:name w:val="TOC Heading"/>
    <w:basedOn w:val="Heading1"/>
    <w:next w:val="Normal"/>
    <w:uiPriority w:val="39"/>
    <w:unhideWhenUsed/>
    <w:qFormat/>
    <w:rsid w:val="00842AD9"/>
    <w:pPr>
      <w:spacing w:line="259" w:lineRule="auto"/>
      <w:outlineLvl w:val="9"/>
    </w:pPr>
    <w:rPr>
      <w:lang w:val="en-US"/>
    </w:rPr>
  </w:style>
  <w:style w:type="paragraph" w:styleId="TOC1">
    <w:name w:val="toc 1"/>
    <w:basedOn w:val="Normal"/>
    <w:next w:val="Normal"/>
    <w:autoRedefine/>
    <w:uiPriority w:val="39"/>
    <w:unhideWhenUsed/>
    <w:rsid w:val="00842AD9"/>
    <w:pPr>
      <w:spacing w:after="100"/>
    </w:pPr>
  </w:style>
  <w:style w:type="paragraph" w:styleId="TOC2">
    <w:name w:val="toc 2"/>
    <w:basedOn w:val="Normal"/>
    <w:next w:val="Normal"/>
    <w:autoRedefine/>
    <w:uiPriority w:val="39"/>
    <w:unhideWhenUsed/>
    <w:rsid w:val="00842AD9"/>
    <w:pPr>
      <w:spacing w:after="100"/>
      <w:ind w:left="220"/>
    </w:pPr>
  </w:style>
  <w:style w:type="paragraph" w:styleId="Title">
    <w:name w:val="Title"/>
    <w:basedOn w:val="Normal"/>
    <w:next w:val="Normal"/>
    <w:link w:val="TitleChar"/>
    <w:uiPriority w:val="10"/>
    <w:qFormat/>
    <w:rsid w:val="00842A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AD9"/>
    <w:rPr>
      <w:rFonts w:asciiTheme="majorHAnsi" w:eastAsiaTheme="majorEastAsia" w:hAnsiTheme="majorHAnsi" w:cstheme="majorBidi"/>
      <w:spacing w:val="-10"/>
      <w:kern w:val="28"/>
      <w:sz w:val="56"/>
      <w:szCs w:val="56"/>
      <w:lang w:val="id-ID"/>
    </w:rPr>
  </w:style>
  <w:style w:type="character" w:customStyle="1" w:styleId="Heading3Char">
    <w:name w:val="Heading 3 Char"/>
    <w:basedOn w:val="DefaultParagraphFont"/>
    <w:link w:val="Heading3"/>
    <w:uiPriority w:val="9"/>
    <w:rsid w:val="00842AD9"/>
    <w:rPr>
      <w:rFonts w:asciiTheme="majorHAnsi" w:eastAsiaTheme="majorEastAsia" w:hAnsiTheme="majorHAnsi" w:cstheme="majorBidi"/>
      <w:color w:val="1F3763" w:themeColor="accent1" w:themeShade="7F"/>
      <w:sz w:val="24"/>
      <w:szCs w:val="24"/>
      <w:lang w:val="id-ID"/>
    </w:rPr>
  </w:style>
  <w:style w:type="paragraph" w:styleId="TOC3">
    <w:name w:val="toc 3"/>
    <w:basedOn w:val="Normal"/>
    <w:next w:val="Normal"/>
    <w:autoRedefine/>
    <w:uiPriority w:val="39"/>
    <w:unhideWhenUsed/>
    <w:rsid w:val="00842AD9"/>
    <w:pPr>
      <w:spacing w:after="100"/>
      <w:ind w:left="440"/>
    </w:pPr>
  </w:style>
  <w:style w:type="paragraph" w:styleId="Revision">
    <w:name w:val="Revision"/>
    <w:hidden/>
    <w:uiPriority w:val="99"/>
    <w:semiHidden/>
    <w:rsid w:val="008A4D9A"/>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8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zir.foead@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sef.millah@undp.org" TargetMode="External"/><Relationship Id="rId17" Type="http://schemas.openxmlformats.org/officeDocument/2006/relationships/hyperlink" Target="mailto:dwurjanto77@gmail.com" TargetMode="External"/><Relationship Id="rId2" Type="http://schemas.openxmlformats.org/officeDocument/2006/relationships/numbering" Target="numbering.xml"/><Relationship Id="rId16" Type="http://schemas.openxmlformats.org/officeDocument/2006/relationships/hyperlink" Target="mailto:myrna.safitri@brg.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dul.situmorang@undp.org" TargetMode="External"/><Relationship Id="rId5" Type="http://schemas.openxmlformats.org/officeDocument/2006/relationships/webSettings" Target="webSettings.xml"/><Relationship Id="rId15" Type="http://schemas.openxmlformats.org/officeDocument/2006/relationships/hyperlink" Target="mailto:budi.wardhana@brg.go.id" TargetMode="External"/><Relationship Id="rId10" Type="http://schemas.openxmlformats.org/officeDocument/2006/relationships/hyperlink" Target="mailto:budhi.sayoko@und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dp.org/evaluation/handbook" TargetMode="External"/><Relationship Id="rId14" Type="http://schemas.openxmlformats.org/officeDocument/2006/relationships/hyperlink" Target="mailto:hprawiratmadj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C5E9-5FA9-468A-A694-55DBABB9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9507</Words>
  <Characters>54192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Field</dc:creator>
  <cp:lastModifiedBy>Simon Field</cp:lastModifiedBy>
  <cp:revision>3</cp:revision>
  <dcterms:created xsi:type="dcterms:W3CDTF">2018-11-03T01:40:00Z</dcterms:created>
  <dcterms:modified xsi:type="dcterms:W3CDTF">2018-11-03T01:52:00Z</dcterms:modified>
</cp:coreProperties>
</file>