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FDA7" w14:textId="77777777" w:rsidR="00A30042" w:rsidRPr="00A30042" w:rsidRDefault="00A30042" w:rsidP="00A30042">
      <w:pPr>
        <w:pStyle w:val="Ttulo1"/>
        <w:rPr>
          <w:sz w:val="28"/>
        </w:rPr>
      </w:pPr>
      <w:bookmarkStart w:id="0" w:name="_Toc526698481"/>
      <w:r w:rsidRPr="00A30042">
        <w:rPr>
          <w:sz w:val="28"/>
        </w:rPr>
        <w:t>Executive Summary</w:t>
      </w:r>
      <w:bookmarkEnd w:id="0"/>
    </w:p>
    <w:p w14:paraId="2EB7D605" w14:textId="77777777" w:rsidR="00A30042" w:rsidRPr="00362EE6" w:rsidRDefault="00A30042" w:rsidP="00A30042"/>
    <w:p w14:paraId="5D9A5C73" w14:textId="77777777" w:rsidR="00A30042" w:rsidRPr="00362EE6" w:rsidRDefault="00A30042" w:rsidP="00A30042">
      <w:r w:rsidRPr="00362EE6">
        <w:rPr>
          <w:color w:val="30818D"/>
          <w:sz w:val="28"/>
          <w:szCs w:val="28"/>
        </w:rPr>
        <w:t>Synoptic table of the project</w:t>
      </w:r>
    </w:p>
    <w:tbl>
      <w:tblPr>
        <w:tblW w:w="546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985"/>
        <w:gridCol w:w="1525"/>
        <w:gridCol w:w="1811"/>
        <w:gridCol w:w="332"/>
        <w:gridCol w:w="1531"/>
        <w:gridCol w:w="2414"/>
      </w:tblGrid>
      <w:tr w:rsidR="00A30042" w:rsidRPr="00362EE6" w14:paraId="31383EDC" w14:textId="77777777" w:rsidTr="004F3D70">
        <w:trPr>
          <w:trHeight w:val="566"/>
        </w:trPr>
        <w:tc>
          <w:tcPr>
            <w:tcW w:w="547" w:type="pct"/>
            <w:shd w:val="clear" w:color="auto" w:fill="7F7F7F"/>
            <w:vAlign w:val="center"/>
          </w:tcPr>
          <w:p w14:paraId="05D9916E" w14:textId="77777777" w:rsidR="00A30042" w:rsidRPr="00362EE6" w:rsidRDefault="00A30042" w:rsidP="004F3D70">
            <w:pPr>
              <w:spacing w:after="0" w:line="280" w:lineRule="auto"/>
              <w:contextualSpacing/>
              <w:rPr>
                <w:rFonts w:cs="Calibri"/>
                <w:szCs w:val="24"/>
              </w:rPr>
            </w:pPr>
            <w:r w:rsidRPr="00362EE6">
              <w:rPr>
                <w:rFonts w:cs="Calibri"/>
                <w:b/>
                <w:color w:val="FFFFFF"/>
                <w:sz w:val="20"/>
                <w:szCs w:val="24"/>
              </w:rPr>
              <w:t>Title of the project:</w:t>
            </w:r>
          </w:p>
        </w:tc>
        <w:tc>
          <w:tcPr>
            <w:tcW w:w="4453" w:type="pct"/>
            <w:gridSpan w:val="6"/>
            <w:shd w:val="clear" w:color="auto" w:fill="FFFFFF"/>
            <w:vAlign w:val="center"/>
          </w:tcPr>
          <w:p w14:paraId="06ACE0C9" w14:textId="77777777" w:rsidR="00A30042" w:rsidRPr="00362EE6" w:rsidRDefault="00A30042" w:rsidP="004F3D70">
            <w:pPr>
              <w:spacing w:after="0" w:line="280" w:lineRule="auto"/>
              <w:contextualSpacing/>
              <w:rPr>
                <w:rFonts w:cs="Calibri"/>
                <w:szCs w:val="24"/>
              </w:rPr>
            </w:pPr>
            <w:r w:rsidRPr="00362EE6">
              <w:rPr>
                <w:rFonts w:cs="Calibri"/>
                <w:szCs w:val="24"/>
              </w:rPr>
              <w:t>"PROMOTING THE APPLICATION OF THE NAGOYA PROTOCOL THROUGH THE DEVELOPMENT OF PRODUCTS BASED ON NATURE, THE DISTRIBUTION OF BENEFITS AND CONSERVATION OF BIODIVERSITY IN COSTA RICA"</w:t>
            </w:r>
          </w:p>
        </w:tc>
      </w:tr>
      <w:tr w:rsidR="00A30042" w:rsidRPr="00362EE6" w14:paraId="67B20022" w14:textId="77777777" w:rsidTr="004F3D70">
        <w:trPr>
          <w:trHeight w:val="553"/>
        </w:trPr>
        <w:tc>
          <w:tcPr>
            <w:tcW w:w="1057" w:type="pct"/>
            <w:gridSpan w:val="2"/>
          </w:tcPr>
          <w:p w14:paraId="55D04E78"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Identification of the GEF project:</w:t>
            </w:r>
          </w:p>
        </w:tc>
        <w:tc>
          <w:tcPr>
            <w:tcW w:w="790" w:type="pct"/>
            <w:vAlign w:val="center"/>
          </w:tcPr>
          <w:p w14:paraId="335F358D" w14:textId="77777777" w:rsidR="00A30042" w:rsidRPr="00362EE6" w:rsidRDefault="00A30042" w:rsidP="004F3D70">
            <w:pPr>
              <w:tabs>
                <w:tab w:val="right" w:pos="0"/>
              </w:tabs>
              <w:spacing w:after="0" w:line="280" w:lineRule="auto"/>
              <w:rPr>
                <w:rFonts w:cs="Calibri"/>
                <w:szCs w:val="24"/>
              </w:rPr>
            </w:pPr>
            <w:r w:rsidRPr="00362EE6">
              <w:rPr>
                <w:rFonts w:cs="Calibri"/>
                <w:sz w:val="20"/>
                <w:szCs w:val="24"/>
              </w:rPr>
              <w:t>5420</w:t>
            </w:r>
          </w:p>
        </w:tc>
        <w:tc>
          <w:tcPr>
            <w:tcW w:w="938" w:type="pct"/>
          </w:tcPr>
          <w:p w14:paraId="66962189" w14:textId="77777777" w:rsidR="00A30042" w:rsidRPr="00362EE6" w:rsidRDefault="00A30042" w:rsidP="004F3D70">
            <w:pPr>
              <w:spacing w:after="0"/>
              <w:jc w:val="right"/>
              <w:rPr>
                <w:rFonts w:cs="Calibri"/>
                <w:sz w:val="20"/>
                <w:szCs w:val="24"/>
              </w:rPr>
            </w:pPr>
            <w:r w:rsidRPr="00362EE6">
              <w:rPr>
                <w:rFonts w:cs="Calibri"/>
                <w:sz w:val="20"/>
                <w:szCs w:val="24"/>
              </w:rPr>
              <w:t> </w:t>
            </w:r>
          </w:p>
        </w:tc>
        <w:tc>
          <w:tcPr>
            <w:tcW w:w="965" w:type="pct"/>
            <w:gridSpan w:val="2"/>
          </w:tcPr>
          <w:p w14:paraId="28917144" w14:textId="77777777" w:rsidR="00A30042" w:rsidRPr="00362EE6" w:rsidRDefault="00A30042" w:rsidP="004F3D70">
            <w:pPr>
              <w:spacing w:after="0" w:line="280" w:lineRule="auto"/>
              <w:jc w:val="center"/>
              <w:rPr>
                <w:rFonts w:cs="Calibri"/>
                <w:szCs w:val="24"/>
              </w:rPr>
            </w:pPr>
            <w:r w:rsidRPr="00362EE6">
              <w:rPr>
                <w:rFonts w:cs="Calibri"/>
                <w:i/>
                <w:color w:val="000000"/>
                <w:sz w:val="20"/>
                <w:szCs w:val="24"/>
                <w:u w:val="single"/>
              </w:rPr>
              <w:t>Budget at the time of approval (millions of USD)</w:t>
            </w:r>
          </w:p>
        </w:tc>
        <w:tc>
          <w:tcPr>
            <w:tcW w:w="1250" w:type="pct"/>
          </w:tcPr>
          <w:p w14:paraId="6EB31824" w14:textId="77777777" w:rsidR="00A30042" w:rsidRPr="00362EE6" w:rsidRDefault="00A30042" w:rsidP="004F3D70">
            <w:pPr>
              <w:spacing w:after="0" w:line="280" w:lineRule="auto"/>
              <w:jc w:val="center"/>
              <w:rPr>
                <w:rFonts w:cs="Calibri"/>
                <w:szCs w:val="24"/>
              </w:rPr>
            </w:pPr>
            <w:r w:rsidRPr="00362EE6">
              <w:rPr>
                <w:rFonts w:cs="Calibri"/>
                <w:i/>
                <w:color w:val="000000"/>
                <w:sz w:val="20"/>
                <w:szCs w:val="24"/>
                <w:u w:val="single"/>
              </w:rPr>
              <w:t>at the time of completion (millions of USD)</w:t>
            </w:r>
          </w:p>
        </w:tc>
      </w:tr>
      <w:tr w:rsidR="00A30042" w:rsidRPr="00362EE6" w14:paraId="12F557E6" w14:textId="77777777" w:rsidTr="004F3D70">
        <w:trPr>
          <w:trHeight w:val="782"/>
        </w:trPr>
        <w:tc>
          <w:tcPr>
            <w:tcW w:w="1057" w:type="pct"/>
            <w:gridSpan w:val="2"/>
          </w:tcPr>
          <w:p w14:paraId="32BBF749" w14:textId="77777777" w:rsidR="00A30042" w:rsidRPr="00362EE6" w:rsidRDefault="00A30042" w:rsidP="004F3D70">
            <w:pPr>
              <w:spacing w:after="0" w:line="280" w:lineRule="auto"/>
              <w:jc w:val="both"/>
              <w:rPr>
                <w:rFonts w:cs="Calibri"/>
                <w:szCs w:val="24"/>
              </w:rPr>
            </w:pPr>
            <w:r w:rsidRPr="00362EE6">
              <w:rPr>
                <w:rFonts w:cs="Calibri"/>
                <w:color w:val="000000"/>
                <w:sz w:val="20"/>
                <w:szCs w:val="24"/>
              </w:rPr>
              <w:t>Identification of the UNDP project:</w:t>
            </w:r>
          </w:p>
        </w:tc>
        <w:tc>
          <w:tcPr>
            <w:tcW w:w="790" w:type="pct"/>
            <w:vAlign w:val="center"/>
          </w:tcPr>
          <w:p w14:paraId="700A8AAD" w14:textId="77777777" w:rsidR="00A30042" w:rsidRPr="00362EE6" w:rsidRDefault="00A30042" w:rsidP="004F3D70">
            <w:pPr>
              <w:tabs>
                <w:tab w:val="right" w:pos="0"/>
              </w:tabs>
              <w:spacing w:after="0"/>
              <w:rPr>
                <w:rFonts w:cs="Calibri"/>
                <w:b/>
                <w:color w:val="000000"/>
                <w:sz w:val="20"/>
                <w:szCs w:val="24"/>
              </w:rPr>
            </w:pPr>
            <w:r w:rsidRPr="00362EE6">
              <w:rPr>
                <w:rFonts w:cs="Calibri"/>
                <w:sz w:val="20"/>
                <w:szCs w:val="24"/>
              </w:rPr>
              <w:t>PIMS 4962/ 00090102</w:t>
            </w:r>
          </w:p>
        </w:tc>
        <w:tc>
          <w:tcPr>
            <w:tcW w:w="938" w:type="pct"/>
          </w:tcPr>
          <w:p w14:paraId="5F7702E9"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GEF financing:</w:t>
            </w:r>
          </w:p>
        </w:tc>
        <w:tc>
          <w:tcPr>
            <w:tcW w:w="965" w:type="pct"/>
            <w:gridSpan w:val="2"/>
            <w:vAlign w:val="center"/>
          </w:tcPr>
          <w:p w14:paraId="73B78C6B" w14:textId="77777777" w:rsidR="00A30042" w:rsidRPr="00362EE6" w:rsidRDefault="00A30042" w:rsidP="004F3D70">
            <w:pPr>
              <w:spacing w:after="0"/>
              <w:rPr>
                <w:rFonts w:cs="Calibri"/>
                <w:sz w:val="20"/>
                <w:szCs w:val="24"/>
              </w:rPr>
            </w:pPr>
            <w:r w:rsidRPr="00362EE6">
              <w:rPr>
                <w:rFonts w:cs="Calibri"/>
                <w:sz w:val="20"/>
                <w:szCs w:val="24"/>
              </w:rPr>
              <w:t>979,566</w:t>
            </w:r>
          </w:p>
        </w:tc>
        <w:tc>
          <w:tcPr>
            <w:tcW w:w="1250" w:type="pct"/>
          </w:tcPr>
          <w:p w14:paraId="6392D4AA" w14:textId="77777777" w:rsidR="00A30042" w:rsidRPr="00362EE6" w:rsidRDefault="00A30042" w:rsidP="004F3D70">
            <w:pPr>
              <w:spacing w:after="0"/>
              <w:jc w:val="both"/>
              <w:rPr>
                <w:rFonts w:cs="Calibri"/>
                <w:sz w:val="20"/>
                <w:szCs w:val="24"/>
              </w:rPr>
            </w:pPr>
            <w:r w:rsidRPr="00362EE6">
              <w:rPr>
                <w:rFonts w:cs="Calibri"/>
                <w:sz w:val="20"/>
                <w:szCs w:val="24"/>
              </w:rPr>
              <w:t>N/A</w:t>
            </w:r>
          </w:p>
        </w:tc>
      </w:tr>
      <w:tr w:rsidR="00A30042" w:rsidRPr="00362EE6" w14:paraId="37C4E6CF" w14:textId="77777777" w:rsidTr="004F3D70">
        <w:trPr>
          <w:trHeight w:val="269"/>
        </w:trPr>
        <w:tc>
          <w:tcPr>
            <w:tcW w:w="1057" w:type="pct"/>
            <w:gridSpan w:val="2"/>
          </w:tcPr>
          <w:p w14:paraId="6939D9BC"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Country:</w:t>
            </w:r>
          </w:p>
        </w:tc>
        <w:tc>
          <w:tcPr>
            <w:tcW w:w="790" w:type="pct"/>
            <w:vAlign w:val="center"/>
          </w:tcPr>
          <w:p w14:paraId="6B62F090" w14:textId="77777777" w:rsidR="00A30042" w:rsidRPr="00362EE6" w:rsidRDefault="00A30042" w:rsidP="004F3D70">
            <w:pPr>
              <w:tabs>
                <w:tab w:val="right" w:pos="0"/>
              </w:tabs>
              <w:spacing w:after="0"/>
              <w:rPr>
                <w:rFonts w:cs="Calibri"/>
                <w:color w:val="000000"/>
                <w:sz w:val="20"/>
                <w:szCs w:val="24"/>
              </w:rPr>
            </w:pPr>
            <w:r w:rsidRPr="00362EE6">
              <w:rPr>
                <w:rFonts w:cs="Calibri"/>
                <w:sz w:val="20"/>
                <w:szCs w:val="24"/>
              </w:rPr>
              <w:t>Costa Rica</w:t>
            </w:r>
          </w:p>
        </w:tc>
        <w:tc>
          <w:tcPr>
            <w:tcW w:w="938" w:type="pct"/>
          </w:tcPr>
          <w:p w14:paraId="4DB3BA66" w14:textId="77777777" w:rsidR="00A30042" w:rsidRPr="00362EE6" w:rsidRDefault="00A30042" w:rsidP="004F3D70">
            <w:pPr>
              <w:spacing w:after="0" w:line="280" w:lineRule="auto"/>
              <w:jc w:val="right"/>
              <w:rPr>
                <w:rFonts w:cs="Calibri"/>
                <w:szCs w:val="24"/>
              </w:rPr>
            </w:pPr>
            <w:r w:rsidRPr="00362EE6">
              <w:rPr>
                <w:rFonts w:cs="Calibri"/>
                <w:sz w:val="20"/>
                <w:szCs w:val="24"/>
              </w:rPr>
              <w:t>ECOS:</w:t>
            </w:r>
          </w:p>
        </w:tc>
        <w:tc>
          <w:tcPr>
            <w:tcW w:w="965" w:type="pct"/>
            <w:gridSpan w:val="2"/>
            <w:vAlign w:val="center"/>
          </w:tcPr>
          <w:p w14:paraId="0302BF17" w14:textId="77777777" w:rsidR="00A30042" w:rsidRPr="00362EE6" w:rsidRDefault="00A30042" w:rsidP="004F3D70">
            <w:pPr>
              <w:spacing w:after="0"/>
              <w:rPr>
                <w:rFonts w:cs="Calibri"/>
                <w:sz w:val="20"/>
                <w:szCs w:val="24"/>
              </w:rPr>
            </w:pPr>
            <w:r w:rsidRPr="00362EE6">
              <w:rPr>
                <w:rFonts w:cs="Calibri"/>
                <w:sz w:val="20"/>
                <w:szCs w:val="24"/>
              </w:rPr>
              <w:t>1,615,000</w:t>
            </w:r>
          </w:p>
        </w:tc>
        <w:tc>
          <w:tcPr>
            <w:tcW w:w="1250" w:type="pct"/>
          </w:tcPr>
          <w:p w14:paraId="1B697547" w14:textId="77777777" w:rsidR="00A30042" w:rsidRPr="00362EE6" w:rsidRDefault="00A30042" w:rsidP="004F3D70">
            <w:pPr>
              <w:spacing w:after="0"/>
              <w:jc w:val="both"/>
              <w:rPr>
                <w:rFonts w:cs="Calibri"/>
                <w:sz w:val="20"/>
                <w:szCs w:val="24"/>
              </w:rPr>
            </w:pPr>
            <w:r w:rsidRPr="00362EE6">
              <w:rPr>
                <w:rFonts w:cs="Calibri"/>
                <w:sz w:val="20"/>
                <w:szCs w:val="24"/>
              </w:rPr>
              <w:t xml:space="preserve">N/A </w:t>
            </w:r>
          </w:p>
        </w:tc>
      </w:tr>
      <w:tr w:rsidR="00A30042" w:rsidRPr="00362EE6" w14:paraId="7DF9114C" w14:textId="77777777" w:rsidTr="004F3D70">
        <w:trPr>
          <w:trHeight w:val="296"/>
        </w:trPr>
        <w:tc>
          <w:tcPr>
            <w:tcW w:w="1057" w:type="pct"/>
            <w:gridSpan w:val="2"/>
          </w:tcPr>
          <w:p w14:paraId="17D75EA8"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Region:</w:t>
            </w:r>
          </w:p>
        </w:tc>
        <w:tc>
          <w:tcPr>
            <w:tcW w:w="790" w:type="pct"/>
            <w:vAlign w:val="center"/>
          </w:tcPr>
          <w:p w14:paraId="3C570323" w14:textId="77777777" w:rsidR="00A30042" w:rsidRPr="00362EE6" w:rsidRDefault="00A30042" w:rsidP="004F3D70">
            <w:pPr>
              <w:tabs>
                <w:tab w:val="right" w:pos="0"/>
              </w:tabs>
              <w:spacing w:after="0"/>
              <w:rPr>
                <w:rFonts w:cs="Calibri"/>
                <w:sz w:val="20"/>
                <w:szCs w:val="24"/>
              </w:rPr>
            </w:pPr>
            <w:r w:rsidRPr="00362EE6">
              <w:rPr>
                <w:rFonts w:cs="Calibri"/>
                <w:sz w:val="20"/>
                <w:szCs w:val="24"/>
              </w:rPr>
              <w:t>LAC</w:t>
            </w:r>
          </w:p>
        </w:tc>
        <w:tc>
          <w:tcPr>
            <w:tcW w:w="938" w:type="pct"/>
          </w:tcPr>
          <w:p w14:paraId="712020B7" w14:textId="77777777" w:rsidR="00A30042" w:rsidRPr="00362EE6" w:rsidRDefault="00A30042" w:rsidP="004F3D70">
            <w:pPr>
              <w:spacing w:after="0" w:line="280" w:lineRule="auto"/>
              <w:jc w:val="right"/>
              <w:rPr>
                <w:rFonts w:cs="Calibri"/>
                <w:szCs w:val="24"/>
              </w:rPr>
            </w:pPr>
            <w:r w:rsidRPr="00362EE6">
              <w:rPr>
                <w:rFonts w:cs="Calibri"/>
                <w:szCs w:val="24"/>
              </w:rPr>
              <w:t>INBIO</w:t>
            </w:r>
          </w:p>
        </w:tc>
        <w:tc>
          <w:tcPr>
            <w:tcW w:w="965" w:type="pct"/>
            <w:gridSpan w:val="2"/>
            <w:vAlign w:val="center"/>
          </w:tcPr>
          <w:p w14:paraId="789405DC" w14:textId="77777777" w:rsidR="00A30042" w:rsidRPr="00362EE6" w:rsidRDefault="00A30042" w:rsidP="004F3D70">
            <w:pPr>
              <w:spacing w:after="0"/>
              <w:rPr>
                <w:rFonts w:cs="Calibri"/>
                <w:sz w:val="20"/>
                <w:szCs w:val="24"/>
              </w:rPr>
            </w:pPr>
            <w:r w:rsidRPr="00362EE6">
              <w:rPr>
                <w:rFonts w:cs="Calibri"/>
                <w:sz w:val="20"/>
                <w:szCs w:val="24"/>
              </w:rPr>
              <w:t>1,726,000</w:t>
            </w:r>
          </w:p>
        </w:tc>
        <w:tc>
          <w:tcPr>
            <w:tcW w:w="1250" w:type="pct"/>
          </w:tcPr>
          <w:p w14:paraId="61B1D303" w14:textId="77777777" w:rsidR="00A30042" w:rsidRPr="00362EE6" w:rsidRDefault="00A30042" w:rsidP="004F3D70">
            <w:pPr>
              <w:spacing w:after="0"/>
              <w:jc w:val="both"/>
              <w:rPr>
                <w:rFonts w:cs="Calibri"/>
                <w:sz w:val="20"/>
                <w:szCs w:val="24"/>
              </w:rPr>
            </w:pPr>
            <w:r w:rsidRPr="00362EE6">
              <w:rPr>
                <w:rFonts w:cs="Calibri"/>
                <w:sz w:val="20"/>
                <w:szCs w:val="24"/>
              </w:rPr>
              <w:t>N/A</w:t>
            </w:r>
          </w:p>
        </w:tc>
      </w:tr>
      <w:tr w:rsidR="00A30042" w:rsidRPr="00362EE6" w14:paraId="270225C6" w14:textId="77777777" w:rsidTr="004F3D70">
        <w:trPr>
          <w:trHeight w:val="314"/>
        </w:trPr>
        <w:tc>
          <w:tcPr>
            <w:tcW w:w="1057" w:type="pct"/>
            <w:gridSpan w:val="2"/>
          </w:tcPr>
          <w:p w14:paraId="57199070"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Area of interest:</w:t>
            </w:r>
          </w:p>
        </w:tc>
        <w:tc>
          <w:tcPr>
            <w:tcW w:w="790" w:type="pct"/>
            <w:vAlign w:val="center"/>
          </w:tcPr>
          <w:p w14:paraId="0AC6EE09" w14:textId="77777777" w:rsidR="00A30042" w:rsidRPr="00362EE6" w:rsidRDefault="00A30042" w:rsidP="004F3D70">
            <w:pPr>
              <w:tabs>
                <w:tab w:val="right" w:pos="0"/>
              </w:tabs>
              <w:spacing w:after="0"/>
              <w:rPr>
                <w:rFonts w:cs="Calibri"/>
                <w:sz w:val="20"/>
                <w:szCs w:val="24"/>
              </w:rPr>
            </w:pPr>
            <w:r w:rsidRPr="00362EE6">
              <w:rPr>
                <w:rFonts w:cs="Calibri"/>
                <w:sz w:val="20"/>
                <w:szCs w:val="24"/>
              </w:rPr>
              <w:t>Biodiversity</w:t>
            </w:r>
          </w:p>
        </w:tc>
        <w:tc>
          <w:tcPr>
            <w:tcW w:w="938" w:type="pct"/>
          </w:tcPr>
          <w:p w14:paraId="0CA67E7A" w14:textId="77777777" w:rsidR="00A30042" w:rsidRPr="00362EE6" w:rsidRDefault="00A30042" w:rsidP="004F3D70">
            <w:pPr>
              <w:spacing w:after="0" w:line="280" w:lineRule="auto"/>
              <w:jc w:val="right"/>
              <w:rPr>
                <w:rFonts w:cs="Calibri"/>
                <w:szCs w:val="24"/>
              </w:rPr>
            </w:pPr>
            <w:proofErr w:type="spellStart"/>
            <w:r w:rsidRPr="00362EE6">
              <w:rPr>
                <w:rFonts w:cs="Calibri"/>
                <w:szCs w:val="24"/>
              </w:rPr>
              <w:t>Formuquisa</w:t>
            </w:r>
            <w:proofErr w:type="spellEnd"/>
          </w:p>
        </w:tc>
        <w:tc>
          <w:tcPr>
            <w:tcW w:w="965" w:type="pct"/>
            <w:gridSpan w:val="2"/>
            <w:vAlign w:val="center"/>
          </w:tcPr>
          <w:p w14:paraId="6A4ED26E" w14:textId="77777777" w:rsidR="00A30042" w:rsidRPr="00362EE6" w:rsidRDefault="00A30042" w:rsidP="004F3D70">
            <w:pPr>
              <w:spacing w:after="0"/>
              <w:rPr>
                <w:rFonts w:cs="Calibri"/>
                <w:sz w:val="20"/>
                <w:szCs w:val="24"/>
              </w:rPr>
            </w:pPr>
            <w:r w:rsidRPr="00362EE6">
              <w:rPr>
                <w:rFonts w:cs="Calibri"/>
                <w:sz w:val="20"/>
                <w:szCs w:val="24"/>
              </w:rPr>
              <w:t>963,009</w:t>
            </w:r>
          </w:p>
        </w:tc>
        <w:tc>
          <w:tcPr>
            <w:tcW w:w="1250" w:type="pct"/>
          </w:tcPr>
          <w:p w14:paraId="6CEBA412" w14:textId="77777777" w:rsidR="00A30042" w:rsidRPr="00362EE6" w:rsidRDefault="00A30042" w:rsidP="004F3D70">
            <w:pPr>
              <w:spacing w:after="0"/>
              <w:jc w:val="both"/>
              <w:rPr>
                <w:rFonts w:cs="Calibri"/>
                <w:sz w:val="20"/>
                <w:szCs w:val="24"/>
              </w:rPr>
            </w:pPr>
            <w:r w:rsidRPr="00362EE6">
              <w:rPr>
                <w:rFonts w:cs="Calibri"/>
                <w:sz w:val="20"/>
                <w:szCs w:val="24"/>
              </w:rPr>
              <w:t>N/A</w:t>
            </w:r>
          </w:p>
        </w:tc>
      </w:tr>
      <w:tr w:rsidR="00A30042" w:rsidRPr="00362EE6" w14:paraId="39F84FBF" w14:textId="77777777" w:rsidTr="004F3D70">
        <w:trPr>
          <w:trHeight w:val="503"/>
        </w:trPr>
        <w:tc>
          <w:tcPr>
            <w:tcW w:w="1057" w:type="pct"/>
            <w:gridSpan w:val="2"/>
          </w:tcPr>
          <w:p w14:paraId="186FF1AD"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 xml:space="preserve">Operational </w:t>
            </w:r>
            <w:proofErr w:type="spellStart"/>
            <w:r w:rsidRPr="00362EE6">
              <w:rPr>
                <w:rFonts w:cs="Calibri"/>
                <w:color w:val="000000"/>
                <w:sz w:val="20"/>
                <w:szCs w:val="24"/>
              </w:rPr>
              <w:t>programme</w:t>
            </w:r>
            <w:proofErr w:type="spellEnd"/>
            <w:r w:rsidRPr="00362EE6">
              <w:rPr>
                <w:rFonts w:cs="Calibri"/>
                <w:color w:val="000000"/>
                <w:sz w:val="20"/>
                <w:szCs w:val="24"/>
              </w:rPr>
              <w:t>:</w:t>
            </w:r>
          </w:p>
        </w:tc>
        <w:tc>
          <w:tcPr>
            <w:tcW w:w="790" w:type="pct"/>
            <w:vAlign w:val="center"/>
          </w:tcPr>
          <w:p w14:paraId="19973E09" w14:textId="77777777" w:rsidR="00A30042" w:rsidRPr="00362EE6" w:rsidRDefault="00A30042" w:rsidP="004F3D70">
            <w:pPr>
              <w:tabs>
                <w:tab w:val="right" w:pos="0"/>
              </w:tabs>
              <w:spacing w:after="0"/>
              <w:rPr>
                <w:rFonts w:cs="Calibri"/>
                <w:sz w:val="20"/>
                <w:szCs w:val="24"/>
              </w:rPr>
            </w:pPr>
            <w:r w:rsidRPr="00362EE6">
              <w:rPr>
                <w:rFonts w:cs="Calibri"/>
                <w:sz w:val="20"/>
                <w:szCs w:val="24"/>
              </w:rPr>
              <w:t>GEF 4, SO-2 (SP4, SP5)</w:t>
            </w:r>
          </w:p>
        </w:tc>
        <w:tc>
          <w:tcPr>
            <w:tcW w:w="938" w:type="pct"/>
          </w:tcPr>
          <w:p w14:paraId="5A339DFC" w14:textId="77777777" w:rsidR="00A30042" w:rsidRPr="00362EE6" w:rsidRDefault="00A30042" w:rsidP="004F3D70">
            <w:pPr>
              <w:spacing w:after="0" w:line="280" w:lineRule="auto"/>
              <w:jc w:val="right"/>
              <w:rPr>
                <w:rFonts w:cs="Calibri"/>
                <w:szCs w:val="24"/>
              </w:rPr>
            </w:pPr>
            <w:proofErr w:type="spellStart"/>
            <w:r w:rsidRPr="00362EE6">
              <w:rPr>
                <w:rFonts w:cs="Calibri"/>
                <w:szCs w:val="24"/>
              </w:rPr>
              <w:t>Monreri</w:t>
            </w:r>
            <w:proofErr w:type="spellEnd"/>
          </w:p>
        </w:tc>
        <w:tc>
          <w:tcPr>
            <w:tcW w:w="965" w:type="pct"/>
            <w:gridSpan w:val="2"/>
            <w:vAlign w:val="center"/>
          </w:tcPr>
          <w:p w14:paraId="0940A7AA" w14:textId="77777777" w:rsidR="00A30042" w:rsidRPr="00362EE6" w:rsidRDefault="00A30042" w:rsidP="004F3D70">
            <w:pPr>
              <w:spacing w:after="0"/>
              <w:rPr>
                <w:rFonts w:cs="Calibri"/>
                <w:sz w:val="20"/>
                <w:szCs w:val="24"/>
              </w:rPr>
            </w:pPr>
            <w:r w:rsidRPr="00362EE6">
              <w:rPr>
                <w:rFonts w:cs="Calibri"/>
                <w:sz w:val="20"/>
                <w:szCs w:val="24"/>
              </w:rPr>
              <w:t>233,000</w:t>
            </w:r>
          </w:p>
        </w:tc>
        <w:tc>
          <w:tcPr>
            <w:tcW w:w="1250" w:type="pct"/>
          </w:tcPr>
          <w:p w14:paraId="106CD371" w14:textId="77777777" w:rsidR="00A30042" w:rsidRPr="00362EE6" w:rsidRDefault="00A30042" w:rsidP="004F3D70">
            <w:pPr>
              <w:spacing w:after="0"/>
              <w:jc w:val="both"/>
              <w:rPr>
                <w:rFonts w:cs="Calibri"/>
                <w:sz w:val="20"/>
                <w:szCs w:val="24"/>
              </w:rPr>
            </w:pPr>
            <w:r w:rsidRPr="00362EE6">
              <w:rPr>
                <w:rFonts w:cs="Calibri"/>
                <w:sz w:val="20"/>
                <w:szCs w:val="24"/>
              </w:rPr>
              <w:t xml:space="preserve">N/A </w:t>
            </w:r>
          </w:p>
        </w:tc>
      </w:tr>
      <w:tr w:rsidR="00A30042" w:rsidRPr="00362EE6" w14:paraId="3FB2F2FE" w14:textId="77777777" w:rsidTr="004F3D70">
        <w:trPr>
          <w:trHeight w:val="341"/>
        </w:trPr>
        <w:tc>
          <w:tcPr>
            <w:tcW w:w="1057" w:type="pct"/>
            <w:gridSpan w:val="2"/>
          </w:tcPr>
          <w:p w14:paraId="061826FC"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Executing Agency:</w:t>
            </w:r>
          </w:p>
        </w:tc>
        <w:tc>
          <w:tcPr>
            <w:tcW w:w="790" w:type="pct"/>
            <w:vAlign w:val="center"/>
          </w:tcPr>
          <w:p w14:paraId="679C47CB" w14:textId="77777777" w:rsidR="00A30042" w:rsidRPr="00362EE6" w:rsidRDefault="00A30042" w:rsidP="004F3D70">
            <w:pPr>
              <w:tabs>
                <w:tab w:val="right" w:pos="0"/>
              </w:tabs>
              <w:spacing w:after="0"/>
              <w:rPr>
                <w:rFonts w:cs="Calibri"/>
                <w:sz w:val="20"/>
                <w:szCs w:val="24"/>
              </w:rPr>
            </w:pPr>
            <w:r w:rsidRPr="00362EE6">
              <w:rPr>
                <w:rFonts w:cs="Calibri"/>
                <w:sz w:val="20"/>
                <w:szCs w:val="24"/>
              </w:rPr>
              <w:t>Initially, INBIO, at the end UNDP</w:t>
            </w:r>
          </w:p>
        </w:tc>
        <w:tc>
          <w:tcPr>
            <w:tcW w:w="938" w:type="pct"/>
          </w:tcPr>
          <w:p w14:paraId="717B2410"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Total project expenditure:</w:t>
            </w:r>
          </w:p>
        </w:tc>
        <w:tc>
          <w:tcPr>
            <w:tcW w:w="965" w:type="pct"/>
            <w:gridSpan w:val="2"/>
            <w:vAlign w:val="center"/>
          </w:tcPr>
          <w:p w14:paraId="1C237A8B" w14:textId="77777777" w:rsidR="00A30042" w:rsidRPr="00362EE6" w:rsidRDefault="00A30042" w:rsidP="004F3D70">
            <w:pPr>
              <w:spacing w:after="0"/>
              <w:rPr>
                <w:rFonts w:cs="Calibri"/>
                <w:sz w:val="20"/>
                <w:szCs w:val="24"/>
              </w:rPr>
            </w:pPr>
            <w:r w:rsidRPr="00362EE6">
              <w:rPr>
                <w:rFonts w:cs="Calibri"/>
                <w:sz w:val="20"/>
                <w:szCs w:val="24"/>
              </w:rPr>
              <w:t>5,517,375</w:t>
            </w:r>
          </w:p>
        </w:tc>
        <w:tc>
          <w:tcPr>
            <w:tcW w:w="1250" w:type="pct"/>
          </w:tcPr>
          <w:p w14:paraId="1820DC5F" w14:textId="77777777" w:rsidR="00A30042" w:rsidRPr="00362EE6" w:rsidRDefault="00A30042" w:rsidP="004F3D70">
            <w:pPr>
              <w:spacing w:after="0"/>
              <w:jc w:val="both"/>
              <w:rPr>
                <w:rFonts w:cs="Calibri"/>
                <w:sz w:val="20"/>
                <w:szCs w:val="24"/>
              </w:rPr>
            </w:pPr>
            <w:r w:rsidRPr="00362EE6">
              <w:rPr>
                <w:rFonts w:cs="Calibri"/>
                <w:sz w:val="20"/>
                <w:szCs w:val="24"/>
              </w:rPr>
              <w:t>N/A</w:t>
            </w:r>
          </w:p>
        </w:tc>
      </w:tr>
      <w:tr w:rsidR="00A30042" w:rsidRPr="00362EE6" w14:paraId="4517A6A8" w14:textId="77777777" w:rsidTr="004F3D70">
        <w:trPr>
          <w:trHeight w:val="368"/>
        </w:trPr>
        <w:tc>
          <w:tcPr>
            <w:tcW w:w="1057" w:type="pct"/>
            <w:gridSpan w:val="2"/>
            <w:vMerge w:val="restart"/>
          </w:tcPr>
          <w:p w14:paraId="4F20C2E1" w14:textId="77777777" w:rsidR="00A30042" w:rsidRPr="00362EE6" w:rsidRDefault="00A30042" w:rsidP="004F3D70">
            <w:pPr>
              <w:spacing w:after="0" w:line="280" w:lineRule="auto"/>
              <w:jc w:val="right"/>
              <w:rPr>
                <w:rFonts w:cs="Calibri"/>
                <w:szCs w:val="24"/>
              </w:rPr>
            </w:pPr>
            <w:r w:rsidRPr="00362EE6">
              <w:rPr>
                <w:rFonts w:cs="Calibri"/>
                <w:sz w:val="20"/>
                <w:szCs w:val="24"/>
              </w:rPr>
              <w:t>Other partners involved:</w:t>
            </w:r>
          </w:p>
        </w:tc>
        <w:tc>
          <w:tcPr>
            <w:tcW w:w="790" w:type="pct"/>
            <w:vMerge w:val="restart"/>
            <w:vAlign w:val="center"/>
          </w:tcPr>
          <w:p w14:paraId="36E10BF4" w14:textId="77777777" w:rsidR="00A30042" w:rsidRPr="00362EE6" w:rsidRDefault="00A30042" w:rsidP="004F3D70">
            <w:pPr>
              <w:tabs>
                <w:tab w:val="right" w:pos="0"/>
              </w:tabs>
              <w:spacing w:after="0"/>
              <w:rPr>
                <w:rFonts w:cs="Calibri"/>
                <w:color w:val="000000"/>
                <w:sz w:val="20"/>
                <w:szCs w:val="24"/>
              </w:rPr>
            </w:pPr>
            <w:r w:rsidRPr="00362EE6">
              <w:rPr>
                <w:rFonts w:cs="Calibri"/>
                <w:sz w:val="20"/>
                <w:szCs w:val="24"/>
              </w:rPr>
              <w:fldChar w:fldCharType="begin">
                <w:ffData>
                  <w:name w:val="Text1"/>
                  <w:enabled/>
                  <w:calcOnExit w:val="0"/>
                  <w:textInput/>
                </w:ffData>
              </w:fldChar>
            </w:r>
            <w:r w:rsidRPr="00362EE6">
              <w:rPr>
                <w:rFonts w:cs="Calibri"/>
                <w:sz w:val="20"/>
                <w:szCs w:val="24"/>
              </w:rPr>
              <w:instrText xml:space="preserve"> FORMTEXT </w:instrText>
            </w:r>
            <w:r w:rsidRPr="00362EE6">
              <w:rPr>
                <w:rFonts w:cs="Calibri"/>
                <w:sz w:val="20"/>
                <w:szCs w:val="24"/>
              </w:rPr>
            </w:r>
            <w:r w:rsidRPr="00362EE6">
              <w:rPr>
                <w:rFonts w:cs="Calibri"/>
                <w:sz w:val="20"/>
                <w:szCs w:val="24"/>
              </w:rPr>
              <w:fldChar w:fldCharType="separate"/>
            </w:r>
            <w:r w:rsidRPr="00362EE6">
              <w:rPr>
                <w:rFonts w:cs="Calibri"/>
                <w:noProof/>
                <w:sz w:val="20"/>
                <w:szCs w:val="24"/>
              </w:rPr>
              <w:t> </w:t>
            </w:r>
            <w:r w:rsidRPr="00362EE6">
              <w:rPr>
                <w:rFonts w:cs="Calibri"/>
                <w:noProof/>
                <w:sz w:val="20"/>
                <w:szCs w:val="24"/>
              </w:rPr>
              <w:t> </w:t>
            </w:r>
            <w:r w:rsidRPr="00362EE6">
              <w:rPr>
                <w:rFonts w:cs="Calibri"/>
                <w:noProof/>
                <w:sz w:val="20"/>
                <w:szCs w:val="24"/>
              </w:rPr>
              <w:t> </w:t>
            </w:r>
            <w:r w:rsidRPr="00362EE6">
              <w:rPr>
                <w:rFonts w:cs="Calibri"/>
                <w:noProof/>
                <w:sz w:val="20"/>
                <w:szCs w:val="24"/>
              </w:rPr>
              <w:t> </w:t>
            </w:r>
            <w:r w:rsidRPr="00362EE6">
              <w:rPr>
                <w:rFonts w:cs="Calibri"/>
                <w:noProof/>
                <w:sz w:val="20"/>
                <w:szCs w:val="24"/>
              </w:rPr>
              <w:t> </w:t>
            </w:r>
            <w:r w:rsidRPr="00362EE6">
              <w:rPr>
                <w:rFonts w:cs="Calibri"/>
                <w:sz w:val="20"/>
                <w:szCs w:val="24"/>
              </w:rPr>
              <w:fldChar w:fldCharType="end"/>
            </w:r>
          </w:p>
        </w:tc>
        <w:tc>
          <w:tcPr>
            <w:tcW w:w="1903" w:type="pct"/>
            <w:gridSpan w:val="3"/>
          </w:tcPr>
          <w:p w14:paraId="72945DCA" w14:textId="77777777" w:rsidR="00A30042" w:rsidRPr="00362EE6" w:rsidRDefault="00A30042" w:rsidP="004F3D70">
            <w:pPr>
              <w:tabs>
                <w:tab w:val="right" w:pos="0"/>
              </w:tabs>
              <w:spacing w:after="0" w:line="280" w:lineRule="auto"/>
              <w:jc w:val="right"/>
              <w:rPr>
                <w:rFonts w:cs="Calibri"/>
                <w:szCs w:val="24"/>
              </w:rPr>
            </w:pPr>
            <w:r w:rsidRPr="00362EE6">
              <w:rPr>
                <w:rFonts w:cs="Calibri"/>
                <w:color w:val="000000"/>
                <w:sz w:val="20"/>
                <w:szCs w:val="24"/>
              </w:rPr>
              <w:t>Signing of the project document (project start date):</w:t>
            </w:r>
          </w:p>
        </w:tc>
        <w:tc>
          <w:tcPr>
            <w:tcW w:w="1250" w:type="pct"/>
            <w:vAlign w:val="center"/>
          </w:tcPr>
          <w:p w14:paraId="40DEF988" w14:textId="77777777" w:rsidR="00A30042" w:rsidRPr="00362EE6" w:rsidRDefault="00A30042" w:rsidP="004F3D70">
            <w:pPr>
              <w:tabs>
                <w:tab w:val="right" w:pos="0"/>
              </w:tabs>
              <w:spacing w:after="0"/>
              <w:rPr>
                <w:rFonts w:cs="Calibri"/>
                <w:sz w:val="20"/>
                <w:szCs w:val="24"/>
              </w:rPr>
            </w:pPr>
            <w:r w:rsidRPr="00362EE6">
              <w:rPr>
                <w:rFonts w:cs="Calibri"/>
                <w:sz w:val="20"/>
                <w:szCs w:val="24"/>
              </w:rPr>
              <w:t xml:space="preserve"> 03 /2015</w:t>
            </w:r>
          </w:p>
        </w:tc>
      </w:tr>
      <w:tr w:rsidR="00A30042" w:rsidRPr="00362EE6" w14:paraId="1719DDED" w14:textId="77777777" w:rsidTr="004F3D70">
        <w:trPr>
          <w:trHeight w:val="144"/>
        </w:trPr>
        <w:tc>
          <w:tcPr>
            <w:tcW w:w="1057" w:type="pct"/>
            <w:gridSpan w:val="2"/>
            <w:vMerge/>
            <w:vAlign w:val="center"/>
          </w:tcPr>
          <w:p w14:paraId="3761431D" w14:textId="77777777" w:rsidR="00A30042" w:rsidRPr="00362EE6" w:rsidRDefault="00A30042" w:rsidP="004F3D70">
            <w:pPr>
              <w:spacing w:after="0"/>
              <w:rPr>
                <w:rFonts w:cs="Calibri"/>
                <w:sz w:val="20"/>
                <w:szCs w:val="24"/>
              </w:rPr>
            </w:pPr>
          </w:p>
        </w:tc>
        <w:tc>
          <w:tcPr>
            <w:tcW w:w="790" w:type="pct"/>
            <w:vMerge/>
          </w:tcPr>
          <w:p w14:paraId="29587F56" w14:textId="77777777" w:rsidR="00A30042" w:rsidRPr="00362EE6" w:rsidRDefault="00A30042" w:rsidP="004F3D70">
            <w:pPr>
              <w:tabs>
                <w:tab w:val="right" w:pos="0"/>
              </w:tabs>
              <w:spacing w:after="0"/>
              <w:jc w:val="center"/>
              <w:rPr>
                <w:rFonts w:cs="Calibri"/>
                <w:sz w:val="20"/>
                <w:szCs w:val="24"/>
              </w:rPr>
            </w:pPr>
          </w:p>
        </w:tc>
        <w:tc>
          <w:tcPr>
            <w:tcW w:w="1110" w:type="pct"/>
            <w:gridSpan w:val="2"/>
          </w:tcPr>
          <w:p w14:paraId="4319CAE0" w14:textId="77777777" w:rsidR="00A30042" w:rsidRPr="00362EE6" w:rsidRDefault="00A30042" w:rsidP="004F3D70">
            <w:pPr>
              <w:spacing w:after="0" w:line="280" w:lineRule="auto"/>
              <w:jc w:val="right"/>
              <w:rPr>
                <w:rFonts w:cs="Calibri"/>
                <w:szCs w:val="24"/>
              </w:rPr>
            </w:pPr>
            <w:r w:rsidRPr="00362EE6">
              <w:rPr>
                <w:rFonts w:cs="Calibri"/>
                <w:color w:val="000000"/>
                <w:sz w:val="20"/>
                <w:szCs w:val="24"/>
              </w:rPr>
              <w:t>Closing date (Operational):</w:t>
            </w:r>
          </w:p>
        </w:tc>
        <w:tc>
          <w:tcPr>
            <w:tcW w:w="793" w:type="pct"/>
          </w:tcPr>
          <w:p w14:paraId="4F88DBE6" w14:textId="77777777" w:rsidR="00A30042" w:rsidRPr="00362EE6" w:rsidRDefault="00A30042" w:rsidP="004F3D70">
            <w:pPr>
              <w:tabs>
                <w:tab w:val="right" w:pos="0"/>
              </w:tabs>
              <w:spacing w:after="0" w:line="280" w:lineRule="auto"/>
              <w:rPr>
                <w:rFonts w:cs="Calibri"/>
                <w:color w:val="000000"/>
                <w:sz w:val="20"/>
                <w:szCs w:val="24"/>
              </w:rPr>
            </w:pPr>
            <w:r w:rsidRPr="00362EE6">
              <w:rPr>
                <w:rFonts w:cs="Calibri"/>
                <w:color w:val="000000"/>
                <w:sz w:val="20"/>
                <w:szCs w:val="24"/>
              </w:rPr>
              <w:t>Budget:</w:t>
            </w:r>
          </w:p>
          <w:p w14:paraId="5068EF4E" w14:textId="77777777" w:rsidR="00A30042" w:rsidRPr="00362EE6" w:rsidRDefault="00A30042" w:rsidP="004F3D70">
            <w:pPr>
              <w:tabs>
                <w:tab w:val="right" w:pos="0"/>
              </w:tabs>
              <w:spacing w:after="0"/>
              <w:rPr>
                <w:rFonts w:cs="Calibri"/>
                <w:color w:val="000000"/>
                <w:sz w:val="20"/>
                <w:szCs w:val="24"/>
              </w:rPr>
            </w:pPr>
            <w:r w:rsidRPr="00362EE6">
              <w:rPr>
                <w:rFonts w:cs="Calibri"/>
                <w:sz w:val="20"/>
                <w:szCs w:val="24"/>
              </w:rPr>
              <w:t>03/2018</w:t>
            </w:r>
          </w:p>
        </w:tc>
        <w:tc>
          <w:tcPr>
            <w:tcW w:w="1250" w:type="pct"/>
          </w:tcPr>
          <w:p w14:paraId="64B15AA0" w14:textId="77777777" w:rsidR="00A30042" w:rsidRPr="00362EE6" w:rsidRDefault="00A30042" w:rsidP="004F3D70">
            <w:pPr>
              <w:tabs>
                <w:tab w:val="right" w:pos="0"/>
              </w:tabs>
              <w:spacing w:after="0" w:line="280" w:lineRule="auto"/>
              <w:rPr>
                <w:rFonts w:cs="Calibri"/>
                <w:sz w:val="20"/>
                <w:szCs w:val="24"/>
              </w:rPr>
            </w:pPr>
            <w:r w:rsidRPr="00362EE6">
              <w:rPr>
                <w:rFonts w:cs="Calibri"/>
                <w:color w:val="000000"/>
                <w:sz w:val="20"/>
                <w:szCs w:val="24"/>
              </w:rPr>
              <w:t>Real:</w:t>
            </w:r>
          </w:p>
          <w:p w14:paraId="02EE9D6C" w14:textId="77777777" w:rsidR="00A30042" w:rsidRPr="00362EE6" w:rsidRDefault="00A30042" w:rsidP="004F3D70">
            <w:pPr>
              <w:keepNext/>
              <w:tabs>
                <w:tab w:val="right" w:pos="0"/>
              </w:tabs>
              <w:spacing w:after="0"/>
              <w:rPr>
                <w:rFonts w:cs="Calibri"/>
                <w:color w:val="000000"/>
                <w:sz w:val="20"/>
                <w:szCs w:val="24"/>
              </w:rPr>
            </w:pPr>
            <w:r w:rsidRPr="00362EE6">
              <w:rPr>
                <w:rFonts w:cs="Calibri"/>
                <w:sz w:val="20"/>
                <w:szCs w:val="24"/>
              </w:rPr>
              <w:t>12 / 2018</w:t>
            </w:r>
          </w:p>
        </w:tc>
      </w:tr>
    </w:tbl>
    <w:p w14:paraId="56638E96" w14:textId="77777777" w:rsidR="00A30042" w:rsidRPr="00362EE6" w:rsidRDefault="00A30042" w:rsidP="00A30042">
      <w:pPr>
        <w:rPr>
          <w:color w:val="30818D"/>
          <w:sz w:val="28"/>
          <w:szCs w:val="28"/>
        </w:rPr>
      </w:pPr>
      <w:r w:rsidRPr="00362EE6">
        <w:rPr>
          <w:b/>
          <w:i/>
        </w:rPr>
        <w:t>Source: Project Files</w:t>
      </w:r>
    </w:p>
    <w:p w14:paraId="4461F7E5" w14:textId="77777777" w:rsidR="00A30042" w:rsidRPr="00362EE6" w:rsidRDefault="00A30042" w:rsidP="00A30042">
      <w:pPr>
        <w:spacing w:before="100" w:beforeAutospacing="1" w:after="100" w:afterAutospacing="1" w:line="360" w:lineRule="auto"/>
        <w:jc w:val="both"/>
        <w:rPr>
          <w:color w:val="30818D"/>
          <w:sz w:val="28"/>
          <w:szCs w:val="28"/>
        </w:rPr>
      </w:pPr>
      <w:r w:rsidRPr="00362EE6">
        <w:rPr>
          <w:color w:val="30818D"/>
          <w:sz w:val="28"/>
          <w:szCs w:val="28"/>
        </w:rPr>
        <w:t>Project description</w:t>
      </w:r>
    </w:p>
    <w:p w14:paraId="7D6FD924" w14:textId="77777777" w:rsidR="00A30042" w:rsidRPr="00362EE6" w:rsidRDefault="00A30042" w:rsidP="00A30042">
      <w:pPr>
        <w:spacing w:line="360" w:lineRule="auto"/>
        <w:jc w:val="both"/>
      </w:pPr>
      <w:r>
        <w:t xml:space="preserve">The Project was designed to implement the Nagoya Protocol on ABS through the development of crop protection products based on nature and strengthening the capacity of the national authority. These protection products are based on plant and fungal compounds, and licensing conditions that will be established for future agreements with the parties interested in their commercialization. The agreements can be identified as the second generation due to the contractual relationship, participation and contributions of the companies involved and the knowledge generated through the research. These studies have been carried out entirely in Costa Rica by Costa Rican professionals. These two potential products, whose active ingredients are chemically characterized, have been evaluated in vitro, in the greenhouse, and in the field, but at the level of </w:t>
      </w:r>
      <w:r>
        <w:lastRenderedPageBreak/>
        <w:t xml:space="preserve">preliminary tests on crops. Technically, the project seeks to validate the effectiveness of these crop protection agents and promote the conditions for the extension and licensing of new natural products, generating economic benefits that will be shared among the different stakeholders and used to support conservation. At the same time, it will improve the skills and capabilities of the private sector to negotiate good access models and benefit-sharing contracts. Finally, the project will update and strengthen the national ABS legal framework, </w:t>
      </w:r>
      <w:proofErr w:type="gramStart"/>
      <w:r>
        <w:t>in light of</w:t>
      </w:r>
      <w:proofErr w:type="gramEnd"/>
      <w:r>
        <w:t xml:space="preserve"> the provisions of the Nagoya Protocol, and develop new mechanisms to improve the administrative permit system and the decision-making process.</w:t>
      </w:r>
    </w:p>
    <w:p w14:paraId="46EA28D2" w14:textId="77777777" w:rsidR="00A30042" w:rsidRPr="00362EE6" w:rsidRDefault="00A30042" w:rsidP="00A30042">
      <w:pPr>
        <w:spacing w:line="360" w:lineRule="auto"/>
        <w:jc w:val="both"/>
      </w:pPr>
      <w:r w:rsidRPr="00362EE6">
        <w:t>This solution rests on four main pillars.</w:t>
      </w:r>
    </w:p>
    <w:p w14:paraId="202CEC1D" w14:textId="77777777" w:rsidR="00A30042" w:rsidRPr="00362EE6" w:rsidRDefault="00A30042" w:rsidP="00A30042">
      <w:pPr>
        <w:numPr>
          <w:ilvl w:val="0"/>
          <w:numId w:val="5"/>
        </w:numPr>
        <w:spacing w:line="360" w:lineRule="auto"/>
        <w:jc w:val="both"/>
      </w:pPr>
      <w:r w:rsidRPr="00362EE6">
        <w:t>Proof of concept of crop protection agents based on nature.</w:t>
      </w:r>
    </w:p>
    <w:p w14:paraId="766AD69E" w14:textId="77777777" w:rsidR="00A30042" w:rsidRPr="00362EE6" w:rsidRDefault="00A30042" w:rsidP="00A30042">
      <w:pPr>
        <w:numPr>
          <w:ilvl w:val="0"/>
          <w:numId w:val="5"/>
        </w:numPr>
        <w:spacing w:line="360" w:lineRule="auto"/>
        <w:jc w:val="both"/>
      </w:pPr>
      <w:r w:rsidRPr="00362EE6">
        <w:t>Optimization, scaling and licensing of crop protection agents.</w:t>
      </w:r>
    </w:p>
    <w:p w14:paraId="7BB8738A" w14:textId="77777777" w:rsidR="00A30042" w:rsidRPr="00362EE6" w:rsidRDefault="00A30042" w:rsidP="00A30042">
      <w:pPr>
        <w:numPr>
          <w:ilvl w:val="0"/>
          <w:numId w:val="5"/>
        </w:numPr>
        <w:spacing w:line="360" w:lineRule="auto"/>
        <w:jc w:val="both"/>
      </w:pPr>
      <w:r w:rsidRPr="00362EE6">
        <w:t>Benefit sharing from genetic resources.</w:t>
      </w:r>
    </w:p>
    <w:p w14:paraId="6E3576FB" w14:textId="77777777" w:rsidR="00A30042" w:rsidRPr="00362EE6" w:rsidRDefault="00A30042" w:rsidP="00A30042">
      <w:pPr>
        <w:numPr>
          <w:ilvl w:val="0"/>
          <w:numId w:val="5"/>
        </w:numPr>
        <w:spacing w:line="360" w:lineRule="auto"/>
        <w:jc w:val="both"/>
      </w:pPr>
      <w:r w:rsidRPr="00362EE6">
        <w:t>Increase in national capacity to ratify and implement the Nagoya Protocol.</w:t>
      </w:r>
    </w:p>
    <w:p w14:paraId="14227326" w14:textId="77777777" w:rsidR="00A30042" w:rsidRDefault="00A30042" w:rsidP="00A30042">
      <w:pPr>
        <w:rPr>
          <w:color w:val="30818D"/>
          <w:sz w:val="28"/>
          <w:szCs w:val="28"/>
        </w:rPr>
      </w:pPr>
    </w:p>
    <w:p w14:paraId="08A824F1" w14:textId="77777777" w:rsidR="00A30042" w:rsidRPr="00362EE6" w:rsidRDefault="00A30042" w:rsidP="00A30042">
      <w:r w:rsidRPr="00362EE6">
        <w:rPr>
          <w:color w:val="30818D"/>
          <w:sz w:val="28"/>
          <w:szCs w:val="28"/>
        </w:rPr>
        <w:t>Evaluation score table</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1157"/>
        <w:gridCol w:w="3226"/>
        <w:gridCol w:w="1843"/>
      </w:tblGrid>
      <w:tr w:rsidR="00A30042" w:rsidRPr="00362EE6" w14:paraId="0553F020" w14:textId="77777777" w:rsidTr="004F3D70">
        <w:trPr>
          <w:trHeight w:val="206"/>
        </w:trPr>
        <w:tc>
          <w:tcPr>
            <w:tcW w:w="5000" w:type="pct"/>
            <w:gridSpan w:val="4"/>
            <w:vAlign w:val="center"/>
          </w:tcPr>
          <w:p w14:paraId="359DE481" w14:textId="77777777" w:rsidR="00A30042" w:rsidRPr="00362EE6" w:rsidRDefault="00A30042" w:rsidP="004F3D70">
            <w:pPr>
              <w:tabs>
                <w:tab w:val="right" w:pos="0"/>
              </w:tabs>
              <w:spacing w:after="0" w:line="280" w:lineRule="auto"/>
              <w:rPr>
                <w:rFonts w:ascii="Calibri" w:hAnsi="Calibri" w:cs="Calibri"/>
                <w:sz w:val="18"/>
                <w:szCs w:val="24"/>
              </w:rPr>
            </w:pPr>
            <w:r w:rsidRPr="00362EE6">
              <w:rPr>
                <w:rFonts w:ascii="Calibri" w:hAnsi="Calibri" w:cs="Calibri"/>
                <w:b/>
                <w:color w:val="000000"/>
                <w:sz w:val="18"/>
                <w:szCs w:val="24"/>
              </w:rPr>
              <w:t>Project performance rating</w:t>
            </w:r>
          </w:p>
        </w:tc>
      </w:tr>
      <w:tr w:rsidR="00A30042" w:rsidRPr="00362EE6" w14:paraId="678DBC04" w14:textId="77777777" w:rsidTr="004F3D70">
        <w:tc>
          <w:tcPr>
            <w:tcW w:w="1412" w:type="pct"/>
            <w:shd w:val="clear" w:color="auto" w:fill="7F7F7F"/>
          </w:tcPr>
          <w:p w14:paraId="002FA524"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b/>
                <w:color w:val="FFFFFF"/>
                <w:sz w:val="18"/>
                <w:szCs w:val="24"/>
              </w:rPr>
              <w:t>1. Monitoring and evaluation</w:t>
            </w:r>
          </w:p>
        </w:tc>
        <w:tc>
          <w:tcPr>
            <w:tcW w:w="667" w:type="pct"/>
            <w:shd w:val="clear" w:color="auto" w:fill="7F7F7F"/>
          </w:tcPr>
          <w:p w14:paraId="3EDEFB51" w14:textId="77777777" w:rsidR="00A30042" w:rsidRPr="00362EE6" w:rsidRDefault="00A30042" w:rsidP="004F3D70">
            <w:pPr>
              <w:spacing w:after="0" w:line="280" w:lineRule="auto"/>
              <w:jc w:val="center"/>
              <w:rPr>
                <w:rFonts w:ascii="Calibri" w:hAnsi="Calibri" w:cs="Calibri"/>
                <w:sz w:val="18"/>
                <w:szCs w:val="24"/>
              </w:rPr>
            </w:pPr>
            <w:r w:rsidRPr="00362EE6">
              <w:rPr>
                <w:rFonts w:ascii="Calibri" w:hAnsi="Calibri" w:cs="Calibri"/>
                <w:b/>
                <w:i/>
                <w:color w:val="FFFFFF"/>
                <w:sz w:val="18"/>
                <w:szCs w:val="24"/>
              </w:rPr>
              <w:t>qualification</w:t>
            </w:r>
          </w:p>
        </w:tc>
        <w:tc>
          <w:tcPr>
            <w:tcW w:w="1859" w:type="pct"/>
            <w:shd w:val="clear" w:color="auto" w:fill="7F7F7F"/>
          </w:tcPr>
          <w:p w14:paraId="0B5C36D6"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b/>
                <w:color w:val="FFFFFF"/>
                <w:sz w:val="18"/>
                <w:szCs w:val="24"/>
              </w:rPr>
              <w:t>2. Execution of the IA and EA:</w:t>
            </w:r>
          </w:p>
        </w:tc>
        <w:tc>
          <w:tcPr>
            <w:tcW w:w="1062" w:type="pct"/>
            <w:shd w:val="clear" w:color="auto" w:fill="7F7F7F"/>
          </w:tcPr>
          <w:p w14:paraId="6BB05A86" w14:textId="77777777" w:rsidR="00A30042" w:rsidRPr="00362EE6" w:rsidRDefault="00A30042" w:rsidP="004F3D70">
            <w:pPr>
              <w:spacing w:after="0" w:line="280" w:lineRule="auto"/>
              <w:jc w:val="center"/>
              <w:rPr>
                <w:rFonts w:ascii="Calibri" w:hAnsi="Calibri" w:cs="Calibri"/>
                <w:sz w:val="18"/>
                <w:szCs w:val="24"/>
              </w:rPr>
            </w:pPr>
            <w:r w:rsidRPr="00362EE6">
              <w:rPr>
                <w:rFonts w:ascii="Calibri" w:hAnsi="Calibri" w:cs="Calibri"/>
                <w:b/>
                <w:i/>
                <w:color w:val="FFFFFF"/>
                <w:sz w:val="18"/>
                <w:szCs w:val="24"/>
              </w:rPr>
              <w:t>qualification</w:t>
            </w:r>
          </w:p>
        </w:tc>
      </w:tr>
      <w:tr w:rsidR="00A30042" w:rsidRPr="00362EE6" w14:paraId="749CD588" w14:textId="77777777" w:rsidTr="004F3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2" w:type="pct"/>
          </w:tcPr>
          <w:p w14:paraId="4372D0AD"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M&amp;E input design</w:t>
            </w:r>
          </w:p>
        </w:tc>
        <w:tc>
          <w:tcPr>
            <w:tcW w:w="667" w:type="pct"/>
            <w:tcBorders>
              <w:bottom w:val="single" w:sz="4" w:space="0" w:color="auto"/>
            </w:tcBorders>
          </w:tcPr>
          <w:p w14:paraId="26BC53EB"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Satisfactory</w:t>
            </w:r>
          </w:p>
        </w:tc>
        <w:tc>
          <w:tcPr>
            <w:tcW w:w="1859" w:type="pct"/>
            <w:tcBorders>
              <w:bottom w:val="single" w:sz="4" w:space="0" w:color="auto"/>
            </w:tcBorders>
          </w:tcPr>
          <w:p w14:paraId="21EC1466"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Quality of UNDP enforcement</w:t>
            </w:r>
          </w:p>
        </w:tc>
        <w:tc>
          <w:tcPr>
            <w:tcW w:w="1062" w:type="pct"/>
            <w:tcBorders>
              <w:bottom w:val="single" w:sz="4" w:space="0" w:color="auto"/>
            </w:tcBorders>
          </w:tcPr>
          <w:p w14:paraId="78D73F1B"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Satisfactory</w:t>
            </w:r>
          </w:p>
        </w:tc>
      </w:tr>
      <w:tr w:rsidR="00A30042" w:rsidRPr="00362EE6" w14:paraId="2B51BA2A" w14:textId="77777777" w:rsidTr="004F3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2" w:type="pct"/>
          </w:tcPr>
          <w:p w14:paraId="3FB8C3CF"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M&amp;E Execution plan</w:t>
            </w:r>
          </w:p>
        </w:tc>
        <w:tc>
          <w:tcPr>
            <w:tcW w:w="667" w:type="pct"/>
            <w:tcBorders>
              <w:bottom w:val="single" w:sz="4" w:space="0" w:color="auto"/>
            </w:tcBorders>
          </w:tcPr>
          <w:p w14:paraId="2E3CAA5A"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Satisfactory</w:t>
            </w:r>
          </w:p>
        </w:tc>
        <w:tc>
          <w:tcPr>
            <w:tcW w:w="1859" w:type="pct"/>
            <w:tcBorders>
              <w:bottom w:val="single" w:sz="4" w:space="0" w:color="auto"/>
            </w:tcBorders>
          </w:tcPr>
          <w:p w14:paraId="6860037A"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Quality of execution: executing agency (</w:t>
            </w:r>
            <w:proofErr w:type="spellStart"/>
            <w:r w:rsidRPr="00362EE6">
              <w:rPr>
                <w:rFonts w:ascii="Calibri" w:hAnsi="Calibri" w:cs="Calibri"/>
                <w:sz w:val="18"/>
                <w:szCs w:val="24"/>
              </w:rPr>
              <w:t>INBio</w:t>
            </w:r>
            <w:proofErr w:type="spellEnd"/>
            <w:r w:rsidRPr="00362EE6">
              <w:rPr>
                <w:rFonts w:ascii="Calibri" w:hAnsi="Calibri" w:cs="Calibri"/>
                <w:sz w:val="18"/>
                <w:szCs w:val="24"/>
              </w:rPr>
              <w:t>)</w:t>
            </w:r>
          </w:p>
        </w:tc>
        <w:tc>
          <w:tcPr>
            <w:tcW w:w="1062" w:type="pct"/>
            <w:tcBorders>
              <w:bottom w:val="single" w:sz="4" w:space="0" w:color="auto"/>
            </w:tcBorders>
          </w:tcPr>
          <w:p w14:paraId="467255C8"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Unsatisfactory</w:t>
            </w:r>
          </w:p>
        </w:tc>
      </w:tr>
      <w:tr w:rsidR="00A30042" w:rsidRPr="00362EE6" w14:paraId="3F3C7C09" w14:textId="77777777" w:rsidTr="004F3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2" w:type="pct"/>
          </w:tcPr>
          <w:p w14:paraId="795FB54C"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M&amp;E overall quality</w:t>
            </w:r>
          </w:p>
        </w:tc>
        <w:tc>
          <w:tcPr>
            <w:tcW w:w="667" w:type="pct"/>
            <w:tcBorders>
              <w:bottom w:val="single" w:sz="4" w:space="0" w:color="auto"/>
            </w:tcBorders>
          </w:tcPr>
          <w:p w14:paraId="67BB0EDB"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Satisfactory</w:t>
            </w:r>
          </w:p>
        </w:tc>
        <w:tc>
          <w:tcPr>
            <w:tcW w:w="1859" w:type="pct"/>
            <w:tcBorders>
              <w:bottom w:val="single" w:sz="4" w:space="0" w:color="auto"/>
            </w:tcBorders>
          </w:tcPr>
          <w:p w14:paraId="0E35D748"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Overall quality of enforcement and execution</w:t>
            </w:r>
          </w:p>
        </w:tc>
        <w:tc>
          <w:tcPr>
            <w:tcW w:w="1062" w:type="pct"/>
            <w:tcBorders>
              <w:bottom w:val="single" w:sz="4" w:space="0" w:color="auto"/>
            </w:tcBorders>
          </w:tcPr>
          <w:p w14:paraId="429091F7"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Moderately Unsatisfactory</w:t>
            </w:r>
          </w:p>
        </w:tc>
      </w:tr>
      <w:tr w:rsidR="00A30042" w:rsidRPr="00362EE6" w14:paraId="41E8C265" w14:textId="77777777" w:rsidTr="004F3D70">
        <w:tc>
          <w:tcPr>
            <w:tcW w:w="1412" w:type="pct"/>
            <w:shd w:val="clear" w:color="auto" w:fill="7F7F7F"/>
          </w:tcPr>
          <w:p w14:paraId="0E6F2DCE" w14:textId="77777777" w:rsidR="00A30042" w:rsidRPr="00362EE6" w:rsidRDefault="00A30042" w:rsidP="004F3D70">
            <w:pPr>
              <w:spacing w:after="0" w:line="240" w:lineRule="auto"/>
              <w:contextualSpacing/>
              <w:rPr>
                <w:rFonts w:ascii="Calibri" w:hAnsi="Calibri" w:cs="Calibri"/>
                <w:sz w:val="18"/>
                <w:szCs w:val="24"/>
              </w:rPr>
            </w:pPr>
            <w:r w:rsidRPr="00362EE6">
              <w:rPr>
                <w:rFonts w:ascii="Calibri" w:hAnsi="Calibri" w:cs="Calibri"/>
                <w:b/>
                <w:color w:val="FFFFFF"/>
                <w:sz w:val="18"/>
                <w:szCs w:val="24"/>
              </w:rPr>
              <w:t>3. Evaluation of the results</w:t>
            </w:r>
          </w:p>
        </w:tc>
        <w:tc>
          <w:tcPr>
            <w:tcW w:w="667" w:type="pct"/>
            <w:shd w:val="clear" w:color="auto" w:fill="7F7F7F"/>
          </w:tcPr>
          <w:p w14:paraId="5A3CE4B7" w14:textId="77777777" w:rsidR="00A30042" w:rsidRPr="00362EE6" w:rsidRDefault="00A30042" w:rsidP="004F3D70">
            <w:pPr>
              <w:spacing w:after="0" w:line="240" w:lineRule="auto"/>
              <w:contextualSpacing/>
              <w:jc w:val="center"/>
              <w:rPr>
                <w:rFonts w:ascii="Calibri" w:hAnsi="Calibri" w:cs="Calibri"/>
                <w:sz w:val="18"/>
                <w:szCs w:val="24"/>
              </w:rPr>
            </w:pPr>
            <w:r w:rsidRPr="00362EE6">
              <w:rPr>
                <w:rFonts w:ascii="Calibri" w:hAnsi="Calibri" w:cs="Calibri"/>
                <w:b/>
                <w:i/>
                <w:color w:val="FFFFFF"/>
                <w:sz w:val="18"/>
                <w:szCs w:val="24"/>
              </w:rPr>
              <w:t>qualification</w:t>
            </w:r>
          </w:p>
        </w:tc>
        <w:tc>
          <w:tcPr>
            <w:tcW w:w="1859" w:type="pct"/>
            <w:shd w:val="clear" w:color="auto" w:fill="7F7F7F"/>
          </w:tcPr>
          <w:p w14:paraId="6D1F391D" w14:textId="77777777" w:rsidR="00A30042" w:rsidRPr="00362EE6" w:rsidRDefault="00A30042" w:rsidP="004F3D70">
            <w:pPr>
              <w:spacing w:after="0" w:line="240" w:lineRule="auto"/>
              <w:contextualSpacing/>
              <w:rPr>
                <w:rFonts w:ascii="Calibri" w:hAnsi="Calibri" w:cs="Calibri"/>
                <w:sz w:val="18"/>
                <w:szCs w:val="24"/>
              </w:rPr>
            </w:pPr>
            <w:r w:rsidRPr="00362EE6">
              <w:rPr>
                <w:rFonts w:ascii="Calibri" w:hAnsi="Calibri" w:cs="Calibri"/>
                <w:b/>
                <w:color w:val="FFFFFF"/>
                <w:sz w:val="18"/>
                <w:szCs w:val="24"/>
              </w:rPr>
              <w:t>4. Sustainability</w:t>
            </w:r>
          </w:p>
        </w:tc>
        <w:tc>
          <w:tcPr>
            <w:tcW w:w="1062" w:type="pct"/>
            <w:shd w:val="clear" w:color="auto" w:fill="7F7F7F"/>
          </w:tcPr>
          <w:p w14:paraId="61DEF84E" w14:textId="77777777" w:rsidR="00A30042" w:rsidRPr="00362EE6" w:rsidRDefault="00A30042" w:rsidP="004F3D70">
            <w:pPr>
              <w:spacing w:after="0" w:line="240" w:lineRule="auto"/>
              <w:contextualSpacing/>
              <w:jc w:val="center"/>
              <w:rPr>
                <w:rFonts w:ascii="Calibri" w:hAnsi="Calibri" w:cs="Calibri"/>
                <w:sz w:val="18"/>
                <w:szCs w:val="24"/>
              </w:rPr>
            </w:pPr>
            <w:r w:rsidRPr="00362EE6">
              <w:rPr>
                <w:rFonts w:ascii="Calibri" w:hAnsi="Calibri" w:cs="Calibri"/>
                <w:b/>
                <w:i/>
                <w:color w:val="FFFFFF"/>
                <w:sz w:val="18"/>
                <w:szCs w:val="24"/>
              </w:rPr>
              <w:t>Qualification</w:t>
            </w:r>
          </w:p>
        </w:tc>
      </w:tr>
      <w:tr w:rsidR="00A30042" w:rsidRPr="00362EE6" w14:paraId="7C33462C" w14:textId="77777777" w:rsidTr="004F3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2" w:type="pct"/>
          </w:tcPr>
          <w:p w14:paraId="19767269"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Relevance</w:t>
            </w:r>
          </w:p>
        </w:tc>
        <w:tc>
          <w:tcPr>
            <w:tcW w:w="667" w:type="pct"/>
          </w:tcPr>
          <w:p w14:paraId="700FF830"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Relevant</w:t>
            </w:r>
          </w:p>
        </w:tc>
        <w:tc>
          <w:tcPr>
            <w:tcW w:w="1859" w:type="pct"/>
          </w:tcPr>
          <w:p w14:paraId="2FB145AC"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Financial resources:</w:t>
            </w:r>
          </w:p>
        </w:tc>
        <w:tc>
          <w:tcPr>
            <w:tcW w:w="1062" w:type="pct"/>
          </w:tcPr>
          <w:p w14:paraId="3ECA9141"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Moderately unlikely</w:t>
            </w:r>
          </w:p>
        </w:tc>
      </w:tr>
      <w:tr w:rsidR="00A30042" w:rsidRPr="00362EE6" w14:paraId="7E6BD785" w14:textId="77777777" w:rsidTr="004F3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2" w:type="pct"/>
          </w:tcPr>
          <w:p w14:paraId="561804D6"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Effectiveness</w:t>
            </w:r>
          </w:p>
        </w:tc>
        <w:tc>
          <w:tcPr>
            <w:tcW w:w="667" w:type="pct"/>
          </w:tcPr>
          <w:p w14:paraId="727E7382"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Satisfactory</w:t>
            </w:r>
          </w:p>
        </w:tc>
        <w:tc>
          <w:tcPr>
            <w:tcW w:w="1859" w:type="pct"/>
          </w:tcPr>
          <w:p w14:paraId="78224666"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Socio-politicians:</w:t>
            </w:r>
          </w:p>
        </w:tc>
        <w:tc>
          <w:tcPr>
            <w:tcW w:w="1062" w:type="pct"/>
          </w:tcPr>
          <w:p w14:paraId="55F3A0C7"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Moderately unlikely</w:t>
            </w:r>
          </w:p>
        </w:tc>
      </w:tr>
      <w:tr w:rsidR="00A30042" w:rsidRPr="00362EE6" w14:paraId="757D42AA" w14:textId="77777777" w:rsidTr="004F3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2" w:type="pct"/>
          </w:tcPr>
          <w:p w14:paraId="0A37F25F"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Efficiency</w:t>
            </w:r>
          </w:p>
        </w:tc>
        <w:tc>
          <w:tcPr>
            <w:tcW w:w="667" w:type="pct"/>
          </w:tcPr>
          <w:p w14:paraId="1F59CD1A"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Satisfactory</w:t>
            </w:r>
          </w:p>
        </w:tc>
        <w:tc>
          <w:tcPr>
            <w:tcW w:w="1859" w:type="pct"/>
          </w:tcPr>
          <w:p w14:paraId="531E26D3"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Institutional framework and governance:</w:t>
            </w:r>
          </w:p>
        </w:tc>
        <w:tc>
          <w:tcPr>
            <w:tcW w:w="1062" w:type="pct"/>
          </w:tcPr>
          <w:p w14:paraId="46C45853"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Likely</w:t>
            </w:r>
          </w:p>
        </w:tc>
      </w:tr>
      <w:tr w:rsidR="00A30042" w:rsidRPr="00362EE6" w14:paraId="06513F85" w14:textId="77777777" w:rsidTr="004F3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2" w:type="pct"/>
          </w:tcPr>
          <w:p w14:paraId="61735DC8"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Overall rating of project results</w:t>
            </w:r>
          </w:p>
        </w:tc>
        <w:tc>
          <w:tcPr>
            <w:tcW w:w="667" w:type="pct"/>
          </w:tcPr>
          <w:p w14:paraId="21E19C66"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Moderately Satisfactory</w:t>
            </w:r>
          </w:p>
        </w:tc>
        <w:tc>
          <w:tcPr>
            <w:tcW w:w="1859" w:type="pct"/>
          </w:tcPr>
          <w:p w14:paraId="6739A741"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Environmental:</w:t>
            </w:r>
          </w:p>
        </w:tc>
        <w:tc>
          <w:tcPr>
            <w:tcW w:w="1062" w:type="pct"/>
          </w:tcPr>
          <w:p w14:paraId="29D25D47"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Likely</w:t>
            </w:r>
          </w:p>
        </w:tc>
      </w:tr>
      <w:tr w:rsidR="00A30042" w:rsidRPr="00362EE6" w14:paraId="092F50A8" w14:textId="77777777" w:rsidTr="004F3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2" w:type="pct"/>
          </w:tcPr>
          <w:p w14:paraId="75FE72CE"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Impact</w:t>
            </w:r>
          </w:p>
        </w:tc>
        <w:tc>
          <w:tcPr>
            <w:tcW w:w="667" w:type="pct"/>
          </w:tcPr>
          <w:p w14:paraId="3D875075"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High</w:t>
            </w:r>
          </w:p>
        </w:tc>
        <w:tc>
          <w:tcPr>
            <w:tcW w:w="1859" w:type="pct"/>
          </w:tcPr>
          <w:p w14:paraId="0B2669A8" w14:textId="77777777" w:rsidR="00A30042" w:rsidRPr="00362EE6" w:rsidRDefault="00A30042" w:rsidP="004F3D70">
            <w:pPr>
              <w:spacing w:after="0" w:line="280" w:lineRule="auto"/>
              <w:rPr>
                <w:rFonts w:ascii="Calibri" w:hAnsi="Calibri" w:cs="Calibri"/>
                <w:sz w:val="18"/>
                <w:szCs w:val="24"/>
              </w:rPr>
            </w:pPr>
            <w:r w:rsidRPr="00362EE6">
              <w:rPr>
                <w:rFonts w:ascii="Calibri" w:hAnsi="Calibri" w:cs="Calibri"/>
                <w:sz w:val="18"/>
                <w:szCs w:val="24"/>
              </w:rPr>
              <w:t>The overall probability of sustainability:</w:t>
            </w:r>
          </w:p>
        </w:tc>
        <w:tc>
          <w:tcPr>
            <w:tcW w:w="1062" w:type="pct"/>
          </w:tcPr>
          <w:p w14:paraId="5BAFFAA4" w14:textId="77777777" w:rsidR="00A30042" w:rsidRPr="00362EE6" w:rsidRDefault="00A30042" w:rsidP="004F3D70">
            <w:pPr>
              <w:spacing w:after="0"/>
              <w:rPr>
                <w:rFonts w:ascii="Calibri" w:hAnsi="Calibri" w:cs="Calibri"/>
                <w:sz w:val="18"/>
                <w:szCs w:val="24"/>
              </w:rPr>
            </w:pPr>
            <w:r w:rsidRPr="00362EE6">
              <w:rPr>
                <w:rFonts w:ascii="Calibri" w:hAnsi="Calibri" w:cs="Calibri"/>
                <w:sz w:val="18"/>
                <w:szCs w:val="24"/>
              </w:rPr>
              <w:t>Moderately unlikely</w:t>
            </w:r>
          </w:p>
        </w:tc>
      </w:tr>
    </w:tbl>
    <w:p w14:paraId="7735DFCC" w14:textId="77777777" w:rsidR="00A30042" w:rsidRPr="00362EE6" w:rsidRDefault="00A30042" w:rsidP="00A30042"/>
    <w:p w14:paraId="68D779BC" w14:textId="77777777" w:rsidR="00A30042" w:rsidRPr="00362EE6" w:rsidRDefault="00A30042" w:rsidP="00A30042">
      <w:r w:rsidRPr="00362EE6">
        <w:rPr>
          <w:color w:val="30818D"/>
          <w:sz w:val="28"/>
          <w:szCs w:val="28"/>
        </w:rPr>
        <w:t>Summary of conclusions, recommendations, and lessons</w:t>
      </w:r>
    </w:p>
    <w:p w14:paraId="2D661F67" w14:textId="77777777" w:rsidR="00A30042" w:rsidRPr="00362EE6" w:rsidRDefault="00A30042" w:rsidP="00A30042">
      <w:pPr>
        <w:spacing w:line="360" w:lineRule="auto"/>
        <w:jc w:val="both"/>
      </w:pPr>
      <w:r w:rsidRPr="00362EE6">
        <w:rPr>
          <w:b/>
        </w:rPr>
        <w:t>Findings and Conclusions</w:t>
      </w:r>
    </w:p>
    <w:p w14:paraId="41CF80CB" w14:textId="77777777" w:rsidR="00A30042" w:rsidRPr="00362EE6" w:rsidRDefault="00A30042" w:rsidP="00A30042">
      <w:pPr>
        <w:numPr>
          <w:ilvl w:val="0"/>
          <w:numId w:val="4"/>
        </w:numPr>
        <w:spacing w:line="360" w:lineRule="auto"/>
        <w:jc w:val="both"/>
      </w:pPr>
      <w:r>
        <w:lastRenderedPageBreak/>
        <w:t>The evaluation concludes that the project was relevant from the onset and continues to be so because it focuses on an environmental and development priority that is aligned with the interests of Costa Rica, UNDP, GEF, the environment in general, the agricultural sector, and local producers.</w:t>
      </w:r>
    </w:p>
    <w:p w14:paraId="508CC56F" w14:textId="77777777" w:rsidR="00A30042" w:rsidRPr="00362EE6" w:rsidRDefault="00A30042" w:rsidP="00A30042">
      <w:pPr>
        <w:numPr>
          <w:ilvl w:val="0"/>
          <w:numId w:val="4"/>
        </w:numPr>
        <w:spacing w:line="360" w:lineRule="auto"/>
        <w:jc w:val="both"/>
      </w:pPr>
      <w:r>
        <w:t>The initial design assumed several postulations and hypotheses, as political factors outside the control of the project, which affected the implementation because the contexts and the dynamics are changing, the priorities and the stakeholders involved were also changing over time.</w:t>
      </w:r>
    </w:p>
    <w:p w14:paraId="437F1D6C" w14:textId="77777777" w:rsidR="00A30042" w:rsidRPr="00362EE6" w:rsidRDefault="00A30042" w:rsidP="00A30042">
      <w:pPr>
        <w:numPr>
          <w:ilvl w:val="0"/>
          <w:numId w:val="4"/>
        </w:numPr>
        <w:spacing w:line="360" w:lineRule="auto"/>
        <w:jc w:val="both"/>
      </w:pPr>
      <w:r>
        <w:t>The design of the project was very ambitious due to the magnitude of the goals in three significant areas: creation of products from biogenetic resources, application of the protocol of Nagoya and the negotiation of distribution of benefits in the country as a demonstrative experience.</w:t>
      </w:r>
    </w:p>
    <w:p w14:paraId="7E9899DD" w14:textId="77777777" w:rsidR="00A30042" w:rsidRPr="00362EE6" w:rsidRDefault="00A30042" w:rsidP="00A30042">
      <w:pPr>
        <w:numPr>
          <w:ilvl w:val="0"/>
          <w:numId w:val="4"/>
        </w:numPr>
        <w:spacing w:line="360" w:lineRule="auto"/>
        <w:jc w:val="both"/>
      </w:pPr>
      <w:r>
        <w:t xml:space="preserve">The main risk that affected the performance of the project was the political will in the case of the ratification of the Nagoya Protocol, </w:t>
      </w:r>
      <w:proofErr w:type="gramStart"/>
      <w:r>
        <w:t>and also</w:t>
      </w:r>
      <w:proofErr w:type="gramEnd"/>
      <w:r>
        <w:t xml:space="preserve"> the institutional crisis of INBIO, the field experiments have not yet been concluded to determine if there is adequate control of diseases or </w:t>
      </w:r>
      <w:r w:rsidRPr="00A235BC">
        <w:t>pests or an increment in crops resistance deriving</w:t>
      </w:r>
      <w:r>
        <w:t xml:space="preserve"> from biological products. These risks are beyond the project and could not be mitigated without changing the structural design of the project.</w:t>
      </w:r>
    </w:p>
    <w:p w14:paraId="3F53A720" w14:textId="77777777" w:rsidR="00A30042" w:rsidRPr="00362EE6" w:rsidRDefault="00A30042" w:rsidP="00A30042">
      <w:pPr>
        <w:numPr>
          <w:ilvl w:val="0"/>
          <w:numId w:val="4"/>
        </w:numPr>
        <w:spacing w:line="360" w:lineRule="auto"/>
        <w:jc w:val="both"/>
      </w:pPr>
      <w:r w:rsidRPr="00362EE6">
        <w:t>The comparative advantage of UNDP was the technical capacity in the implementation of projects for the conservation of the environment and biodiversity</w:t>
      </w:r>
      <w:r>
        <w:t xml:space="preserve">, </w:t>
      </w:r>
      <w:proofErr w:type="gramStart"/>
      <w:r>
        <w:rPr>
          <w:lang w:val="en"/>
        </w:rPr>
        <w:t>and also</w:t>
      </w:r>
      <w:proofErr w:type="gramEnd"/>
      <w:r>
        <w:rPr>
          <w:lang w:val="en"/>
        </w:rPr>
        <w:t xml:space="preserve"> the vision that of the potential of Costa Rica to be one of the leaders in the world in the application of the Nagoya protocol.</w:t>
      </w:r>
    </w:p>
    <w:p w14:paraId="073F4993" w14:textId="77777777" w:rsidR="00A30042" w:rsidRPr="00362EE6" w:rsidRDefault="00A30042" w:rsidP="00A30042">
      <w:pPr>
        <w:numPr>
          <w:ilvl w:val="0"/>
          <w:numId w:val="4"/>
        </w:numPr>
        <w:spacing w:line="360" w:lineRule="auto"/>
        <w:jc w:val="both"/>
      </w:pPr>
      <w:r>
        <w:t xml:space="preserve">The project included standard tools for the M&amp;E of the GEF budget, with quality outcome indicators. </w:t>
      </w:r>
      <w:r w:rsidRPr="00A235BC">
        <w:t>The most prominent results of the project were: technical</w:t>
      </w:r>
      <w:r>
        <w:t xml:space="preserve"> and scientific progress in the development of biological products for the control of pests, scientific information of great use on the process, and the agreement between different stakeholders to share benefits between users and producers of biological resources. It is important to highlight that this project managed to involve companies from the private sector (with working experience in agrochemical sectors), academia, NGOs and international cooperation around an initiative of biological products to reduce the use of </w:t>
      </w:r>
      <w:r>
        <w:lastRenderedPageBreak/>
        <w:t>agrochemicals. Despite some delays, the expected results, goals and indicators were mostly achieved.</w:t>
      </w:r>
    </w:p>
    <w:p w14:paraId="21F642CD" w14:textId="77777777" w:rsidR="00A30042" w:rsidRPr="00362EE6" w:rsidRDefault="00A30042" w:rsidP="00A30042">
      <w:pPr>
        <w:numPr>
          <w:ilvl w:val="0"/>
          <w:numId w:val="4"/>
        </w:numPr>
        <w:spacing w:line="360" w:lineRule="auto"/>
        <w:jc w:val="both"/>
      </w:pPr>
      <w:r w:rsidRPr="00362EE6">
        <w:t>The project delivered a series of high-quality products that can be used by stakeholders, the government or third parties to generate positive changes and more favorable conditions for the use of biological diversity in reducing the chemical load for synthetic agricultural products.</w:t>
      </w:r>
    </w:p>
    <w:p w14:paraId="7F6D875D" w14:textId="77777777" w:rsidR="00A30042" w:rsidRPr="00362EE6" w:rsidRDefault="00A30042" w:rsidP="00A30042">
      <w:pPr>
        <w:numPr>
          <w:ilvl w:val="0"/>
          <w:numId w:val="4"/>
        </w:numPr>
        <w:spacing w:line="360" w:lineRule="auto"/>
        <w:jc w:val="both"/>
      </w:pPr>
      <w:r w:rsidRPr="00362EE6">
        <w:t xml:space="preserve">The project had to </w:t>
      </w:r>
      <w:r>
        <w:t>extend</w:t>
      </w:r>
      <w:r w:rsidRPr="00362EE6">
        <w:t xml:space="preserve"> its execution period (18 months) due to implementation problems due to financial problems and administrative management of the INBIO implementing agency.</w:t>
      </w:r>
    </w:p>
    <w:p w14:paraId="27EEF346" w14:textId="77777777" w:rsidR="00A30042" w:rsidRPr="00362EE6" w:rsidRDefault="00A30042" w:rsidP="00A30042">
      <w:pPr>
        <w:numPr>
          <w:ilvl w:val="0"/>
          <w:numId w:val="4"/>
        </w:numPr>
        <w:spacing w:line="360" w:lineRule="auto"/>
        <w:jc w:val="both"/>
        <w:rPr>
          <w:b/>
        </w:rPr>
      </w:pPr>
      <w:r w:rsidRPr="00362EE6">
        <w:t>The project supports a multi-year research initiative, managing to reduce the learning curve in a sector of research that is characterized by many years and high amounts of investment to achieve viable, active ingredients.</w:t>
      </w:r>
    </w:p>
    <w:p w14:paraId="14F77AE8" w14:textId="77777777" w:rsidR="00A30042" w:rsidRPr="00362EE6" w:rsidRDefault="00A30042" w:rsidP="00A30042">
      <w:pPr>
        <w:numPr>
          <w:ilvl w:val="0"/>
          <w:numId w:val="4"/>
        </w:numPr>
        <w:spacing w:line="360" w:lineRule="auto"/>
        <w:jc w:val="both"/>
        <w:rPr>
          <w:b/>
          <w:bCs/>
        </w:rPr>
      </w:pPr>
      <w:r w:rsidRPr="236C0BB4">
        <w:rPr>
          <w:lang w:val="en"/>
        </w:rPr>
        <w:t xml:space="preserve">Sustainability is the </w:t>
      </w:r>
      <w:r w:rsidRPr="00A235BC">
        <w:rPr>
          <w:lang w:val="en"/>
        </w:rPr>
        <w:t xml:space="preserve">main concern of the evaluation of this project; at the date of conclusion of the evaluation there is no hard data </w:t>
      </w:r>
      <w:r w:rsidRPr="236C0BB4">
        <w:rPr>
          <w:lang w:val="en"/>
        </w:rPr>
        <w:t>to affirm the commercial viability of the biological products and therefore their use. The financial situation of INBIO is also an adverse factor of sustainability, which although it can be overcome, there is no guarantee of its continuity.</w:t>
      </w:r>
    </w:p>
    <w:p w14:paraId="7532CBC7" w14:textId="77777777" w:rsidR="00A30042" w:rsidRPr="00362EE6" w:rsidRDefault="00A30042" w:rsidP="00A30042">
      <w:pPr>
        <w:spacing w:line="360" w:lineRule="auto"/>
        <w:ind w:left="360"/>
        <w:jc w:val="both"/>
      </w:pPr>
      <w:r w:rsidRPr="00362EE6">
        <w:rPr>
          <w:b/>
        </w:rPr>
        <w:t>Design and programming recommendations for future interventions (UNDP - GEF):</w:t>
      </w:r>
    </w:p>
    <w:p w14:paraId="38C085A8" w14:textId="77777777" w:rsidR="00A30042" w:rsidRPr="00362EE6" w:rsidRDefault="00A30042" w:rsidP="00A30042">
      <w:pPr>
        <w:pStyle w:val="Prrafodelista"/>
        <w:numPr>
          <w:ilvl w:val="0"/>
          <w:numId w:val="2"/>
        </w:numPr>
        <w:spacing w:line="360" w:lineRule="auto"/>
        <w:jc w:val="both"/>
      </w:pPr>
      <w:r w:rsidRPr="00362EE6">
        <w:t>Regarding the design and programming of similar interventions in the future, the evaluation recommends establishing the specific problem to be solved from the beginning, with a theory of change according to where the route is visualized from the inputs, activities, and products to the expected results or effects.</w:t>
      </w:r>
    </w:p>
    <w:p w14:paraId="4CD45B51" w14:textId="77777777" w:rsidR="00A30042" w:rsidRPr="00362EE6" w:rsidRDefault="00A30042" w:rsidP="00A30042">
      <w:pPr>
        <w:pStyle w:val="Prrafodelista"/>
        <w:numPr>
          <w:ilvl w:val="0"/>
          <w:numId w:val="2"/>
        </w:numPr>
        <w:spacing w:line="360" w:lineRule="auto"/>
        <w:jc w:val="both"/>
      </w:pPr>
      <w:r w:rsidRPr="00362EE6">
        <w:t xml:space="preserve"> Investments must be made in products that can be achieved through projects that do not depend on external factors or political will (for example, ratification of treaties). Considering the political swings is essential. </w:t>
      </w:r>
    </w:p>
    <w:p w14:paraId="09C011BD" w14:textId="77777777" w:rsidR="00A30042" w:rsidRPr="00362EE6" w:rsidRDefault="00A30042" w:rsidP="00A30042">
      <w:pPr>
        <w:pStyle w:val="Prrafodelista"/>
        <w:numPr>
          <w:ilvl w:val="0"/>
          <w:numId w:val="2"/>
        </w:numPr>
        <w:spacing w:line="360" w:lineRule="auto"/>
        <w:jc w:val="both"/>
      </w:pPr>
      <w:r w:rsidRPr="00362EE6">
        <w:t>During the design phase, it is essential to analyze the experience of the Nagoya project by including different organizations from different sectors, but especially by linking the private sector and civil society.</w:t>
      </w:r>
    </w:p>
    <w:p w14:paraId="287534F0" w14:textId="77777777" w:rsidR="00A30042" w:rsidRDefault="00A30042" w:rsidP="00A30042">
      <w:pPr>
        <w:pStyle w:val="Prrafodelista"/>
        <w:numPr>
          <w:ilvl w:val="0"/>
          <w:numId w:val="2"/>
        </w:numPr>
        <w:spacing w:line="360" w:lineRule="auto"/>
        <w:jc w:val="both"/>
      </w:pPr>
      <w:r w:rsidRPr="00362EE6">
        <w:lastRenderedPageBreak/>
        <w:t>For future interventions that require an implementing agency, it is important to analyze the financial solvency</w:t>
      </w:r>
      <w:r>
        <w:t xml:space="preserve"> in detail</w:t>
      </w:r>
      <w:r>
        <w:rPr>
          <w:rStyle w:val="Refdenotaalpie"/>
        </w:rPr>
        <w:footnoteReference w:id="1"/>
      </w:r>
      <w:r>
        <w:t>,</w:t>
      </w:r>
      <w:r w:rsidRPr="00362EE6">
        <w:t xml:space="preserve"> as well as the technical capacity, experience, and prestige.</w:t>
      </w:r>
    </w:p>
    <w:p w14:paraId="337C9449" w14:textId="77777777" w:rsidR="00A30042" w:rsidRPr="00A30042" w:rsidRDefault="00A30042" w:rsidP="00A30042">
      <w:pPr>
        <w:pStyle w:val="Prrafodelista"/>
        <w:numPr>
          <w:ilvl w:val="0"/>
          <w:numId w:val="2"/>
        </w:numPr>
        <w:spacing w:line="360" w:lineRule="auto"/>
        <w:jc w:val="both"/>
      </w:pPr>
      <w:r w:rsidRPr="00A30042">
        <w:t>All GEF interventions need to consider gender mainstreaming strategies from the onset, as well as a clear link to the achievement of the SDGs.</w:t>
      </w:r>
    </w:p>
    <w:p w14:paraId="4D5177BB" w14:textId="77777777" w:rsidR="00A30042" w:rsidRPr="00362EE6" w:rsidRDefault="00A30042" w:rsidP="00A30042">
      <w:pPr>
        <w:spacing w:line="360" w:lineRule="auto"/>
        <w:jc w:val="both"/>
        <w:rPr>
          <w:b/>
        </w:rPr>
      </w:pPr>
      <w:r w:rsidRPr="00362EE6">
        <w:rPr>
          <w:b/>
        </w:rPr>
        <w:t>Short-term operational recommendations:</w:t>
      </w:r>
    </w:p>
    <w:p w14:paraId="496B1826" w14:textId="77777777" w:rsidR="00A30042" w:rsidRPr="00362EE6" w:rsidRDefault="00A30042" w:rsidP="00A30042">
      <w:pPr>
        <w:pStyle w:val="Prrafodelista"/>
        <w:numPr>
          <w:ilvl w:val="0"/>
          <w:numId w:val="1"/>
        </w:numPr>
        <w:autoSpaceDE w:val="0"/>
        <w:autoSpaceDN w:val="0"/>
        <w:adjustRightInd w:val="0"/>
        <w:spacing w:after="0" w:line="360" w:lineRule="auto"/>
        <w:jc w:val="both"/>
      </w:pPr>
      <w:r w:rsidRPr="00362EE6">
        <w:rPr>
          <w:u w:val="single"/>
        </w:rPr>
        <w:t>Dissemination and communication:</w:t>
      </w:r>
      <w:r w:rsidRPr="00362EE6">
        <w:t xml:space="preserve"> the project should make a compilation of the lessons learned and good practices in the process of negotiating the distribution of benefits,</w:t>
      </w:r>
      <w:r>
        <w:t xml:space="preserve"> focusing on</w:t>
      </w:r>
      <w:r w:rsidRPr="00362EE6">
        <w:t xml:space="preserve"> the active participation of different organizations, the incentives to keep </w:t>
      </w:r>
      <w:r>
        <w:t>an active</w:t>
      </w:r>
      <w:r w:rsidRPr="00362EE6">
        <w:t xml:space="preserve"> collaboration, </w:t>
      </w:r>
      <w:r>
        <w:t xml:space="preserve">and the human </w:t>
      </w:r>
      <w:r w:rsidRPr="00362EE6">
        <w:t xml:space="preserve">process of </w:t>
      </w:r>
      <w:r>
        <w:t>Biological</w:t>
      </w:r>
      <w:r w:rsidRPr="00362EE6">
        <w:t xml:space="preserve"> products. This information can be translated into a common language, identifying key messages and narratives to disseminate through the UNDP website, email lists, media, and social networks. Likewise, this information can be used for the systematization of Nagoya experiences.</w:t>
      </w:r>
    </w:p>
    <w:p w14:paraId="2C8A5421" w14:textId="77777777" w:rsidR="00A30042" w:rsidRPr="00362EE6" w:rsidRDefault="00A30042" w:rsidP="00A30042">
      <w:pPr>
        <w:pStyle w:val="Prrafodelista"/>
        <w:numPr>
          <w:ilvl w:val="0"/>
          <w:numId w:val="1"/>
        </w:numPr>
        <w:autoSpaceDE w:val="0"/>
        <w:autoSpaceDN w:val="0"/>
        <w:adjustRightInd w:val="0"/>
        <w:spacing w:after="0" w:line="360" w:lineRule="auto"/>
        <w:jc w:val="both"/>
      </w:pPr>
      <w:r w:rsidRPr="00362EE6">
        <w:t xml:space="preserve">The project needs to elaborate a detailed exit strategy, establishing the steps to be taken and </w:t>
      </w:r>
      <w:r w:rsidRPr="00362EE6">
        <w:rPr>
          <w:u w:val="single"/>
        </w:rPr>
        <w:t>pending issues</w:t>
      </w:r>
      <w:r w:rsidRPr="00362EE6">
        <w:t xml:space="preserve"> (for example, the appropriation of the project by the stakeholders involved, viability strategies for INBIO, management of missing data on commercial viability and economic, possible investment by the actors involved and / or third parties, possible linking of the lessons of this project to the portfolio of UNDP projects).</w:t>
      </w:r>
    </w:p>
    <w:p w14:paraId="51CA4629" w14:textId="77777777" w:rsidR="00A30042" w:rsidRDefault="00A30042" w:rsidP="00A30042">
      <w:pPr>
        <w:rPr>
          <w:b/>
        </w:rPr>
      </w:pPr>
    </w:p>
    <w:p w14:paraId="57F27A5F" w14:textId="77777777" w:rsidR="00A30042" w:rsidRPr="00362EE6" w:rsidRDefault="00A30042" w:rsidP="00A30042">
      <w:pPr>
        <w:rPr>
          <w:b/>
        </w:rPr>
      </w:pPr>
      <w:bookmarkStart w:id="1" w:name="_GoBack"/>
      <w:bookmarkEnd w:id="1"/>
      <w:r>
        <w:rPr>
          <w:b/>
        </w:rPr>
        <w:t>Lessons learned</w:t>
      </w:r>
    </w:p>
    <w:p w14:paraId="0C4D626F" w14:textId="77777777" w:rsidR="00A30042" w:rsidRPr="00362EE6" w:rsidRDefault="00A30042" w:rsidP="00A30042">
      <w:pPr>
        <w:numPr>
          <w:ilvl w:val="0"/>
          <w:numId w:val="3"/>
        </w:numPr>
        <w:spacing w:line="276" w:lineRule="auto"/>
      </w:pPr>
      <w:r w:rsidRPr="00362EE6">
        <w:t>Every design must include from the beginning a clear theory of change that allows identifying the chain of results from the inputs, through the activities, products and expected results.</w:t>
      </w:r>
    </w:p>
    <w:p w14:paraId="0FC60096" w14:textId="77777777" w:rsidR="00A30042" w:rsidRPr="00362EE6" w:rsidRDefault="00A30042" w:rsidP="00A30042">
      <w:pPr>
        <w:numPr>
          <w:ilvl w:val="0"/>
          <w:numId w:val="3"/>
        </w:numPr>
        <w:spacing w:line="276" w:lineRule="auto"/>
      </w:pPr>
      <w:r w:rsidRPr="00362EE6">
        <w:t>The number of goals and objectives, as well as their scope, must be carefully contemplated to avoid ambitious designs.</w:t>
      </w:r>
    </w:p>
    <w:p w14:paraId="3A11402D" w14:textId="77777777" w:rsidR="00A30042" w:rsidRPr="00362EE6" w:rsidRDefault="00A30042" w:rsidP="00A30042">
      <w:pPr>
        <w:numPr>
          <w:ilvl w:val="0"/>
          <w:numId w:val="3"/>
        </w:numPr>
        <w:spacing w:line="276" w:lineRule="auto"/>
      </w:pPr>
      <w:r w:rsidRPr="00362EE6">
        <w:lastRenderedPageBreak/>
        <w:t>Projects should not include expected results or impacts that depend mainly on external factors.</w:t>
      </w:r>
    </w:p>
    <w:p w14:paraId="42D7D557" w14:textId="77777777" w:rsidR="00094A91" w:rsidRDefault="00094A91"/>
    <w:sectPr w:rsidR="00094A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776D" w14:textId="77777777" w:rsidR="00A30042" w:rsidRDefault="00A30042" w:rsidP="00A30042">
      <w:pPr>
        <w:spacing w:after="0" w:line="240" w:lineRule="auto"/>
      </w:pPr>
      <w:r>
        <w:separator/>
      </w:r>
    </w:p>
  </w:endnote>
  <w:endnote w:type="continuationSeparator" w:id="0">
    <w:p w14:paraId="21740AFB" w14:textId="77777777" w:rsidR="00A30042" w:rsidRDefault="00A30042" w:rsidP="00A3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62BC" w14:textId="77777777" w:rsidR="00A30042" w:rsidRDefault="00A30042" w:rsidP="00A30042">
      <w:pPr>
        <w:spacing w:after="0" w:line="240" w:lineRule="auto"/>
      </w:pPr>
      <w:r>
        <w:separator/>
      </w:r>
    </w:p>
  </w:footnote>
  <w:footnote w:type="continuationSeparator" w:id="0">
    <w:p w14:paraId="04322321" w14:textId="77777777" w:rsidR="00A30042" w:rsidRDefault="00A30042" w:rsidP="00A30042">
      <w:pPr>
        <w:spacing w:after="0" w:line="240" w:lineRule="auto"/>
      </w:pPr>
      <w:r>
        <w:continuationSeparator/>
      </w:r>
    </w:p>
  </w:footnote>
  <w:footnote w:id="1">
    <w:p w14:paraId="757C1AF0" w14:textId="77777777" w:rsidR="00A30042" w:rsidRDefault="00A30042" w:rsidP="00A30042">
      <w:pPr>
        <w:pStyle w:val="Textonotapie"/>
      </w:pPr>
      <w:r>
        <w:rPr>
          <w:rStyle w:val="Refdenotaalpie"/>
        </w:rPr>
        <w:footnoteRef/>
      </w:r>
      <w:r>
        <w:t xml:space="preserve"> </w:t>
      </w:r>
      <w:r>
        <w:rPr>
          <w:lang w:val="en"/>
        </w:rPr>
        <w:t>The risk analysis was complex to perform for the implementing agency, since it was an organization with more than 20 years, positioned not only nationally but internationally with political and financial support from the governments for the last 20 years. In terms of financial solvency, the micro evaluation (HACT) had shown low risk.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C10"/>
    <w:multiLevelType w:val="hybridMultilevel"/>
    <w:tmpl w:val="C5D88D8C"/>
    <w:lvl w:ilvl="0" w:tplc="E58E26E2">
      <w:start w:val="1"/>
      <w:numFmt w:val="bullet"/>
      <w:lvlText w:val=""/>
      <w:lvlJc w:val="left"/>
      <w:pPr>
        <w:ind w:left="720" w:hanging="360"/>
      </w:pPr>
      <w:rPr>
        <w:rFonts w:ascii="Symbol" w:hAnsi="Symbol" w:hint="default"/>
      </w:rPr>
    </w:lvl>
    <w:lvl w:ilvl="1" w:tplc="040CB2F4" w:tentative="1">
      <w:start w:val="1"/>
      <w:numFmt w:val="bullet"/>
      <w:lvlText w:val="o"/>
      <w:lvlJc w:val="left"/>
      <w:pPr>
        <w:ind w:left="1440" w:hanging="360"/>
      </w:pPr>
      <w:rPr>
        <w:rFonts w:ascii="Courier New" w:hAnsi="Courier New" w:cs="Courier New" w:hint="default"/>
      </w:rPr>
    </w:lvl>
    <w:lvl w:ilvl="2" w:tplc="A9884F40" w:tentative="1">
      <w:start w:val="1"/>
      <w:numFmt w:val="bullet"/>
      <w:lvlText w:val=""/>
      <w:lvlJc w:val="left"/>
      <w:pPr>
        <w:ind w:left="2160" w:hanging="360"/>
      </w:pPr>
      <w:rPr>
        <w:rFonts w:ascii="Wingdings" w:hAnsi="Wingdings" w:hint="default"/>
      </w:rPr>
    </w:lvl>
    <w:lvl w:ilvl="3" w:tplc="C0204136" w:tentative="1">
      <w:start w:val="1"/>
      <w:numFmt w:val="bullet"/>
      <w:lvlText w:val=""/>
      <w:lvlJc w:val="left"/>
      <w:pPr>
        <w:ind w:left="2880" w:hanging="360"/>
      </w:pPr>
      <w:rPr>
        <w:rFonts w:ascii="Symbol" w:hAnsi="Symbol" w:hint="default"/>
      </w:rPr>
    </w:lvl>
    <w:lvl w:ilvl="4" w:tplc="16763660" w:tentative="1">
      <w:start w:val="1"/>
      <w:numFmt w:val="bullet"/>
      <w:lvlText w:val="o"/>
      <w:lvlJc w:val="left"/>
      <w:pPr>
        <w:ind w:left="3600" w:hanging="360"/>
      </w:pPr>
      <w:rPr>
        <w:rFonts w:ascii="Courier New" w:hAnsi="Courier New" w:cs="Courier New" w:hint="default"/>
      </w:rPr>
    </w:lvl>
    <w:lvl w:ilvl="5" w:tplc="71924FC4" w:tentative="1">
      <w:start w:val="1"/>
      <w:numFmt w:val="bullet"/>
      <w:lvlText w:val=""/>
      <w:lvlJc w:val="left"/>
      <w:pPr>
        <w:ind w:left="4320" w:hanging="360"/>
      </w:pPr>
      <w:rPr>
        <w:rFonts w:ascii="Wingdings" w:hAnsi="Wingdings" w:hint="default"/>
      </w:rPr>
    </w:lvl>
    <w:lvl w:ilvl="6" w:tplc="AB625EEE" w:tentative="1">
      <w:start w:val="1"/>
      <w:numFmt w:val="bullet"/>
      <w:lvlText w:val=""/>
      <w:lvlJc w:val="left"/>
      <w:pPr>
        <w:ind w:left="5040" w:hanging="360"/>
      </w:pPr>
      <w:rPr>
        <w:rFonts w:ascii="Symbol" w:hAnsi="Symbol" w:hint="default"/>
      </w:rPr>
    </w:lvl>
    <w:lvl w:ilvl="7" w:tplc="4A7E4B90" w:tentative="1">
      <w:start w:val="1"/>
      <w:numFmt w:val="bullet"/>
      <w:lvlText w:val="o"/>
      <w:lvlJc w:val="left"/>
      <w:pPr>
        <w:ind w:left="5760" w:hanging="360"/>
      </w:pPr>
      <w:rPr>
        <w:rFonts w:ascii="Courier New" w:hAnsi="Courier New" w:cs="Courier New" w:hint="default"/>
      </w:rPr>
    </w:lvl>
    <w:lvl w:ilvl="8" w:tplc="25E04904" w:tentative="1">
      <w:start w:val="1"/>
      <w:numFmt w:val="bullet"/>
      <w:lvlText w:val=""/>
      <w:lvlJc w:val="left"/>
      <w:pPr>
        <w:ind w:left="6480" w:hanging="360"/>
      </w:pPr>
      <w:rPr>
        <w:rFonts w:ascii="Wingdings" w:hAnsi="Wingdings" w:hint="default"/>
      </w:rPr>
    </w:lvl>
  </w:abstractNum>
  <w:abstractNum w:abstractNumId="1" w15:restartNumberingAfterBreak="0">
    <w:nsid w:val="1187123F"/>
    <w:multiLevelType w:val="hybridMultilevel"/>
    <w:tmpl w:val="3C1456B6"/>
    <w:lvl w:ilvl="0" w:tplc="9300CC96">
      <w:start w:val="1"/>
      <w:numFmt w:val="bullet"/>
      <w:lvlText w:val=""/>
      <w:lvlJc w:val="left"/>
      <w:pPr>
        <w:ind w:left="720" w:hanging="360"/>
      </w:pPr>
      <w:rPr>
        <w:rFonts w:ascii="Symbol" w:hAnsi="Symbol" w:hint="default"/>
      </w:rPr>
    </w:lvl>
    <w:lvl w:ilvl="1" w:tplc="2618E986" w:tentative="1">
      <w:start w:val="1"/>
      <w:numFmt w:val="bullet"/>
      <w:lvlText w:val="o"/>
      <w:lvlJc w:val="left"/>
      <w:pPr>
        <w:ind w:left="1440" w:hanging="360"/>
      </w:pPr>
      <w:rPr>
        <w:rFonts w:ascii="Courier New" w:hAnsi="Courier New" w:cs="Courier New" w:hint="default"/>
      </w:rPr>
    </w:lvl>
    <w:lvl w:ilvl="2" w:tplc="639E223A" w:tentative="1">
      <w:start w:val="1"/>
      <w:numFmt w:val="bullet"/>
      <w:lvlText w:val=""/>
      <w:lvlJc w:val="left"/>
      <w:pPr>
        <w:ind w:left="2160" w:hanging="360"/>
      </w:pPr>
      <w:rPr>
        <w:rFonts w:ascii="Wingdings" w:hAnsi="Wingdings" w:hint="default"/>
      </w:rPr>
    </w:lvl>
    <w:lvl w:ilvl="3" w:tplc="91167822" w:tentative="1">
      <w:start w:val="1"/>
      <w:numFmt w:val="bullet"/>
      <w:lvlText w:val=""/>
      <w:lvlJc w:val="left"/>
      <w:pPr>
        <w:ind w:left="2880" w:hanging="360"/>
      </w:pPr>
      <w:rPr>
        <w:rFonts w:ascii="Symbol" w:hAnsi="Symbol" w:hint="default"/>
      </w:rPr>
    </w:lvl>
    <w:lvl w:ilvl="4" w:tplc="2AA0BEDC" w:tentative="1">
      <w:start w:val="1"/>
      <w:numFmt w:val="bullet"/>
      <w:lvlText w:val="o"/>
      <w:lvlJc w:val="left"/>
      <w:pPr>
        <w:ind w:left="3600" w:hanging="360"/>
      </w:pPr>
      <w:rPr>
        <w:rFonts w:ascii="Courier New" w:hAnsi="Courier New" w:cs="Courier New" w:hint="default"/>
      </w:rPr>
    </w:lvl>
    <w:lvl w:ilvl="5" w:tplc="B8A40898" w:tentative="1">
      <w:start w:val="1"/>
      <w:numFmt w:val="bullet"/>
      <w:lvlText w:val=""/>
      <w:lvlJc w:val="left"/>
      <w:pPr>
        <w:ind w:left="4320" w:hanging="360"/>
      </w:pPr>
      <w:rPr>
        <w:rFonts w:ascii="Wingdings" w:hAnsi="Wingdings" w:hint="default"/>
      </w:rPr>
    </w:lvl>
    <w:lvl w:ilvl="6" w:tplc="F0FEEE58" w:tentative="1">
      <w:start w:val="1"/>
      <w:numFmt w:val="bullet"/>
      <w:lvlText w:val=""/>
      <w:lvlJc w:val="left"/>
      <w:pPr>
        <w:ind w:left="5040" w:hanging="360"/>
      </w:pPr>
      <w:rPr>
        <w:rFonts w:ascii="Symbol" w:hAnsi="Symbol" w:hint="default"/>
      </w:rPr>
    </w:lvl>
    <w:lvl w:ilvl="7" w:tplc="5ACE0A4C" w:tentative="1">
      <w:start w:val="1"/>
      <w:numFmt w:val="bullet"/>
      <w:lvlText w:val="o"/>
      <w:lvlJc w:val="left"/>
      <w:pPr>
        <w:ind w:left="5760" w:hanging="360"/>
      </w:pPr>
      <w:rPr>
        <w:rFonts w:ascii="Courier New" w:hAnsi="Courier New" w:cs="Courier New" w:hint="default"/>
      </w:rPr>
    </w:lvl>
    <w:lvl w:ilvl="8" w:tplc="889073CE" w:tentative="1">
      <w:start w:val="1"/>
      <w:numFmt w:val="bullet"/>
      <w:lvlText w:val=""/>
      <w:lvlJc w:val="left"/>
      <w:pPr>
        <w:ind w:left="6480" w:hanging="360"/>
      </w:pPr>
      <w:rPr>
        <w:rFonts w:ascii="Wingdings" w:hAnsi="Wingdings" w:hint="default"/>
      </w:rPr>
    </w:lvl>
  </w:abstractNum>
  <w:abstractNum w:abstractNumId="2" w15:restartNumberingAfterBreak="0">
    <w:nsid w:val="4EEE5741"/>
    <w:multiLevelType w:val="hybridMultilevel"/>
    <w:tmpl w:val="27B4AA72"/>
    <w:lvl w:ilvl="0" w:tplc="B09491FE">
      <w:numFmt w:val="bullet"/>
      <w:lvlText w:val="•"/>
      <w:lvlJc w:val="left"/>
      <w:pPr>
        <w:ind w:left="1080" w:hanging="720"/>
      </w:pPr>
      <w:rPr>
        <w:rFonts w:ascii="Corbel" w:eastAsia="Times New Roman" w:hAnsi="Corbel" w:cs="Times New Roman" w:hint="default"/>
      </w:rPr>
    </w:lvl>
    <w:lvl w:ilvl="1" w:tplc="4A62045E">
      <w:start w:val="1"/>
      <w:numFmt w:val="bullet"/>
      <w:lvlText w:val="o"/>
      <w:lvlJc w:val="left"/>
      <w:pPr>
        <w:ind w:left="1440" w:hanging="360"/>
      </w:pPr>
      <w:rPr>
        <w:rFonts w:ascii="Courier New" w:hAnsi="Courier New" w:cs="Courier New" w:hint="default"/>
      </w:rPr>
    </w:lvl>
    <w:lvl w:ilvl="2" w:tplc="F6F80D14" w:tentative="1">
      <w:start w:val="1"/>
      <w:numFmt w:val="bullet"/>
      <w:lvlText w:val=""/>
      <w:lvlJc w:val="left"/>
      <w:pPr>
        <w:ind w:left="2160" w:hanging="360"/>
      </w:pPr>
      <w:rPr>
        <w:rFonts w:ascii="Wingdings" w:hAnsi="Wingdings" w:hint="default"/>
      </w:rPr>
    </w:lvl>
    <w:lvl w:ilvl="3" w:tplc="1BCA9B82" w:tentative="1">
      <w:start w:val="1"/>
      <w:numFmt w:val="bullet"/>
      <w:lvlText w:val=""/>
      <w:lvlJc w:val="left"/>
      <w:pPr>
        <w:ind w:left="2880" w:hanging="360"/>
      </w:pPr>
      <w:rPr>
        <w:rFonts w:ascii="Symbol" w:hAnsi="Symbol" w:hint="default"/>
      </w:rPr>
    </w:lvl>
    <w:lvl w:ilvl="4" w:tplc="41CC8916" w:tentative="1">
      <w:start w:val="1"/>
      <w:numFmt w:val="bullet"/>
      <w:lvlText w:val="o"/>
      <w:lvlJc w:val="left"/>
      <w:pPr>
        <w:ind w:left="3600" w:hanging="360"/>
      </w:pPr>
      <w:rPr>
        <w:rFonts w:ascii="Courier New" w:hAnsi="Courier New" w:cs="Courier New" w:hint="default"/>
      </w:rPr>
    </w:lvl>
    <w:lvl w:ilvl="5" w:tplc="7DF22E76" w:tentative="1">
      <w:start w:val="1"/>
      <w:numFmt w:val="bullet"/>
      <w:lvlText w:val=""/>
      <w:lvlJc w:val="left"/>
      <w:pPr>
        <w:ind w:left="4320" w:hanging="360"/>
      </w:pPr>
      <w:rPr>
        <w:rFonts w:ascii="Wingdings" w:hAnsi="Wingdings" w:hint="default"/>
      </w:rPr>
    </w:lvl>
    <w:lvl w:ilvl="6" w:tplc="AA8095F6" w:tentative="1">
      <w:start w:val="1"/>
      <w:numFmt w:val="bullet"/>
      <w:lvlText w:val=""/>
      <w:lvlJc w:val="left"/>
      <w:pPr>
        <w:ind w:left="5040" w:hanging="360"/>
      </w:pPr>
      <w:rPr>
        <w:rFonts w:ascii="Symbol" w:hAnsi="Symbol" w:hint="default"/>
      </w:rPr>
    </w:lvl>
    <w:lvl w:ilvl="7" w:tplc="873EEE78" w:tentative="1">
      <w:start w:val="1"/>
      <w:numFmt w:val="bullet"/>
      <w:lvlText w:val="o"/>
      <w:lvlJc w:val="left"/>
      <w:pPr>
        <w:ind w:left="5760" w:hanging="360"/>
      </w:pPr>
      <w:rPr>
        <w:rFonts w:ascii="Courier New" w:hAnsi="Courier New" w:cs="Courier New" w:hint="default"/>
      </w:rPr>
    </w:lvl>
    <w:lvl w:ilvl="8" w:tplc="1862BD2A" w:tentative="1">
      <w:start w:val="1"/>
      <w:numFmt w:val="bullet"/>
      <w:lvlText w:val=""/>
      <w:lvlJc w:val="left"/>
      <w:pPr>
        <w:ind w:left="6480" w:hanging="360"/>
      </w:pPr>
      <w:rPr>
        <w:rFonts w:ascii="Wingdings" w:hAnsi="Wingdings" w:hint="default"/>
      </w:rPr>
    </w:lvl>
  </w:abstractNum>
  <w:abstractNum w:abstractNumId="3" w15:restartNumberingAfterBreak="0">
    <w:nsid w:val="58002E43"/>
    <w:multiLevelType w:val="hybridMultilevel"/>
    <w:tmpl w:val="FA06401E"/>
    <w:lvl w:ilvl="0" w:tplc="FA9CFD8E">
      <w:start w:val="1"/>
      <w:numFmt w:val="decimal"/>
      <w:lvlText w:val="%1."/>
      <w:lvlJc w:val="left"/>
      <w:pPr>
        <w:tabs>
          <w:tab w:val="num" w:pos="720"/>
        </w:tabs>
        <w:ind w:left="720" w:hanging="360"/>
      </w:pPr>
      <w:rPr>
        <w:rFonts w:hint="default"/>
      </w:rPr>
    </w:lvl>
    <w:lvl w:ilvl="1" w:tplc="B608F808" w:tentative="1">
      <w:start w:val="1"/>
      <w:numFmt w:val="bullet"/>
      <w:lvlText w:val="•"/>
      <w:lvlJc w:val="left"/>
      <w:pPr>
        <w:tabs>
          <w:tab w:val="num" w:pos="1440"/>
        </w:tabs>
        <w:ind w:left="1440" w:hanging="360"/>
      </w:pPr>
      <w:rPr>
        <w:rFonts w:ascii="Arial" w:hAnsi="Arial" w:hint="default"/>
      </w:rPr>
    </w:lvl>
    <w:lvl w:ilvl="2" w:tplc="0FDCE7FC" w:tentative="1">
      <w:start w:val="1"/>
      <w:numFmt w:val="bullet"/>
      <w:lvlText w:val="•"/>
      <w:lvlJc w:val="left"/>
      <w:pPr>
        <w:tabs>
          <w:tab w:val="num" w:pos="2160"/>
        </w:tabs>
        <w:ind w:left="2160" w:hanging="360"/>
      </w:pPr>
      <w:rPr>
        <w:rFonts w:ascii="Arial" w:hAnsi="Arial" w:hint="default"/>
      </w:rPr>
    </w:lvl>
    <w:lvl w:ilvl="3" w:tplc="49BC3D94" w:tentative="1">
      <w:start w:val="1"/>
      <w:numFmt w:val="bullet"/>
      <w:lvlText w:val="•"/>
      <w:lvlJc w:val="left"/>
      <w:pPr>
        <w:tabs>
          <w:tab w:val="num" w:pos="2880"/>
        </w:tabs>
        <w:ind w:left="2880" w:hanging="360"/>
      </w:pPr>
      <w:rPr>
        <w:rFonts w:ascii="Arial" w:hAnsi="Arial" w:hint="default"/>
      </w:rPr>
    </w:lvl>
    <w:lvl w:ilvl="4" w:tplc="BE72C7E6" w:tentative="1">
      <w:start w:val="1"/>
      <w:numFmt w:val="bullet"/>
      <w:lvlText w:val="•"/>
      <w:lvlJc w:val="left"/>
      <w:pPr>
        <w:tabs>
          <w:tab w:val="num" w:pos="3600"/>
        </w:tabs>
        <w:ind w:left="3600" w:hanging="360"/>
      </w:pPr>
      <w:rPr>
        <w:rFonts w:ascii="Arial" w:hAnsi="Arial" w:hint="default"/>
      </w:rPr>
    </w:lvl>
    <w:lvl w:ilvl="5" w:tplc="3E5A4EE4" w:tentative="1">
      <w:start w:val="1"/>
      <w:numFmt w:val="bullet"/>
      <w:lvlText w:val="•"/>
      <w:lvlJc w:val="left"/>
      <w:pPr>
        <w:tabs>
          <w:tab w:val="num" w:pos="4320"/>
        </w:tabs>
        <w:ind w:left="4320" w:hanging="360"/>
      </w:pPr>
      <w:rPr>
        <w:rFonts w:ascii="Arial" w:hAnsi="Arial" w:hint="default"/>
      </w:rPr>
    </w:lvl>
    <w:lvl w:ilvl="6" w:tplc="D496F454" w:tentative="1">
      <w:start w:val="1"/>
      <w:numFmt w:val="bullet"/>
      <w:lvlText w:val="•"/>
      <w:lvlJc w:val="left"/>
      <w:pPr>
        <w:tabs>
          <w:tab w:val="num" w:pos="5040"/>
        </w:tabs>
        <w:ind w:left="5040" w:hanging="360"/>
      </w:pPr>
      <w:rPr>
        <w:rFonts w:ascii="Arial" w:hAnsi="Arial" w:hint="default"/>
      </w:rPr>
    </w:lvl>
    <w:lvl w:ilvl="7" w:tplc="045C8FDE" w:tentative="1">
      <w:start w:val="1"/>
      <w:numFmt w:val="bullet"/>
      <w:lvlText w:val="•"/>
      <w:lvlJc w:val="left"/>
      <w:pPr>
        <w:tabs>
          <w:tab w:val="num" w:pos="5760"/>
        </w:tabs>
        <w:ind w:left="5760" w:hanging="360"/>
      </w:pPr>
      <w:rPr>
        <w:rFonts w:ascii="Arial" w:hAnsi="Arial" w:hint="default"/>
      </w:rPr>
    </w:lvl>
    <w:lvl w:ilvl="8" w:tplc="BE8221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4F5666"/>
    <w:multiLevelType w:val="hybridMultilevel"/>
    <w:tmpl w:val="AC6A0016"/>
    <w:lvl w:ilvl="0" w:tplc="D944B58C">
      <w:start w:val="1"/>
      <w:numFmt w:val="bullet"/>
      <w:lvlText w:val=""/>
      <w:lvlJc w:val="left"/>
      <w:pPr>
        <w:ind w:left="720" w:hanging="360"/>
      </w:pPr>
      <w:rPr>
        <w:rFonts w:ascii="Symbol" w:hAnsi="Symbol" w:hint="default"/>
      </w:rPr>
    </w:lvl>
    <w:lvl w:ilvl="1" w:tplc="5088E4EE" w:tentative="1">
      <w:start w:val="1"/>
      <w:numFmt w:val="bullet"/>
      <w:lvlText w:val="o"/>
      <w:lvlJc w:val="left"/>
      <w:pPr>
        <w:ind w:left="1440" w:hanging="360"/>
      </w:pPr>
      <w:rPr>
        <w:rFonts w:ascii="Courier New" w:hAnsi="Courier New" w:cs="Courier New" w:hint="default"/>
      </w:rPr>
    </w:lvl>
    <w:lvl w:ilvl="2" w:tplc="05B67E18" w:tentative="1">
      <w:start w:val="1"/>
      <w:numFmt w:val="bullet"/>
      <w:lvlText w:val=""/>
      <w:lvlJc w:val="left"/>
      <w:pPr>
        <w:ind w:left="2160" w:hanging="360"/>
      </w:pPr>
      <w:rPr>
        <w:rFonts w:ascii="Wingdings" w:hAnsi="Wingdings" w:hint="default"/>
      </w:rPr>
    </w:lvl>
    <w:lvl w:ilvl="3" w:tplc="FC668E08" w:tentative="1">
      <w:start w:val="1"/>
      <w:numFmt w:val="bullet"/>
      <w:lvlText w:val=""/>
      <w:lvlJc w:val="left"/>
      <w:pPr>
        <w:ind w:left="2880" w:hanging="360"/>
      </w:pPr>
      <w:rPr>
        <w:rFonts w:ascii="Symbol" w:hAnsi="Symbol" w:hint="default"/>
      </w:rPr>
    </w:lvl>
    <w:lvl w:ilvl="4" w:tplc="69765464" w:tentative="1">
      <w:start w:val="1"/>
      <w:numFmt w:val="bullet"/>
      <w:lvlText w:val="o"/>
      <w:lvlJc w:val="left"/>
      <w:pPr>
        <w:ind w:left="3600" w:hanging="360"/>
      </w:pPr>
      <w:rPr>
        <w:rFonts w:ascii="Courier New" w:hAnsi="Courier New" w:cs="Courier New" w:hint="default"/>
      </w:rPr>
    </w:lvl>
    <w:lvl w:ilvl="5" w:tplc="052EF628" w:tentative="1">
      <w:start w:val="1"/>
      <w:numFmt w:val="bullet"/>
      <w:lvlText w:val=""/>
      <w:lvlJc w:val="left"/>
      <w:pPr>
        <w:ind w:left="4320" w:hanging="360"/>
      </w:pPr>
      <w:rPr>
        <w:rFonts w:ascii="Wingdings" w:hAnsi="Wingdings" w:hint="default"/>
      </w:rPr>
    </w:lvl>
    <w:lvl w:ilvl="6" w:tplc="0D2CAE78" w:tentative="1">
      <w:start w:val="1"/>
      <w:numFmt w:val="bullet"/>
      <w:lvlText w:val=""/>
      <w:lvlJc w:val="left"/>
      <w:pPr>
        <w:ind w:left="5040" w:hanging="360"/>
      </w:pPr>
      <w:rPr>
        <w:rFonts w:ascii="Symbol" w:hAnsi="Symbol" w:hint="default"/>
      </w:rPr>
    </w:lvl>
    <w:lvl w:ilvl="7" w:tplc="E0EA1204" w:tentative="1">
      <w:start w:val="1"/>
      <w:numFmt w:val="bullet"/>
      <w:lvlText w:val="o"/>
      <w:lvlJc w:val="left"/>
      <w:pPr>
        <w:ind w:left="5760" w:hanging="360"/>
      </w:pPr>
      <w:rPr>
        <w:rFonts w:ascii="Courier New" w:hAnsi="Courier New" w:cs="Courier New" w:hint="default"/>
      </w:rPr>
    </w:lvl>
    <w:lvl w:ilvl="8" w:tplc="82F20D2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42"/>
    <w:rsid w:val="00094A91"/>
    <w:rsid w:val="00A300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FF9A"/>
  <w15:chartTrackingRefBased/>
  <w15:docId w15:val="{4ACF0243-BAD0-4703-AB2C-11B8F9B9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042"/>
    <w:rPr>
      <w:rFonts w:ascii="Corbel" w:eastAsia="Times New Roman" w:hAnsi="Corbel" w:cs="Times New Roman"/>
      <w:lang w:val="en-US"/>
    </w:rPr>
  </w:style>
  <w:style w:type="paragraph" w:styleId="Ttulo1">
    <w:name w:val="heading 1"/>
    <w:basedOn w:val="Normal"/>
    <w:next w:val="Normal"/>
    <w:link w:val="Ttulo1Car"/>
    <w:uiPriority w:val="9"/>
    <w:qFormat/>
    <w:rsid w:val="00A30042"/>
    <w:pPr>
      <w:keepNext/>
      <w:keepLines/>
      <w:spacing w:before="400" w:after="40" w:line="240" w:lineRule="auto"/>
      <w:outlineLvl w:val="0"/>
    </w:pPr>
    <w:rPr>
      <w:color w:val="20575E"/>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042"/>
    <w:rPr>
      <w:rFonts w:ascii="Corbel" w:eastAsia="Times New Roman" w:hAnsi="Corbel" w:cs="Times New Roman"/>
      <w:color w:val="20575E"/>
      <w:sz w:val="36"/>
      <w:szCs w:val="36"/>
      <w:lang w:val="en-US"/>
    </w:rPr>
  </w:style>
  <w:style w:type="paragraph" w:styleId="Prrafodelista">
    <w:name w:val="List Paragraph"/>
    <w:aliases w:val="Bullets,List 100s,List Paragraph1,P‡rrafo de lista"/>
    <w:basedOn w:val="Normal"/>
    <w:link w:val="PrrafodelistaCar"/>
    <w:uiPriority w:val="34"/>
    <w:qFormat/>
    <w:rsid w:val="00A30042"/>
    <w:pPr>
      <w:ind w:left="720"/>
      <w:contextualSpacing/>
    </w:pPr>
  </w:style>
  <w:style w:type="paragraph" w:styleId="Textonotapie">
    <w:name w:val="footnote text"/>
    <w:aliases w:val="ALTS FOOTNOTE,Footnote Text Char,Footnote Text Char Char Char,Footnote Text Char Char Char Char Char,Footnote Text Char1 Char,Footnote Text Char1 Char Char Char,f,footnote text,ft,single space,Текст сноски Знак1 Знак,Текст сноски Знак2"/>
    <w:basedOn w:val="Normal"/>
    <w:link w:val="TextonotapieCar"/>
    <w:unhideWhenUsed/>
    <w:rsid w:val="00A30042"/>
    <w:pPr>
      <w:spacing w:after="0" w:line="240" w:lineRule="auto"/>
    </w:pPr>
    <w:rPr>
      <w:sz w:val="20"/>
      <w:szCs w:val="20"/>
    </w:rPr>
  </w:style>
  <w:style w:type="character" w:customStyle="1" w:styleId="TextonotapieCar">
    <w:name w:val="Texto nota pie Car"/>
    <w:aliases w:val="ALTS FOOTNOTE Car,Footnote Text Char Car,Footnote Text Char Char Char Car,Footnote Text Char Char Char Char Char Car,Footnote Text Char1 Char Car,Footnote Text Char1 Char Char Char Car,f Car,footnote text Car,ft Car,single space Car"/>
    <w:basedOn w:val="Fuentedeprrafopredeter"/>
    <w:link w:val="Textonotapie"/>
    <w:rsid w:val="00A30042"/>
    <w:rPr>
      <w:rFonts w:ascii="Corbel" w:eastAsia="Times New Roman" w:hAnsi="Corbel" w:cs="Times New Roman"/>
      <w:sz w:val="20"/>
      <w:szCs w:val="20"/>
      <w:lang w:val="en-US"/>
    </w:rPr>
  </w:style>
  <w:style w:type="character" w:styleId="Refdenotaalpie">
    <w:name w:val="footnote reference"/>
    <w:aliases w:val="16 Point,Footnote Ref in FtNote,SUPERS,Style 24,Superscript 6 Point,Superscript 6 Point + 11 pt,fr,ftref,o"/>
    <w:unhideWhenUsed/>
    <w:rsid w:val="00A30042"/>
    <w:rPr>
      <w:vertAlign w:val="superscript"/>
    </w:rPr>
  </w:style>
  <w:style w:type="character" w:customStyle="1" w:styleId="PrrafodelistaCar">
    <w:name w:val="Párrafo de lista Car"/>
    <w:aliases w:val="Bullets Car,List 100s Car,List Paragraph1 Car,P‡rrafo de lista Car"/>
    <w:link w:val="Prrafodelista"/>
    <w:uiPriority w:val="34"/>
    <w:rsid w:val="00A30042"/>
    <w:rPr>
      <w:rFonts w:ascii="Corbel" w:eastAsia="Times New Roman" w:hAnsi="Corbe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1518</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Estrada</dc:creator>
  <cp:keywords/>
  <dc:description/>
  <cp:lastModifiedBy>Jose Daniel Estrada</cp:lastModifiedBy>
  <cp:revision>1</cp:revision>
  <dcterms:created xsi:type="dcterms:W3CDTF">2018-11-07T22:32:00Z</dcterms:created>
  <dcterms:modified xsi:type="dcterms:W3CDTF">2018-11-07T22:41:00Z</dcterms:modified>
</cp:coreProperties>
</file>