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C09BE" w14:textId="77777777" w:rsidR="00A81929" w:rsidRPr="00A81929" w:rsidRDefault="00A81929" w:rsidP="00A81929">
      <w:pPr>
        <w:jc w:val="both"/>
        <w:rPr>
          <w:b/>
          <w:sz w:val="32"/>
          <w:szCs w:val="32"/>
        </w:rPr>
      </w:pPr>
      <w:bookmarkStart w:id="0" w:name="_Toc467583842"/>
      <w:r w:rsidRPr="00A81929">
        <w:rPr>
          <w:b/>
          <w:sz w:val="32"/>
          <w:szCs w:val="32"/>
          <w:u w:val="single"/>
        </w:rPr>
        <w:t>ANNEXE N° 1</w:t>
      </w:r>
      <w:r w:rsidRPr="00A81929">
        <w:rPr>
          <w:b/>
          <w:sz w:val="32"/>
          <w:szCs w:val="32"/>
        </w:rPr>
        <w:t> : Termes de références de l’évaluation finale</w:t>
      </w:r>
      <w:bookmarkEnd w:id="0"/>
      <w:r w:rsidRPr="00A81929">
        <w:rPr>
          <w:b/>
          <w:sz w:val="32"/>
          <w:szCs w:val="32"/>
        </w:rPr>
        <w:t xml:space="preserve"> du projet « Promotion de la production et de l’utilisation de l’huile de Jatropha comme biocarburant durable au Mali »</w:t>
      </w:r>
    </w:p>
    <w:tbl>
      <w:tblPr>
        <w:tblW w:w="0" w:type="auto"/>
        <w:tblCellSpacing w:w="30" w:type="dxa"/>
        <w:tblInd w:w="75" w:type="dxa"/>
        <w:tblCellMar>
          <w:top w:w="15" w:type="dxa"/>
          <w:left w:w="15" w:type="dxa"/>
          <w:bottom w:w="15" w:type="dxa"/>
          <w:right w:w="15" w:type="dxa"/>
        </w:tblCellMar>
        <w:tblLook w:val="04A0" w:firstRow="1" w:lastRow="0" w:firstColumn="1" w:lastColumn="0" w:noHBand="0" w:noVBand="1"/>
      </w:tblPr>
      <w:tblGrid>
        <w:gridCol w:w="8713"/>
      </w:tblGrid>
      <w:tr w:rsidR="00A81929" w:rsidRPr="00F03665" w14:paraId="70A12679" w14:textId="77777777" w:rsidTr="00B44DDA">
        <w:trPr>
          <w:tblCellSpacing w:w="30" w:type="dxa"/>
        </w:trPr>
        <w:tc>
          <w:tcPr>
            <w:tcW w:w="8593" w:type="dxa"/>
            <w:vAlign w:val="center"/>
            <w:hideMark/>
          </w:tcPr>
          <w:p w14:paraId="4B8EB529" w14:textId="77777777" w:rsidR="00A81929" w:rsidRPr="00F03665" w:rsidRDefault="00A81929" w:rsidP="00B44DDA">
            <w:pPr>
              <w:autoSpaceDE w:val="0"/>
              <w:autoSpaceDN w:val="0"/>
              <w:adjustRightInd w:val="0"/>
              <w:jc w:val="both"/>
              <w:rPr>
                <w:rFonts w:ascii="Arial" w:hAnsi="Arial" w:cs="Arial"/>
                <w:color w:val="000000"/>
              </w:rPr>
            </w:pPr>
            <w:proofErr w:type="gramStart"/>
            <w:r w:rsidRPr="00F03665">
              <w:rPr>
                <w:rFonts w:ascii="Arial" w:hAnsi="Arial" w:cs="Arial"/>
                <w:b/>
                <w:bCs/>
                <w:color w:val="000000"/>
              </w:rPr>
              <w:t>Pays:</w:t>
            </w:r>
            <w:proofErr w:type="gramEnd"/>
            <w:r w:rsidRPr="00F03665">
              <w:rPr>
                <w:rFonts w:ascii="Arial" w:hAnsi="Arial" w:cs="Arial"/>
                <w:b/>
                <w:bCs/>
                <w:color w:val="000000"/>
              </w:rPr>
              <w:t xml:space="preserve"> MALI </w:t>
            </w:r>
          </w:p>
          <w:p w14:paraId="3CC8B864" w14:textId="77777777" w:rsidR="00A81929" w:rsidRDefault="00A81929" w:rsidP="00B44DDA">
            <w:pPr>
              <w:autoSpaceDE w:val="0"/>
              <w:autoSpaceDN w:val="0"/>
              <w:adjustRightInd w:val="0"/>
              <w:jc w:val="both"/>
              <w:rPr>
                <w:rFonts w:ascii="Arial" w:hAnsi="Arial" w:cs="Arial"/>
                <w:b/>
                <w:bCs/>
                <w:color w:val="000000"/>
              </w:rPr>
            </w:pPr>
          </w:p>
          <w:p w14:paraId="7B56ADA4" w14:textId="77777777" w:rsidR="00A81929" w:rsidRPr="00F03665" w:rsidRDefault="00A81929" w:rsidP="00B44DDA">
            <w:pPr>
              <w:autoSpaceDE w:val="0"/>
              <w:autoSpaceDN w:val="0"/>
              <w:adjustRightInd w:val="0"/>
              <w:jc w:val="both"/>
              <w:rPr>
                <w:rFonts w:ascii="Arial" w:hAnsi="Arial" w:cs="Arial"/>
                <w:color w:val="000000"/>
              </w:rPr>
            </w:pPr>
            <w:r w:rsidRPr="00F03665">
              <w:rPr>
                <w:rFonts w:ascii="Arial" w:hAnsi="Arial" w:cs="Arial"/>
                <w:bCs/>
                <w:color w:val="000000"/>
              </w:rPr>
              <w:t>Termes de référence de l’évaluation à mi-parcours du projet : « Promotion de la production et de l’utilisation de l’huile de jatropha</w:t>
            </w:r>
            <w:r>
              <w:rPr>
                <w:rFonts w:ascii="Arial" w:hAnsi="Arial" w:cs="Arial"/>
                <w:bCs/>
                <w:color w:val="000000"/>
              </w:rPr>
              <w:t xml:space="preserve"> comme biocarburant durable au M</w:t>
            </w:r>
            <w:r w:rsidRPr="00F03665">
              <w:rPr>
                <w:rFonts w:ascii="Arial" w:hAnsi="Arial" w:cs="Arial"/>
                <w:bCs/>
                <w:color w:val="000000"/>
              </w:rPr>
              <w:t xml:space="preserve">ali » </w:t>
            </w:r>
          </w:p>
          <w:p w14:paraId="47505A33" w14:textId="77777777" w:rsidR="00A81929" w:rsidRPr="008215A8" w:rsidRDefault="00A81929" w:rsidP="00A81929">
            <w:pPr>
              <w:numPr>
                <w:ilvl w:val="0"/>
                <w:numId w:val="1"/>
              </w:numPr>
              <w:spacing w:before="100" w:beforeAutospacing="1" w:after="100" w:afterAutospacing="1"/>
              <w:outlineLvl w:val="4"/>
              <w:rPr>
                <w:rFonts w:ascii="Arial" w:hAnsi="Arial" w:cs="Arial"/>
                <w:b/>
                <w:bCs/>
                <w:sz w:val="24"/>
                <w:szCs w:val="24"/>
              </w:rPr>
            </w:pPr>
            <w:r w:rsidRPr="00F03665">
              <w:rPr>
                <w:rFonts w:ascii="Arial" w:hAnsi="Arial" w:cs="Arial"/>
                <w:b/>
                <w:bCs/>
                <w:sz w:val="24"/>
                <w:szCs w:val="24"/>
              </w:rPr>
              <w:t>Background</w:t>
            </w:r>
          </w:p>
        </w:tc>
      </w:tr>
      <w:tr w:rsidR="00A81929" w:rsidRPr="00F03665" w14:paraId="54EC5343" w14:textId="77777777" w:rsidTr="00B44DDA">
        <w:trPr>
          <w:tblCellSpacing w:w="30" w:type="dxa"/>
        </w:trPr>
        <w:tc>
          <w:tcPr>
            <w:tcW w:w="8593" w:type="dxa"/>
            <w:vAlign w:val="center"/>
            <w:hideMark/>
          </w:tcPr>
          <w:p w14:paraId="714DE8E3" w14:textId="77777777" w:rsidR="00A81929" w:rsidRPr="00F03665" w:rsidRDefault="00A81929" w:rsidP="00B44DDA">
            <w:pPr>
              <w:spacing w:before="100" w:beforeAutospacing="1" w:after="100" w:afterAutospacing="1"/>
              <w:jc w:val="both"/>
              <w:rPr>
                <w:rFonts w:ascii="Arial" w:hAnsi="Arial" w:cs="Arial"/>
              </w:rPr>
            </w:pPr>
            <w:r w:rsidRPr="00F03665">
              <w:rPr>
                <w:rFonts w:ascii="Arial" w:hAnsi="Arial" w:cs="Arial"/>
              </w:rPr>
              <w:t>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(TOR) énoncent les attentes d'une évalu</w:t>
            </w:r>
            <w:r>
              <w:rPr>
                <w:rFonts w:ascii="Arial" w:hAnsi="Arial" w:cs="Arial"/>
              </w:rPr>
              <w:t>ation finale (TE) du Projet de </w:t>
            </w:r>
            <w:r w:rsidRPr="00F03665">
              <w:rPr>
                <w:rFonts w:ascii="Arial" w:hAnsi="Arial" w:cs="Arial"/>
              </w:rPr>
              <w:t>« Promotion de la Production et de l’Utilisation de l’Huile de Jatropha comme Biocarburant Durable Mali » (Nº 00081418)</w:t>
            </w:r>
            <w:r>
              <w:rPr>
                <w:rFonts w:ascii="Arial" w:hAnsi="Arial" w:cs="Arial"/>
              </w:rPr>
              <w:t>.</w:t>
            </w:r>
          </w:p>
        </w:tc>
      </w:tr>
      <w:tr w:rsidR="00A81929" w:rsidRPr="00F03665" w14:paraId="6AC34462" w14:textId="77777777" w:rsidTr="00B44DDA">
        <w:trPr>
          <w:tblCellSpacing w:w="30" w:type="dxa"/>
        </w:trPr>
        <w:tc>
          <w:tcPr>
            <w:tcW w:w="8593" w:type="dxa"/>
            <w:vAlign w:val="center"/>
            <w:hideMark/>
          </w:tcPr>
          <w:p w14:paraId="0943027E" w14:textId="77777777" w:rsidR="00A81929" w:rsidRPr="00F03665" w:rsidRDefault="00A81929" w:rsidP="00B44DDA">
            <w:pPr>
              <w:rPr>
                <w:rFonts w:ascii="Arial" w:hAnsi="Arial" w:cs="Arial"/>
              </w:rPr>
            </w:pPr>
          </w:p>
        </w:tc>
      </w:tr>
      <w:tr w:rsidR="00A81929" w:rsidRPr="00F03665" w14:paraId="24F05BC1" w14:textId="77777777" w:rsidTr="00B44DDA">
        <w:trPr>
          <w:tblCellSpacing w:w="30" w:type="dxa"/>
        </w:trPr>
        <w:tc>
          <w:tcPr>
            <w:tcW w:w="8593" w:type="dxa"/>
            <w:vAlign w:val="center"/>
            <w:hideMark/>
          </w:tcPr>
          <w:p w14:paraId="60234EAC" w14:textId="77777777" w:rsidR="00A81929" w:rsidRPr="00F03665" w:rsidRDefault="00A81929" w:rsidP="00A81929">
            <w:pPr>
              <w:numPr>
                <w:ilvl w:val="0"/>
                <w:numId w:val="1"/>
              </w:numPr>
              <w:spacing w:before="100" w:beforeAutospacing="1" w:after="100" w:afterAutospacing="1" w:line="276" w:lineRule="auto"/>
              <w:rPr>
                <w:rFonts w:ascii="Arial" w:hAnsi="Arial" w:cs="Arial"/>
                <w:sz w:val="24"/>
                <w:szCs w:val="24"/>
              </w:rPr>
            </w:pPr>
            <w:r w:rsidRPr="00F03665">
              <w:rPr>
                <w:rFonts w:ascii="Arial" w:hAnsi="Arial" w:cs="Arial"/>
                <w:b/>
                <w:bCs/>
                <w:sz w:val="24"/>
                <w:szCs w:val="24"/>
              </w:rPr>
              <w:t>Objectif et portée</w:t>
            </w:r>
            <w:r>
              <w:rPr>
                <w:rFonts w:ascii="Arial" w:hAnsi="Arial" w:cs="Arial"/>
                <w:b/>
                <w:bCs/>
                <w:sz w:val="24"/>
                <w:szCs w:val="24"/>
              </w:rPr>
              <w:t xml:space="preserve"> </w:t>
            </w:r>
          </w:p>
          <w:p w14:paraId="458E0BFA" w14:textId="77777777" w:rsidR="00A81929" w:rsidRPr="00F03665" w:rsidRDefault="00A81929" w:rsidP="00B44DDA">
            <w:pPr>
              <w:spacing w:before="100" w:beforeAutospacing="1" w:after="100" w:afterAutospacing="1"/>
              <w:jc w:val="both"/>
              <w:rPr>
                <w:rFonts w:ascii="Arial" w:hAnsi="Arial" w:cs="Arial"/>
              </w:rPr>
            </w:pPr>
            <w:r>
              <w:rPr>
                <w:rFonts w:ascii="Arial" w:hAnsi="Arial" w:cs="Arial"/>
              </w:rPr>
              <w:t>Le projet a été conçu pour </w:t>
            </w:r>
            <w:r w:rsidRPr="00F03665">
              <w:rPr>
                <w:rFonts w:ascii="Arial" w:hAnsi="Arial" w:cs="Arial"/>
              </w:rPr>
              <w:t>développer et promouvoir un modèle de production et d’utilisation durables du Jatropha comme biocarburant au niveau national. Il vise également à assurer une contribution significative au développement rural par la promotion d’une production décentralisée d’huile de Jatropha et d’un investissement privé respectueux de critères environnementaux, sociaux et de durabilité, tout en créant les conditions pour que la promotion des biocarbur</w:t>
            </w:r>
            <w:r>
              <w:rPr>
                <w:rFonts w:ascii="Arial" w:hAnsi="Arial" w:cs="Arial"/>
              </w:rPr>
              <w:t>ants n’entre pas en concurrence </w:t>
            </w:r>
            <w:r w:rsidRPr="00F03665">
              <w:rPr>
                <w:rFonts w:ascii="Arial" w:hAnsi="Arial" w:cs="Arial"/>
              </w:rPr>
              <w:t>avec la production vivrière.</w:t>
            </w:r>
          </w:p>
          <w:p w14:paraId="756E5A72" w14:textId="77777777" w:rsidR="00A81929" w:rsidRPr="00F03665" w:rsidRDefault="00A81929" w:rsidP="00B44DDA">
            <w:pPr>
              <w:spacing w:before="100" w:beforeAutospacing="1" w:after="100" w:afterAutospacing="1"/>
              <w:rPr>
                <w:rFonts w:ascii="Arial" w:hAnsi="Arial" w:cs="Arial"/>
              </w:rPr>
            </w:pPr>
            <w:r w:rsidRPr="00F03665">
              <w:rPr>
                <w:rFonts w:ascii="Arial" w:hAnsi="Arial" w:cs="Arial"/>
                <w:b/>
                <w:bCs/>
              </w:rPr>
              <w:t>Le projet s’articule autour de cinq (5) composantes principales :</w:t>
            </w:r>
          </w:p>
          <w:p w14:paraId="2590C572" w14:textId="77777777" w:rsidR="00A81929" w:rsidRPr="00F03665" w:rsidRDefault="00A81929" w:rsidP="00A81929">
            <w:pPr>
              <w:spacing w:before="100" w:beforeAutospacing="1" w:after="100" w:afterAutospacing="1" w:line="240" w:lineRule="auto"/>
              <w:jc w:val="both"/>
              <w:rPr>
                <w:rFonts w:ascii="Arial" w:hAnsi="Arial" w:cs="Arial"/>
              </w:rPr>
            </w:pPr>
            <w:r w:rsidRPr="00A81929">
              <w:rPr>
                <w:rFonts w:ascii="Arial" w:hAnsi="Arial" w:cs="Arial"/>
                <w:b/>
              </w:rPr>
              <w:t>Composante 1</w:t>
            </w:r>
            <w:r>
              <w:rPr>
                <w:rFonts w:ascii="Arial" w:hAnsi="Arial" w:cs="Arial"/>
              </w:rPr>
              <w:t xml:space="preserve"> </w:t>
            </w:r>
            <w:r w:rsidRPr="00F03665">
              <w:rPr>
                <w:rFonts w:ascii="Arial" w:hAnsi="Arial" w:cs="Arial"/>
              </w:rPr>
              <w:t>: Développer une stratégie pour l’exploitation de l’huile de Jatropha comme biocarburant durable, basée sur une expérience nationale et régionale ;</w:t>
            </w:r>
          </w:p>
          <w:p w14:paraId="3DF36DF9" w14:textId="77777777" w:rsidR="00A81929" w:rsidRPr="00F03665" w:rsidRDefault="00A81929" w:rsidP="00A81929">
            <w:pPr>
              <w:spacing w:before="100" w:beforeAutospacing="1" w:after="100" w:afterAutospacing="1" w:line="240" w:lineRule="auto"/>
              <w:rPr>
                <w:rFonts w:ascii="Arial" w:hAnsi="Arial" w:cs="Arial"/>
              </w:rPr>
            </w:pPr>
            <w:r w:rsidRPr="00A81929">
              <w:rPr>
                <w:rFonts w:ascii="Arial" w:hAnsi="Arial" w:cs="Arial"/>
                <w:b/>
              </w:rPr>
              <w:t>Composante 2</w:t>
            </w:r>
            <w:r>
              <w:rPr>
                <w:rFonts w:ascii="Arial" w:hAnsi="Arial" w:cs="Arial"/>
              </w:rPr>
              <w:t xml:space="preserve"> </w:t>
            </w:r>
            <w:r w:rsidRPr="00F03665">
              <w:rPr>
                <w:rFonts w:ascii="Arial" w:hAnsi="Arial" w:cs="Arial"/>
              </w:rPr>
              <w:t>: Lever les barrières à l’investissement privé par l’adoption d’un cadre règlementaire approprié ;</w:t>
            </w:r>
          </w:p>
          <w:p w14:paraId="3ECEAED7" w14:textId="77777777" w:rsidR="00A81929" w:rsidRPr="00F03665" w:rsidRDefault="00A81929" w:rsidP="00A81929">
            <w:pPr>
              <w:spacing w:before="100" w:beforeAutospacing="1" w:after="100" w:afterAutospacing="1" w:line="240" w:lineRule="auto"/>
              <w:jc w:val="both"/>
              <w:rPr>
                <w:rFonts w:ascii="Arial" w:hAnsi="Arial" w:cs="Arial"/>
              </w:rPr>
            </w:pPr>
            <w:r w:rsidRPr="00A81929">
              <w:rPr>
                <w:rFonts w:ascii="Arial" w:hAnsi="Arial" w:cs="Arial"/>
                <w:b/>
              </w:rPr>
              <w:t>Composante 3</w:t>
            </w:r>
            <w:r>
              <w:rPr>
                <w:rFonts w:ascii="Arial" w:hAnsi="Arial" w:cs="Arial"/>
              </w:rPr>
              <w:t xml:space="preserve"> </w:t>
            </w:r>
            <w:r w:rsidRPr="00F03665">
              <w:rPr>
                <w:rFonts w:ascii="Arial" w:hAnsi="Arial" w:cs="Arial"/>
              </w:rPr>
              <w:t>: Renforcer les activités de Recherche et Développement pour lever les barrières techniques au développement de la production d’huile de Jatropha à une échelle nationale ;</w:t>
            </w:r>
          </w:p>
          <w:p w14:paraId="1A164F97" w14:textId="77777777" w:rsidR="00A81929" w:rsidRPr="00F03665" w:rsidRDefault="00A81929" w:rsidP="00A81929">
            <w:pPr>
              <w:spacing w:before="100" w:beforeAutospacing="1" w:after="100" w:afterAutospacing="1" w:line="240" w:lineRule="auto"/>
              <w:jc w:val="both"/>
              <w:rPr>
                <w:rFonts w:ascii="Arial" w:hAnsi="Arial" w:cs="Arial"/>
              </w:rPr>
            </w:pPr>
            <w:r w:rsidRPr="00A81929">
              <w:rPr>
                <w:rFonts w:ascii="Arial" w:hAnsi="Arial" w:cs="Arial"/>
                <w:b/>
              </w:rPr>
              <w:t>Composante 4</w:t>
            </w:r>
            <w:r w:rsidRPr="00A81929">
              <w:rPr>
                <w:rFonts w:ascii="Arial" w:hAnsi="Arial" w:cs="Arial"/>
                <w:b/>
              </w:rPr>
              <w:t xml:space="preserve"> </w:t>
            </w:r>
            <w:r w:rsidRPr="00F03665">
              <w:rPr>
                <w:rFonts w:ascii="Arial" w:hAnsi="Arial" w:cs="Arial"/>
              </w:rPr>
              <w:t>: Lever les barrières à l’appropriation des acteurs ruraux de la filière Jatropha</w:t>
            </w:r>
            <w:r>
              <w:rPr>
                <w:rFonts w:ascii="Arial" w:hAnsi="Arial" w:cs="Arial"/>
              </w:rPr>
              <w:t xml:space="preserve"> </w:t>
            </w:r>
            <w:r w:rsidRPr="00F03665">
              <w:rPr>
                <w:rFonts w:ascii="Arial" w:hAnsi="Arial" w:cs="Arial"/>
              </w:rPr>
              <w:t>;</w:t>
            </w:r>
          </w:p>
          <w:p w14:paraId="64F81365" w14:textId="77777777" w:rsidR="00A81929" w:rsidRPr="00F03665" w:rsidRDefault="00A81929" w:rsidP="00A81929">
            <w:pPr>
              <w:spacing w:before="100" w:beforeAutospacing="1" w:after="100" w:afterAutospacing="1" w:line="240" w:lineRule="auto"/>
              <w:jc w:val="both"/>
              <w:rPr>
                <w:rFonts w:ascii="Arial" w:hAnsi="Arial" w:cs="Arial"/>
              </w:rPr>
            </w:pPr>
            <w:r w:rsidRPr="00A81929">
              <w:rPr>
                <w:rFonts w:ascii="Arial" w:hAnsi="Arial" w:cs="Arial"/>
                <w:b/>
              </w:rPr>
              <w:t>Composante 5</w:t>
            </w:r>
            <w:r>
              <w:rPr>
                <w:rFonts w:ascii="Arial" w:hAnsi="Arial" w:cs="Arial"/>
              </w:rPr>
              <w:t xml:space="preserve"> </w:t>
            </w:r>
            <w:r w:rsidRPr="00F03665">
              <w:rPr>
                <w:rFonts w:ascii="Arial" w:hAnsi="Arial" w:cs="Arial"/>
              </w:rPr>
              <w:t>: Faire la promotion de l’huile de Jatropha comme ressource énergétique nationale de haute qualité.</w:t>
            </w:r>
          </w:p>
          <w:p w14:paraId="1C0CE4BB"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lastRenderedPageBreak/>
              <w:t>Au plan organisationnel de mise en œuvre, l’Agence Nationale de Développement des Biocarburants (ANADEB) est l’agence d’exécution du projet dont il intègre parfaitement toutes les activités.</w:t>
            </w:r>
          </w:p>
          <w:p w14:paraId="35AFA803"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L’unité de gestion du projet, composée d’un coordinateur et d’une assistante administrative et financière appuie l’ANADEB dans sa mission.</w:t>
            </w:r>
          </w:p>
          <w:p w14:paraId="2ECD38E8"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Le comité de pilotage, regroupe les acteurs clés de la filière Jatropha (au titre de l’administration, des collectivités territoriales, des sociétés civiles, des partenaires techniques et financiers) ; il est l’instance de décision mise en place pour assurer la supervision et la coordination du processus de mise en œuvre. Placé sous la présidence du Ministre de l’Energie et de l’Eau, il se réunit statutairement une fois par an.</w:t>
            </w:r>
          </w:p>
          <w:p w14:paraId="120CF081"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L’évaluation finale sera menée conformément aux directives, règles et procédures établies par le PNUD et le FEM comme l’indique les directives d’évaluation du PNUD pour les projets financés par le FEM.  </w:t>
            </w:r>
          </w:p>
          <w:p w14:paraId="15733EA3" w14:textId="77777777" w:rsidR="00A81929" w:rsidRPr="00A81929" w:rsidRDefault="00A81929" w:rsidP="00A81929">
            <w:pPr>
              <w:spacing w:before="100" w:beforeAutospacing="1" w:after="100" w:afterAutospacing="1" w:line="276" w:lineRule="auto"/>
              <w:jc w:val="both"/>
              <w:rPr>
                <w:rFonts w:ascii="Arial" w:hAnsi="Arial" w:cs="Arial"/>
              </w:rPr>
            </w:pPr>
            <w:r w:rsidRPr="00F03665">
              <w:rPr>
                <w:rFonts w:ascii="Arial" w:hAnsi="Arial" w:cs="Arial"/>
              </w:rPr>
              <w:t>Les objectifs de l’évaluation consistent à apprécier la réalisation des objectifs du projet et à tirer des enseignements qui peuvent améliorer la durabilité des avantages de ce projet et favoriser l’amélioration globale des programmes du PNUD.   </w:t>
            </w:r>
          </w:p>
          <w:p w14:paraId="0136A86B" w14:textId="77777777" w:rsidR="00A81929" w:rsidRPr="00F03665" w:rsidRDefault="00A81929" w:rsidP="00A81929">
            <w:pPr>
              <w:numPr>
                <w:ilvl w:val="0"/>
                <w:numId w:val="1"/>
              </w:numPr>
              <w:spacing w:before="100" w:beforeAutospacing="1" w:after="100" w:afterAutospacing="1" w:line="276" w:lineRule="auto"/>
              <w:rPr>
                <w:rFonts w:ascii="Arial" w:hAnsi="Arial" w:cs="Arial"/>
                <w:sz w:val="24"/>
                <w:szCs w:val="24"/>
              </w:rPr>
            </w:pPr>
            <w:r w:rsidRPr="00F03665">
              <w:rPr>
                <w:rFonts w:ascii="Arial" w:hAnsi="Arial" w:cs="Arial"/>
                <w:b/>
                <w:bCs/>
                <w:sz w:val="24"/>
                <w:szCs w:val="24"/>
              </w:rPr>
              <w:t>Approche et méthode d'évaluation</w:t>
            </w:r>
            <w:r>
              <w:rPr>
                <w:rFonts w:ascii="Arial" w:hAnsi="Arial" w:cs="Arial"/>
                <w:b/>
                <w:bCs/>
                <w:sz w:val="24"/>
                <w:szCs w:val="24"/>
              </w:rPr>
              <w:t xml:space="preserve"> </w:t>
            </w:r>
            <w:r w:rsidRPr="00F03665">
              <w:rPr>
                <w:rFonts w:ascii="Arial" w:hAnsi="Arial" w:cs="Arial"/>
                <w:b/>
                <w:bCs/>
                <w:sz w:val="24"/>
                <w:szCs w:val="24"/>
              </w:rPr>
              <w:t>:</w:t>
            </w:r>
          </w:p>
          <w:p w14:paraId="28E7C300"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Une ap</w:t>
            </w:r>
            <w:r>
              <w:rPr>
                <w:rFonts w:ascii="Arial" w:hAnsi="Arial" w:cs="Arial"/>
              </w:rPr>
              <w:t>proche et une méthode globales </w:t>
            </w:r>
            <w:r w:rsidRPr="00F03665">
              <w:rPr>
                <w:rFonts w:ascii="Arial" w:hAnsi="Arial" w:cs="Arial"/>
              </w:rPr>
              <w:t xml:space="preserve">pour la réalisation des évaluations finales de projets soutenus par le PNUD et financés par le FEM se sont développées au fil du temps. L’évaluateur doit articuler les efforts d’évaluation autour des critères de pertinence, d’efficacité, d’efficience, de durabilité et d’impact, comme défini et expliqué dans les directives du PNUD pour la réalisation des évaluations finales des projets soutenus par le PNUD et financés par le </w:t>
            </w:r>
            <w:proofErr w:type="gramStart"/>
            <w:r w:rsidRPr="00F03665">
              <w:rPr>
                <w:rFonts w:ascii="Arial" w:hAnsi="Arial" w:cs="Arial"/>
              </w:rPr>
              <w:t>FEM;</w:t>
            </w:r>
            <w:proofErr w:type="gramEnd"/>
            <w:r w:rsidRPr="00F03665">
              <w:rPr>
                <w:rFonts w:ascii="Arial" w:hAnsi="Arial" w:cs="Arial"/>
              </w:rPr>
              <w:t xml:space="preserve">   </w:t>
            </w:r>
          </w:p>
          <w:p w14:paraId="5E309E55"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 xml:space="preserve">Une série de questions couvrant chacun de ces critères ont été rédigées et sont incluses dans ces termes de référence (remplir l'Annexe C) des termes de </w:t>
            </w:r>
            <w:proofErr w:type="gramStart"/>
            <w:r w:rsidRPr="00F03665">
              <w:rPr>
                <w:rFonts w:ascii="Arial" w:hAnsi="Arial" w:cs="Arial"/>
              </w:rPr>
              <w:t>référence;</w:t>
            </w:r>
            <w:proofErr w:type="gramEnd"/>
          </w:p>
          <w:p w14:paraId="0A37053A"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 xml:space="preserve">L’évaluateur doit modifier, remplir et soumettre ce tableau dans le cadre d’un rapport initial d’évaluation et le joindre au rapport final en </w:t>
            </w:r>
            <w:proofErr w:type="gramStart"/>
            <w:r w:rsidRPr="00F03665">
              <w:rPr>
                <w:rFonts w:ascii="Arial" w:hAnsi="Arial" w:cs="Arial"/>
              </w:rPr>
              <w:t>annexe;</w:t>
            </w:r>
            <w:proofErr w:type="gramEnd"/>
          </w:p>
          <w:p w14:paraId="7BD031DF"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 xml:space="preserve">L’évaluation doit fournir des informations factuelles qui sont crédibles, fiables et </w:t>
            </w:r>
            <w:proofErr w:type="gramStart"/>
            <w:r w:rsidRPr="00F03665">
              <w:rPr>
                <w:rFonts w:ascii="Arial" w:hAnsi="Arial" w:cs="Arial"/>
              </w:rPr>
              <w:t>utiles;</w:t>
            </w:r>
            <w:proofErr w:type="gramEnd"/>
          </w:p>
          <w:p w14:paraId="7D1633DD"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 xml:space="preserve">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w:t>
            </w:r>
            <w:proofErr w:type="gramStart"/>
            <w:r w:rsidRPr="00F03665">
              <w:rPr>
                <w:rFonts w:ascii="Arial" w:hAnsi="Arial" w:cs="Arial"/>
              </w:rPr>
              <w:t>prenantes;</w:t>
            </w:r>
            <w:proofErr w:type="gramEnd"/>
          </w:p>
          <w:p w14:paraId="57D0AF3A"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L'évaluateur devrait effectuer une mission sur le terrain sur certains sites dont le choix sera fait par l’Unité de Gestion du projet en collaboration avec le Bureau PNUD/ Mali. Les entretiens auront lieu au minimum avec les partenaires techniques et financiers du projet, les partenaires institutionnels (le département en charge de l’Energie, le Comité de pilotage), les bénéficiaires, les autorités administratives locales et les autorités communales, les services techniques impliqués dans la mise en œuvre du projet, la société civile impliquée et les autres partenaires. (Liste des principales parties prenantes</w:t>
            </w:r>
            <w:proofErr w:type="gramStart"/>
            <w:r w:rsidRPr="00F03665">
              <w:rPr>
                <w:rFonts w:ascii="Arial" w:hAnsi="Arial" w:cs="Arial"/>
              </w:rPr>
              <w:t>);</w:t>
            </w:r>
            <w:proofErr w:type="gramEnd"/>
          </w:p>
          <w:p w14:paraId="7BDF2D57"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Une liste des documents que l’équipe chargée du projet fournira à l’évaluateur aux fins d’</w:t>
            </w:r>
            <w:r>
              <w:rPr>
                <w:rFonts w:ascii="Arial" w:hAnsi="Arial" w:cs="Arial"/>
              </w:rPr>
              <w:t>examen est jointe à l’annexe B </w:t>
            </w:r>
            <w:r w:rsidRPr="00F03665">
              <w:rPr>
                <w:rFonts w:ascii="Arial" w:hAnsi="Arial" w:cs="Arial"/>
              </w:rPr>
              <w:t>des présents termes de référence.</w:t>
            </w:r>
          </w:p>
          <w:p w14:paraId="3BDB6AAD" w14:textId="77777777" w:rsidR="00A81929" w:rsidRPr="00F03665" w:rsidRDefault="00A81929" w:rsidP="00B44DDA">
            <w:pPr>
              <w:spacing w:before="100" w:beforeAutospacing="1" w:after="100" w:afterAutospacing="1"/>
              <w:rPr>
                <w:rFonts w:ascii="Arial" w:hAnsi="Arial" w:cs="Arial"/>
              </w:rPr>
            </w:pPr>
            <w:r w:rsidRPr="00F03665">
              <w:rPr>
                <w:rFonts w:ascii="Arial" w:hAnsi="Arial" w:cs="Arial"/>
                <w:b/>
                <w:bCs/>
              </w:rPr>
              <w:t>Il est attendu du prestataire :</w:t>
            </w:r>
          </w:p>
          <w:p w14:paraId="6B98434A" w14:textId="77777777" w:rsidR="00A81929" w:rsidRPr="00F03665" w:rsidRDefault="00A81929" w:rsidP="00B44DDA">
            <w:pPr>
              <w:spacing w:before="100" w:beforeAutospacing="1" w:after="100" w:afterAutospacing="1"/>
              <w:rPr>
                <w:rFonts w:ascii="Arial" w:hAnsi="Arial" w:cs="Arial"/>
              </w:rPr>
            </w:pPr>
            <w:r w:rsidRPr="00F03665">
              <w:rPr>
                <w:rFonts w:ascii="Arial" w:hAnsi="Arial" w:cs="Arial"/>
                <w:b/>
                <w:bCs/>
              </w:rPr>
              <w:t>Le résumé et le rapport intermédiaire :</w:t>
            </w:r>
          </w:p>
          <w:p w14:paraId="4B5A62EC"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Le consultant présentera un résumé d</w:t>
            </w:r>
            <w:r>
              <w:rPr>
                <w:rFonts w:ascii="Arial" w:hAnsi="Arial" w:cs="Arial"/>
              </w:rPr>
              <w:t>es conclusions de l’évaluation et des recommandations </w:t>
            </w:r>
            <w:r w:rsidRPr="00F03665">
              <w:rPr>
                <w:rFonts w:ascii="Arial" w:hAnsi="Arial" w:cs="Arial"/>
              </w:rPr>
              <w:t>préliminaires lors d’une réunion de débriefing qui sera or</w:t>
            </w:r>
            <w:r>
              <w:rPr>
                <w:rFonts w:ascii="Arial" w:hAnsi="Arial" w:cs="Arial"/>
              </w:rPr>
              <w:t xml:space="preserve">ganisée par le PNUD et l’unité </w:t>
            </w:r>
            <w:r w:rsidRPr="00F03665">
              <w:rPr>
                <w:rFonts w:ascii="Arial" w:hAnsi="Arial" w:cs="Arial"/>
              </w:rPr>
              <w:t>de Pilotage du projet Les feedbacks enregistrés au cours de cette séance serviront à la finalisation du rapport final du projet.  Le chargé de programme et les principales parties prenantes s’assureront que l’évaluation réponde aux critères de qualités requis.</w:t>
            </w:r>
          </w:p>
          <w:p w14:paraId="6591C715" w14:textId="77777777" w:rsidR="00A81929" w:rsidRPr="00F03665" w:rsidRDefault="00A81929" w:rsidP="00A81929">
            <w:pPr>
              <w:spacing w:before="100" w:beforeAutospacing="1" w:after="100" w:afterAutospacing="1" w:line="276" w:lineRule="auto"/>
              <w:jc w:val="both"/>
              <w:rPr>
                <w:rFonts w:ascii="Arial" w:hAnsi="Arial" w:cs="Arial"/>
              </w:rPr>
            </w:pPr>
            <w:r>
              <w:rPr>
                <w:rFonts w:ascii="Arial" w:hAnsi="Arial" w:cs="Arial"/>
              </w:rPr>
              <w:t>Le rapport final </w:t>
            </w:r>
            <w:r w:rsidRPr="00F03665">
              <w:rPr>
                <w:rFonts w:ascii="Arial" w:hAnsi="Arial" w:cs="Arial"/>
              </w:rPr>
              <w:t>de l’évaluation : le consultant soumettra un rapport d’évaluation du projet qui mettra la lumière sur les résultats atteints, les contraintes lors de la mise en œuvre, les leçons apprises et les recommandations en vue d’assurer la pérennisation des résultats obtenus.</w:t>
            </w:r>
          </w:p>
          <w:p w14:paraId="248F582F" w14:textId="77777777" w:rsidR="00A81929" w:rsidRPr="00A81929" w:rsidRDefault="00A81929" w:rsidP="00A81929">
            <w:pPr>
              <w:spacing w:before="100" w:beforeAutospacing="1" w:after="100" w:afterAutospacing="1" w:line="276" w:lineRule="auto"/>
              <w:jc w:val="both"/>
              <w:rPr>
                <w:rFonts w:ascii="Arial" w:hAnsi="Arial" w:cs="Arial"/>
              </w:rPr>
            </w:pPr>
            <w:r>
              <w:rPr>
                <w:rFonts w:ascii="Arial" w:hAnsi="Arial" w:cs="Arial"/>
              </w:rPr>
              <w:t>Le rapport final </w:t>
            </w:r>
            <w:r w:rsidRPr="00F03665">
              <w:rPr>
                <w:rFonts w:ascii="Arial" w:hAnsi="Arial" w:cs="Arial"/>
              </w:rPr>
              <w:t>qui contiendra les commentaires des bénéficiaires sera soumis au PNUD, trois semaines après la fin de la mission d’évaluation. Le consultant suivra la table de matières suivantes.</w:t>
            </w:r>
          </w:p>
          <w:p w14:paraId="2A36B79A" w14:textId="77777777" w:rsidR="00A81929" w:rsidRPr="00F03665" w:rsidRDefault="00A81929" w:rsidP="00A81929">
            <w:pPr>
              <w:numPr>
                <w:ilvl w:val="0"/>
                <w:numId w:val="1"/>
              </w:numPr>
              <w:spacing w:before="100" w:beforeAutospacing="1" w:after="100" w:afterAutospacing="1" w:line="276" w:lineRule="auto"/>
              <w:rPr>
                <w:rFonts w:ascii="Arial" w:hAnsi="Arial" w:cs="Arial"/>
                <w:sz w:val="24"/>
                <w:szCs w:val="24"/>
              </w:rPr>
            </w:pPr>
            <w:r w:rsidRPr="00F03665">
              <w:rPr>
                <w:rFonts w:ascii="Arial" w:hAnsi="Arial" w:cs="Arial"/>
                <w:b/>
                <w:bCs/>
                <w:sz w:val="24"/>
                <w:szCs w:val="24"/>
              </w:rPr>
              <w:t>Format du rapport d’évaluation :</w:t>
            </w:r>
          </w:p>
          <w:p w14:paraId="102E4F16" w14:textId="77777777" w:rsidR="00A81929" w:rsidRPr="00F03665" w:rsidRDefault="00A81929" w:rsidP="00A81929">
            <w:pPr>
              <w:spacing w:after="0" w:line="276" w:lineRule="auto"/>
              <w:jc w:val="both"/>
              <w:rPr>
                <w:rFonts w:ascii="Arial" w:hAnsi="Arial" w:cs="Arial"/>
              </w:rPr>
            </w:pPr>
            <w:r w:rsidRPr="00F03665">
              <w:rPr>
                <w:rFonts w:ascii="Arial" w:hAnsi="Arial" w:cs="Arial"/>
              </w:rPr>
              <w:t xml:space="preserve">Le </w:t>
            </w:r>
            <w:proofErr w:type="gramStart"/>
            <w:r w:rsidRPr="00F03665">
              <w:rPr>
                <w:rFonts w:ascii="Arial" w:hAnsi="Arial" w:cs="Arial"/>
              </w:rPr>
              <w:t>titre;</w:t>
            </w:r>
            <w:proofErr w:type="gramEnd"/>
          </w:p>
          <w:p w14:paraId="5B9CC50C" w14:textId="77777777" w:rsidR="00A81929" w:rsidRPr="00F03665" w:rsidRDefault="00A81929" w:rsidP="00A81929">
            <w:pPr>
              <w:spacing w:after="0" w:line="276" w:lineRule="auto"/>
              <w:jc w:val="both"/>
              <w:rPr>
                <w:rFonts w:ascii="Arial" w:hAnsi="Arial" w:cs="Arial"/>
              </w:rPr>
            </w:pPr>
            <w:r w:rsidRPr="00F03665">
              <w:rPr>
                <w:rFonts w:ascii="Arial" w:hAnsi="Arial" w:cs="Arial"/>
              </w:rPr>
              <w:t xml:space="preserve">La liste des abréviations et des </w:t>
            </w:r>
            <w:proofErr w:type="gramStart"/>
            <w:r w:rsidRPr="00F03665">
              <w:rPr>
                <w:rFonts w:ascii="Arial" w:hAnsi="Arial" w:cs="Arial"/>
              </w:rPr>
              <w:t>acronymes;</w:t>
            </w:r>
            <w:proofErr w:type="gramEnd"/>
          </w:p>
          <w:p w14:paraId="28405732" w14:textId="77777777" w:rsidR="00A81929" w:rsidRPr="00F03665" w:rsidRDefault="00A81929" w:rsidP="00A81929">
            <w:pPr>
              <w:spacing w:after="0" w:line="276" w:lineRule="auto"/>
              <w:jc w:val="both"/>
              <w:rPr>
                <w:rFonts w:ascii="Arial" w:hAnsi="Arial" w:cs="Arial"/>
              </w:rPr>
            </w:pPr>
            <w:r w:rsidRPr="00F03665">
              <w:rPr>
                <w:rFonts w:ascii="Arial" w:hAnsi="Arial" w:cs="Arial"/>
              </w:rPr>
              <w:t xml:space="preserve">La table de matière incluant les </w:t>
            </w:r>
            <w:proofErr w:type="gramStart"/>
            <w:r w:rsidRPr="00F03665">
              <w:rPr>
                <w:rFonts w:ascii="Arial" w:hAnsi="Arial" w:cs="Arial"/>
              </w:rPr>
              <w:t>annexes;</w:t>
            </w:r>
            <w:proofErr w:type="gramEnd"/>
          </w:p>
          <w:p w14:paraId="475DD9FA" w14:textId="77777777" w:rsidR="00A81929" w:rsidRPr="00F03665" w:rsidRDefault="00A81929" w:rsidP="00A81929">
            <w:pPr>
              <w:spacing w:after="0" w:line="276" w:lineRule="auto"/>
              <w:jc w:val="both"/>
              <w:rPr>
                <w:rFonts w:ascii="Arial" w:hAnsi="Arial" w:cs="Arial"/>
              </w:rPr>
            </w:pPr>
            <w:r w:rsidRPr="00F03665">
              <w:rPr>
                <w:rFonts w:ascii="Arial" w:hAnsi="Arial" w:cs="Arial"/>
              </w:rPr>
              <w:t xml:space="preserve">Le résumé </w:t>
            </w:r>
            <w:proofErr w:type="gramStart"/>
            <w:r w:rsidRPr="00F03665">
              <w:rPr>
                <w:rFonts w:ascii="Arial" w:hAnsi="Arial" w:cs="Arial"/>
              </w:rPr>
              <w:t>exécutif;</w:t>
            </w:r>
            <w:proofErr w:type="gramEnd"/>
          </w:p>
          <w:p w14:paraId="76802A3A" w14:textId="77777777" w:rsidR="00A81929" w:rsidRPr="00F03665" w:rsidRDefault="00A81929" w:rsidP="00A81929">
            <w:pPr>
              <w:spacing w:after="0" w:line="276" w:lineRule="auto"/>
              <w:jc w:val="both"/>
              <w:rPr>
                <w:rFonts w:ascii="Arial" w:hAnsi="Arial" w:cs="Arial"/>
              </w:rPr>
            </w:pPr>
            <w:proofErr w:type="gramStart"/>
            <w:r w:rsidRPr="00F03665">
              <w:rPr>
                <w:rFonts w:ascii="Arial" w:hAnsi="Arial" w:cs="Arial"/>
              </w:rPr>
              <w:t>L’introduction;</w:t>
            </w:r>
            <w:proofErr w:type="gramEnd"/>
          </w:p>
          <w:p w14:paraId="2DE0EE2E" w14:textId="77777777" w:rsidR="00A81929" w:rsidRPr="00F03665" w:rsidRDefault="00A81929" w:rsidP="00A81929">
            <w:pPr>
              <w:spacing w:after="0" w:line="276" w:lineRule="auto"/>
              <w:jc w:val="both"/>
              <w:rPr>
                <w:rFonts w:ascii="Arial" w:hAnsi="Arial" w:cs="Arial"/>
              </w:rPr>
            </w:pPr>
            <w:r w:rsidRPr="00F03665">
              <w:rPr>
                <w:rFonts w:ascii="Arial" w:hAnsi="Arial" w:cs="Arial"/>
              </w:rPr>
              <w:t xml:space="preserve">Le background et le contexte du </w:t>
            </w:r>
            <w:proofErr w:type="gramStart"/>
            <w:r w:rsidRPr="00F03665">
              <w:rPr>
                <w:rFonts w:ascii="Arial" w:hAnsi="Arial" w:cs="Arial"/>
              </w:rPr>
              <w:t>projet;</w:t>
            </w:r>
            <w:proofErr w:type="gramEnd"/>
          </w:p>
          <w:p w14:paraId="291E1EF9" w14:textId="77777777" w:rsidR="00A81929" w:rsidRDefault="00A81929" w:rsidP="00A81929">
            <w:pPr>
              <w:spacing w:after="0" w:line="276" w:lineRule="auto"/>
              <w:jc w:val="both"/>
              <w:rPr>
                <w:rFonts w:ascii="Arial" w:hAnsi="Arial" w:cs="Arial"/>
              </w:rPr>
            </w:pPr>
            <w:r w:rsidRPr="00F03665">
              <w:rPr>
                <w:rFonts w:ascii="Arial" w:hAnsi="Arial" w:cs="Arial"/>
              </w:rPr>
              <w:t xml:space="preserve">La description du projet, le cadre des résultats et les facteurs externes qui ont affecté sa mise en </w:t>
            </w:r>
            <w:proofErr w:type="gramStart"/>
            <w:r w:rsidRPr="00F03665">
              <w:rPr>
                <w:rFonts w:ascii="Arial" w:hAnsi="Arial" w:cs="Arial"/>
              </w:rPr>
              <w:t>œuvre;</w:t>
            </w:r>
            <w:proofErr w:type="gramEnd"/>
          </w:p>
          <w:p w14:paraId="0396FC25" w14:textId="77777777" w:rsidR="00A81929" w:rsidRDefault="00A81929" w:rsidP="00A81929">
            <w:pPr>
              <w:spacing w:after="0" w:line="276" w:lineRule="auto"/>
              <w:jc w:val="both"/>
              <w:rPr>
                <w:rFonts w:ascii="Arial" w:hAnsi="Arial" w:cs="Arial"/>
              </w:rPr>
            </w:pPr>
            <w:r w:rsidRPr="00F03665">
              <w:rPr>
                <w:rFonts w:ascii="Arial" w:hAnsi="Arial" w:cs="Arial"/>
              </w:rPr>
              <w:t xml:space="preserve">La méthodologie </w:t>
            </w:r>
            <w:proofErr w:type="gramStart"/>
            <w:r w:rsidRPr="00F03665">
              <w:rPr>
                <w:rFonts w:ascii="Arial" w:hAnsi="Arial" w:cs="Arial"/>
              </w:rPr>
              <w:t>d’évaluation;</w:t>
            </w:r>
            <w:proofErr w:type="gramEnd"/>
          </w:p>
          <w:p w14:paraId="5253C812" w14:textId="77777777" w:rsidR="00A81929" w:rsidRDefault="00A81929" w:rsidP="00A81929">
            <w:pPr>
              <w:spacing w:after="0" w:line="276" w:lineRule="auto"/>
              <w:jc w:val="both"/>
              <w:rPr>
                <w:rFonts w:ascii="Arial" w:hAnsi="Arial" w:cs="Arial"/>
              </w:rPr>
            </w:pPr>
            <w:r w:rsidRPr="00F03665">
              <w:rPr>
                <w:rFonts w:ascii="Arial" w:hAnsi="Arial" w:cs="Arial"/>
              </w:rPr>
              <w:t xml:space="preserve">Les leçons apprises et les bonnes </w:t>
            </w:r>
            <w:proofErr w:type="gramStart"/>
            <w:r w:rsidRPr="00F03665">
              <w:rPr>
                <w:rFonts w:ascii="Arial" w:hAnsi="Arial" w:cs="Arial"/>
              </w:rPr>
              <w:t>pratiques;</w:t>
            </w:r>
            <w:proofErr w:type="gramEnd"/>
          </w:p>
          <w:p w14:paraId="732F2FF4" w14:textId="77777777" w:rsidR="00A81929" w:rsidRDefault="00A81929" w:rsidP="00A81929">
            <w:pPr>
              <w:spacing w:after="0" w:line="276" w:lineRule="auto"/>
              <w:jc w:val="both"/>
              <w:rPr>
                <w:rFonts w:ascii="Arial" w:hAnsi="Arial" w:cs="Arial"/>
              </w:rPr>
            </w:pPr>
            <w:r w:rsidRPr="00F03665">
              <w:rPr>
                <w:rFonts w:ascii="Arial" w:hAnsi="Arial" w:cs="Arial"/>
              </w:rPr>
              <w:t xml:space="preserve">Les </w:t>
            </w:r>
            <w:proofErr w:type="gramStart"/>
            <w:r w:rsidRPr="00F03665">
              <w:rPr>
                <w:rFonts w:ascii="Arial" w:hAnsi="Arial" w:cs="Arial"/>
              </w:rPr>
              <w:t>recommandations;</w:t>
            </w:r>
            <w:proofErr w:type="gramEnd"/>
          </w:p>
          <w:p w14:paraId="744FA68A" w14:textId="77777777" w:rsidR="00A81929" w:rsidRDefault="00A81929" w:rsidP="00A81929">
            <w:pPr>
              <w:spacing w:after="0" w:line="276" w:lineRule="auto"/>
              <w:jc w:val="both"/>
              <w:rPr>
                <w:rFonts w:ascii="Arial" w:hAnsi="Arial" w:cs="Arial"/>
              </w:rPr>
            </w:pPr>
            <w:r w:rsidRPr="00F03665">
              <w:rPr>
                <w:rFonts w:ascii="Arial" w:hAnsi="Arial" w:cs="Arial"/>
              </w:rPr>
              <w:t xml:space="preserve">Les </w:t>
            </w:r>
            <w:proofErr w:type="gramStart"/>
            <w:r w:rsidRPr="00F03665">
              <w:rPr>
                <w:rFonts w:ascii="Arial" w:hAnsi="Arial" w:cs="Arial"/>
              </w:rPr>
              <w:t>conclusions;</w:t>
            </w:r>
            <w:proofErr w:type="gramEnd"/>
          </w:p>
          <w:p w14:paraId="2EB4E290" w14:textId="77777777" w:rsidR="00A81929" w:rsidRDefault="00A81929" w:rsidP="00A81929">
            <w:pPr>
              <w:spacing w:after="0" w:line="276" w:lineRule="auto"/>
              <w:jc w:val="both"/>
              <w:rPr>
                <w:rFonts w:ascii="Arial" w:hAnsi="Arial" w:cs="Arial"/>
              </w:rPr>
            </w:pPr>
            <w:r w:rsidRPr="00F03665">
              <w:rPr>
                <w:rFonts w:ascii="Arial" w:hAnsi="Arial" w:cs="Arial"/>
              </w:rPr>
              <w:t xml:space="preserve">Les </w:t>
            </w:r>
            <w:proofErr w:type="gramStart"/>
            <w:r w:rsidRPr="00F03665">
              <w:rPr>
                <w:rFonts w:ascii="Arial" w:hAnsi="Arial" w:cs="Arial"/>
              </w:rPr>
              <w:t>annexes;</w:t>
            </w:r>
            <w:proofErr w:type="gramEnd"/>
          </w:p>
          <w:p w14:paraId="6C646D7A" w14:textId="77777777" w:rsidR="00A81929" w:rsidRPr="00F03665" w:rsidRDefault="00A81929" w:rsidP="00A81929">
            <w:pPr>
              <w:spacing w:after="0" w:line="276" w:lineRule="auto"/>
              <w:jc w:val="both"/>
              <w:rPr>
                <w:rFonts w:ascii="Arial" w:hAnsi="Arial" w:cs="Arial"/>
              </w:rPr>
            </w:pPr>
            <w:r w:rsidRPr="00F03665">
              <w:rPr>
                <w:rFonts w:ascii="Arial" w:hAnsi="Arial" w:cs="Arial"/>
              </w:rPr>
              <w:t>Le rapport devra être transmis au PNUD par courrier en version « papier » et</w:t>
            </w:r>
            <w:proofErr w:type="gramStart"/>
            <w:r w:rsidRPr="00F03665">
              <w:rPr>
                <w:rFonts w:ascii="Arial" w:hAnsi="Arial" w:cs="Arial"/>
              </w:rPr>
              <w:t xml:space="preserve"> «électronique</w:t>
            </w:r>
            <w:proofErr w:type="gramEnd"/>
            <w:r w:rsidRPr="00F03665">
              <w:rPr>
                <w:rFonts w:ascii="Arial" w:hAnsi="Arial" w:cs="Arial"/>
              </w:rPr>
              <w:t xml:space="preserve"> » (3 copies chacune);</w:t>
            </w:r>
          </w:p>
          <w:p w14:paraId="63C8BFE1"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 xml:space="preserve">Lors de la présentation du rapport final d’évaluation, l’évaluateur est également tenu de fournir une « piste d’audit », expliquant en détail la façon dont les commentaires reçus ont (et n’ont pas) été traités dans ledit </w:t>
            </w:r>
            <w:proofErr w:type="gramStart"/>
            <w:r w:rsidRPr="00F03665">
              <w:rPr>
                <w:rFonts w:ascii="Arial" w:hAnsi="Arial" w:cs="Arial"/>
              </w:rPr>
              <w:t>rapport;</w:t>
            </w:r>
            <w:proofErr w:type="gramEnd"/>
          </w:p>
          <w:p w14:paraId="2775FD92"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 xml:space="preserve">Les échelles de notation obligatoires sont inclus dans l'annexe </w:t>
            </w:r>
            <w:proofErr w:type="gramStart"/>
            <w:r w:rsidRPr="00F03665">
              <w:rPr>
                <w:rFonts w:ascii="Arial" w:hAnsi="Arial" w:cs="Arial"/>
              </w:rPr>
              <w:t>D;</w:t>
            </w:r>
            <w:proofErr w:type="gramEnd"/>
          </w:p>
          <w:p w14:paraId="748D93EA" w14:textId="77777777" w:rsidR="00A81929" w:rsidRDefault="00A81929" w:rsidP="00A81929">
            <w:pPr>
              <w:spacing w:before="100" w:beforeAutospacing="1" w:after="100" w:afterAutospacing="1" w:line="276" w:lineRule="auto"/>
              <w:rPr>
                <w:rFonts w:ascii="Arial" w:hAnsi="Arial" w:cs="Arial"/>
              </w:rPr>
            </w:pPr>
            <w:r>
              <w:rPr>
                <w:rFonts w:ascii="Arial" w:hAnsi="Arial" w:cs="Arial"/>
              </w:rPr>
              <w:t>Les an</w:t>
            </w:r>
            <w:r w:rsidRPr="00F03665">
              <w:rPr>
                <w:rFonts w:ascii="Arial" w:hAnsi="Arial" w:cs="Arial"/>
              </w:rPr>
              <w:t>nexes A, B, C, et D seront remis à l’évaluateur au démarrage de l’évaluation.</w:t>
            </w:r>
          </w:p>
          <w:p w14:paraId="76707BF4" w14:textId="77777777" w:rsidR="00A81929" w:rsidRPr="00A81929" w:rsidRDefault="00A81929" w:rsidP="00ED4D4A">
            <w:pPr>
              <w:spacing w:before="100" w:beforeAutospacing="1" w:after="100" w:afterAutospacing="1" w:line="240" w:lineRule="auto"/>
              <w:ind w:left="720"/>
              <w:rPr>
                <w:rFonts w:ascii="Arial" w:hAnsi="Arial" w:cs="Arial"/>
              </w:rPr>
            </w:pPr>
          </w:p>
          <w:p w14:paraId="54503AE6" w14:textId="77777777" w:rsidR="00A81929" w:rsidRPr="00F03665" w:rsidRDefault="00A81929" w:rsidP="00A81929">
            <w:pPr>
              <w:numPr>
                <w:ilvl w:val="0"/>
                <w:numId w:val="1"/>
              </w:numPr>
              <w:spacing w:line="276" w:lineRule="auto"/>
              <w:ind w:left="1077"/>
              <w:rPr>
                <w:rFonts w:ascii="Arial" w:hAnsi="Arial" w:cs="Arial"/>
                <w:b/>
                <w:sz w:val="24"/>
                <w:szCs w:val="24"/>
              </w:rPr>
            </w:pPr>
            <w:r w:rsidRPr="00F03665">
              <w:rPr>
                <w:rFonts w:ascii="Arial" w:hAnsi="Arial" w:cs="Arial"/>
                <w:b/>
                <w:sz w:val="24"/>
                <w:szCs w:val="24"/>
              </w:rPr>
              <w:t>Compétence de l’évaluateur</w:t>
            </w:r>
          </w:p>
        </w:tc>
      </w:tr>
      <w:tr w:rsidR="00A81929" w:rsidRPr="00F03665" w14:paraId="0140F755" w14:textId="77777777" w:rsidTr="00B44DDA">
        <w:trPr>
          <w:tblCellSpacing w:w="30" w:type="dxa"/>
        </w:trPr>
        <w:tc>
          <w:tcPr>
            <w:tcW w:w="8593" w:type="dxa"/>
            <w:vAlign w:val="center"/>
            <w:hideMark/>
          </w:tcPr>
          <w:p w14:paraId="33FCB88E" w14:textId="77777777" w:rsidR="00A81929" w:rsidRPr="00F03665" w:rsidRDefault="00A81929" w:rsidP="00B44DDA">
            <w:pPr>
              <w:rPr>
                <w:rFonts w:ascii="Arial" w:hAnsi="Arial" w:cs="Arial"/>
              </w:rPr>
            </w:pPr>
          </w:p>
        </w:tc>
      </w:tr>
      <w:tr w:rsidR="00A81929" w:rsidRPr="00F03665" w14:paraId="5EE73A29" w14:textId="77777777" w:rsidTr="00B44DDA">
        <w:trPr>
          <w:tblCellSpacing w:w="30" w:type="dxa"/>
        </w:trPr>
        <w:tc>
          <w:tcPr>
            <w:tcW w:w="8593" w:type="dxa"/>
            <w:vAlign w:val="center"/>
            <w:hideMark/>
          </w:tcPr>
          <w:p w14:paraId="345D1FE4" w14:textId="77777777" w:rsidR="00A81929" w:rsidRPr="00F03665" w:rsidRDefault="00A81929" w:rsidP="00B44DDA">
            <w:pPr>
              <w:spacing w:before="100" w:beforeAutospacing="1" w:after="100" w:afterAutospacing="1"/>
              <w:rPr>
                <w:rFonts w:ascii="Arial" w:hAnsi="Arial" w:cs="Arial"/>
              </w:rPr>
            </w:pPr>
            <w:r w:rsidRPr="00F03665">
              <w:rPr>
                <w:rFonts w:ascii="Arial" w:hAnsi="Arial" w:cs="Arial"/>
                <w:b/>
                <w:bCs/>
              </w:rPr>
              <w:t xml:space="preserve">             </w:t>
            </w:r>
            <w:r w:rsidRPr="00F03665">
              <w:rPr>
                <w:rFonts w:ascii="Arial" w:hAnsi="Arial" w:cs="Arial"/>
                <w:bCs/>
              </w:rPr>
              <w:t xml:space="preserve">5.1.          </w:t>
            </w:r>
            <w:r w:rsidRPr="00A81929">
              <w:rPr>
                <w:rFonts w:ascii="Arial" w:hAnsi="Arial" w:cs="Arial"/>
                <w:b/>
                <w:bCs/>
              </w:rPr>
              <w:t>Compétences Organisationnelles</w:t>
            </w:r>
            <w:r>
              <w:rPr>
                <w:rFonts w:ascii="Arial" w:hAnsi="Arial" w:cs="Arial"/>
                <w:b/>
                <w:bCs/>
              </w:rPr>
              <w:t xml:space="preserve"> </w:t>
            </w:r>
            <w:r w:rsidRPr="00A81929">
              <w:rPr>
                <w:rFonts w:ascii="Arial" w:hAnsi="Arial" w:cs="Arial"/>
                <w:b/>
                <w:bCs/>
              </w:rPr>
              <w:t>:</w:t>
            </w:r>
          </w:p>
          <w:p w14:paraId="739D4784"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 xml:space="preserve">Intégrité en accord avec les valeurs </w:t>
            </w:r>
            <w:r w:rsidR="00ED4D4A">
              <w:rPr>
                <w:rFonts w:ascii="Arial" w:hAnsi="Arial" w:cs="Arial"/>
              </w:rPr>
              <w:t>et les normes éthiques de l’ONU</w:t>
            </w:r>
          </w:p>
          <w:p w14:paraId="73CD888D"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Fait le plaidoyer pour la vision, la mission, et les buts</w:t>
            </w:r>
            <w:r w:rsidR="00ED4D4A">
              <w:rPr>
                <w:rFonts w:ascii="Arial" w:hAnsi="Arial" w:cs="Arial"/>
              </w:rPr>
              <w:t xml:space="preserve"> stratégiques des Nations Unies</w:t>
            </w:r>
          </w:p>
          <w:p w14:paraId="2EFC798B"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Flexibilité et une adaptabilité aux aspects culturels, de genre, de religion, de race, de nationalité et d’âge.</w:t>
            </w:r>
          </w:p>
          <w:p w14:paraId="26CF87C3" w14:textId="77777777" w:rsidR="00A81929" w:rsidRPr="00F03665" w:rsidRDefault="00A81929" w:rsidP="00B44DDA">
            <w:pPr>
              <w:spacing w:before="100" w:beforeAutospacing="1" w:after="100" w:afterAutospacing="1"/>
              <w:rPr>
                <w:rFonts w:ascii="Arial" w:hAnsi="Arial" w:cs="Arial"/>
              </w:rPr>
            </w:pPr>
            <w:r w:rsidRPr="00F03665">
              <w:rPr>
                <w:rFonts w:ascii="Arial" w:hAnsi="Arial" w:cs="Arial"/>
                <w:b/>
                <w:bCs/>
              </w:rPr>
              <w:t xml:space="preserve">            </w:t>
            </w:r>
            <w:r w:rsidRPr="00F03665">
              <w:rPr>
                <w:rFonts w:ascii="Arial" w:hAnsi="Arial" w:cs="Arial"/>
                <w:bCs/>
              </w:rPr>
              <w:t xml:space="preserve">  5.2.            </w:t>
            </w:r>
            <w:r w:rsidRPr="00A81929">
              <w:rPr>
                <w:rFonts w:ascii="Arial" w:hAnsi="Arial" w:cs="Arial"/>
                <w:b/>
                <w:bCs/>
              </w:rPr>
              <w:t>Compétences Fonctionnelles</w:t>
            </w:r>
            <w:r>
              <w:rPr>
                <w:rFonts w:ascii="Arial" w:hAnsi="Arial" w:cs="Arial"/>
                <w:b/>
                <w:bCs/>
              </w:rPr>
              <w:t xml:space="preserve"> </w:t>
            </w:r>
            <w:r w:rsidRPr="00A81929">
              <w:rPr>
                <w:rFonts w:ascii="Arial" w:hAnsi="Arial" w:cs="Arial"/>
                <w:b/>
                <w:bCs/>
              </w:rPr>
              <w:t>:</w:t>
            </w:r>
          </w:p>
          <w:p w14:paraId="02981B83"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Développement et efficacité opérationnelle</w:t>
            </w:r>
            <w:r>
              <w:rPr>
                <w:rFonts w:ascii="Arial" w:hAnsi="Arial" w:cs="Arial"/>
              </w:rPr>
              <w:t xml:space="preserve"> </w:t>
            </w:r>
            <w:r w:rsidRPr="00F03665">
              <w:rPr>
                <w:rFonts w:ascii="Arial" w:hAnsi="Arial" w:cs="Arial"/>
              </w:rPr>
              <w:t>;</w:t>
            </w:r>
          </w:p>
          <w:p w14:paraId="206411A3"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Capacité d’appuyer l’identification, la formulation, la mise en œuvre des programmes et projets de développement, y compris en contexte instable</w:t>
            </w:r>
            <w:r>
              <w:rPr>
                <w:rFonts w:ascii="Arial" w:hAnsi="Arial" w:cs="Arial"/>
              </w:rPr>
              <w:t xml:space="preserve"> </w:t>
            </w:r>
            <w:r w:rsidRPr="00F03665">
              <w:rPr>
                <w:rFonts w:ascii="Arial" w:hAnsi="Arial" w:cs="Arial"/>
              </w:rPr>
              <w:t>;</w:t>
            </w:r>
          </w:p>
          <w:p w14:paraId="3A0551AA"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Capacité de communication avec les différents partenaires, agences du SNU, ONG, le gouvernement.</w:t>
            </w:r>
          </w:p>
          <w:p w14:paraId="791AC11E" w14:textId="77777777" w:rsidR="00A81929" w:rsidRPr="00F03665" w:rsidRDefault="00A81929" w:rsidP="00B44DDA">
            <w:pPr>
              <w:spacing w:before="100" w:beforeAutospacing="1" w:after="100" w:afterAutospacing="1"/>
              <w:ind w:left="360"/>
              <w:jc w:val="both"/>
              <w:rPr>
                <w:rFonts w:ascii="Arial" w:hAnsi="Arial" w:cs="Arial"/>
              </w:rPr>
            </w:pPr>
            <w:r w:rsidRPr="00F03665">
              <w:rPr>
                <w:rFonts w:ascii="Arial" w:hAnsi="Arial" w:cs="Arial"/>
                <w:b/>
                <w:bCs/>
              </w:rPr>
              <w:t xml:space="preserve">       </w:t>
            </w:r>
            <w:r w:rsidRPr="00F03665">
              <w:rPr>
                <w:rFonts w:ascii="Arial" w:hAnsi="Arial" w:cs="Arial"/>
                <w:bCs/>
              </w:rPr>
              <w:t xml:space="preserve">   5.3</w:t>
            </w:r>
            <w:r w:rsidRPr="00A81929">
              <w:rPr>
                <w:rFonts w:ascii="Arial" w:hAnsi="Arial" w:cs="Arial"/>
                <w:b/>
                <w:bCs/>
              </w:rPr>
              <w:t xml:space="preserve">.          Gestion et </w:t>
            </w:r>
            <w:proofErr w:type="gramStart"/>
            <w:r w:rsidRPr="00A81929">
              <w:rPr>
                <w:rFonts w:ascii="Arial" w:hAnsi="Arial" w:cs="Arial"/>
                <w:b/>
                <w:bCs/>
              </w:rPr>
              <w:t>leadership:</w:t>
            </w:r>
            <w:proofErr w:type="gramEnd"/>
          </w:p>
          <w:p w14:paraId="126F9E5A"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Focalisé sur les résultats</w:t>
            </w:r>
            <w:r>
              <w:rPr>
                <w:rFonts w:ascii="Arial" w:hAnsi="Arial" w:cs="Arial"/>
              </w:rPr>
              <w:t xml:space="preserve"> </w:t>
            </w:r>
            <w:r w:rsidRPr="00F03665">
              <w:rPr>
                <w:rFonts w:ascii="Arial" w:hAnsi="Arial" w:cs="Arial"/>
              </w:rPr>
              <w:t>;</w:t>
            </w:r>
          </w:p>
          <w:p w14:paraId="5F1A9F50"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 xml:space="preserve">Répond de manière constructive aux </w:t>
            </w:r>
            <w:r w:rsidR="00ED4D4A" w:rsidRPr="00F03665">
              <w:rPr>
                <w:rFonts w:ascii="Arial" w:hAnsi="Arial" w:cs="Arial"/>
              </w:rPr>
              <w:t>appréciations ;</w:t>
            </w:r>
          </w:p>
          <w:p w14:paraId="1B5E97E2"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Aborde constamment le travail avec énergie et ponctualité, ainsi qu’avec une at</w:t>
            </w:r>
            <w:r w:rsidR="00ED4D4A">
              <w:rPr>
                <w:rFonts w:ascii="Arial" w:hAnsi="Arial" w:cs="Arial"/>
              </w:rPr>
              <w:t>titude positive et constructive ;</w:t>
            </w:r>
          </w:p>
          <w:p w14:paraId="16F56816"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Démontre de solides compétences en communication orale et écrite</w:t>
            </w:r>
            <w:r>
              <w:rPr>
                <w:rFonts w:ascii="Arial" w:hAnsi="Arial" w:cs="Arial"/>
              </w:rPr>
              <w:t xml:space="preserve"> </w:t>
            </w:r>
            <w:r w:rsidRPr="00F03665">
              <w:rPr>
                <w:rFonts w:ascii="Arial" w:hAnsi="Arial" w:cs="Arial"/>
              </w:rPr>
              <w:t>;</w:t>
            </w:r>
          </w:p>
          <w:p w14:paraId="5FA6C332" w14:textId="77777777" w:rsidR="00A81929" w:rsidRPr="00F03665" w:rsidRDefault="00A81929" w:rsidP="00A81929">
            <w:pPr>
              <w:spacing w:before="100" w:beforeAutospacing="1" w:after="100" w:afterAutospacing="1" w:line="276" w:lineRule="auto"/>
              <w:jc w:val="both"/>
              <w:rPr>
                <w:rFonts w:ascii="Arial" w:hAnsi="Arial" w:cs="Arial"/>
              </w:rPr>
            </w:pPr>
            <w:r w:rsidRPr="00F03665">
              <w:rPr>
                <w:rFonts w:ascii="Arial" w:hAnsi="Arial" w:cs="Arial"/>
              </w:rPr>
              <w:t xml:space="preserve">Démontre une ouverture au changement et la capacité de gérer des situations </w:t>
            </w:r>
            <w:proofErr w:type="gramStart"/>
            <w:r w:rsidRPr="00F03665">
              <w:rPr>
                <w:rFonts w:ascii="Arial" w:hAnsi="Arial" w:cs="Arial"/>
              </w:rPr>
              <w:t>complexes;</w:t>
            </w:r>
            <w:proofErr w:type="gramEnd"/>
          </w:p>
          <w:p w14:paraId="1B9B3FA4" w14:textId="77777777" w:rsidR="00A81929" w:rsidRPr="00F03665" w:rsidRDefault="00A81929" w:rsidP="00B44DDA">
            <w:pPr>
              <w:spacing w:before="100" w:beforeAutospacing="1" w:after="100" w:afterAutospacing="1"/>
              <w:jc w:val="both"/>
              <w:rPr>
                <w:rFonts w:ascii="Arial" w:hAnsi="Arial" w:cs="Arial"/>
              </w:rPr>
            </w:pPr>
            <w:r w:rsidRPr="00F03665">
              <w:rPr>
                <w:rFonts w:ascii="Arial" w:hAnsi="Arial" w:cs="Arial"/>
                <w:b/>
                <w:bCs/>
              </w:rPr>
              <w:t xml:space="preserve">                 </w:t>
            </w:r>
            <w:r w:rsidRPr="00F03665">
              <w:rPr>
                <w:rFonts w:ascii="Arial" w:hAnsi="Arial" w:cs="Arial"/>
                <w:bCs/>
              </w:rPr>
              <w:t xml:space="preserve">5.4.       </w:t>
            </w:r>
            <w:r w:rsidRPr="00A81929">
              <w:rPr>
                <w:rFonts w:ascii="Arial" w:hAnsi="Arial" w:cs="Arial"/>
                <w:b/>
                <w:bCs/>
              </w:rPr>
              <w:t>Compétences Spécifiques :</w:t>
            </w:r>
          </w:p>
          <w:p w14:paraId="2DE52E54" w14:textId="77777777" w:rsidR="00A81929" w:rsidRPr="00F03665" w:rsidRDefault="00A81929" w:rsidP="00A81929">
            <w:pPr>
              <w:spacing w:before="100" w:beforeAutospacing="1" w:after="0" w:line="276" w:lineRule="auto"/>
              <w:jc w:val="both"/>
              <w:rPr>
                <w:rFonts w:ascii="Arial" w:hAnsi="Arial" w:cs="Arial"/>
              </w:rPr>
            </w:pPr>
            <w:r w:rsidRPr="00F03665">
              <w:rPr>
                <w:rFonts w:ascii="Arial" w:hAnsi="Arial" w:cs="Arial"/>
              </w:rPr>
              <w:t>Compétence en gestion adaptative, telle qu’appliquée d</w:t>
            </w:r>
            <w:r>
              <w:rPr>
                <w:rFonts w:ascii="Arial" w:hAnsi="Arial" w:cs="Arial"/>
              </w:rPr>
              <w:t xml:space="preserve">ans les changements climatiques </w:t>
            </w:r>
            <w:r w:rsidRPr="00F03665">
              <w:rPr>
                <w:rFonts w:ascii="Arial" w:hAnsi="Arial" w:cs="Arial"/>
              </w:rPr>
              <w:t>;</w:t>
            </w:r>
          </w:p>
          <w:p w14:paraId="4C2F0563" w14:textId="77777777" w:rsidR="00A81929" w:rsidRPr="00F03665" w:rsidRDefault="00A81929" w:rsidP="00A81929">
            <w:pPr>
              <w:spacing w:before="100" w:beforeAutospacing="1" w:after="0" w:line="276" w:lineRule="auto"/>
              <w:jc w:val="both"/>
              <w:rPr>
                <w:rFonts w:ascii="Arial" w:hAnsi="Arial" w:cs="Arial"/>
              </w:rPr>
            </w:pPr>
            <w:r w:rsidRPr="00F03665">
              <w:rPr>
                <w:rFonts w:ascii="Arial" w:hAnsi="Arial" w:cs="Arial"/>
              </w:rPr>
              <w:t>Compétences analytiques démontrables</w:t>
            </w:r>
            <w:r>
              <w:rPr>
                <w:rFonts w:ascii="Arial" w:hAnsi="Arial" w:cs="Arial"/>
              </w:rPr>
              <w:t xml:space="preserve"> </w:t>
            </w:r>
            <w:r w:rsidRPr="00F03665">
              <w:rPr>
                <w:rFonts w:ascii="Arial" w:hAnsi="Arial" w:cs="Arial"/>
              </w:rPr>
              <w:t>;</w:t>
            </w:r>
          </w:p>
          <w:p w14:paraId="42EE7BA2" w14:textId="77777777" w:rsidR="00A81929" w:rsidRDefault="00A81929" w:rsidP="00ED4D4A">
            <w:pPr>
              <w:spacing w:before="100" w:beforeAutospacing="1" w:after="0" w:line="276" w:lineRule="auto"/>
              <w:jc w:val="both"/>
              <w:rPr>
                <w:rFonts w:ascii="Arial" w:hAnsi="Arial" w:cs="Arial"/>
              </w:rPr>
            </w:pPr>
            <w:r w:rsidRPr="00F03665">
              <w:rPr>
                <w:rFonts w:ascii="Arial" w:hAnsi="Arial" w:cs="Arial"/>
              </w:rPr>
              <w:t>Disponibilité à se déplacer à l’intérieur du Mali dans les régions et zones concernées par le projet.</w:t>
            </w:r>
          </w:p>
          <w:p w14:paraId="5209D96E" w14:textId="77777777" w:rsidR="00A81929" w:rsidRPr="00F03665" w:rsidRDefault="00A81929" w:rsidP="00A81929">
            <w:pPr>
              <w:spacing w:before="100" w:beforeAutospacing="1" w:after="100" w:afterAutospacing="1" w:line="276" w:lineRule="auto"/>
              <w:jc w:val="both"/>
              <w:rPr>
                <w:rFonts w:ascii="Arial" w:hAnsi="Arial" w:cs="Arial"/>
              </w:rPr>
            </w:pPr>
          </w:p>
        </w:tc>
      </w:tr>
      <w:tr w:rsidR="00A81929" w:rsidRPr="00F03665" w14:paraId="2168F4EB" w14:textId="77777777" w:rsidTr="00B44DDA">
        <w:trPr>
          <w:tblCellSpacing w:w="30" w:type="dxa"/>
        </w:trPr>
        <w:tc>
          <w:tcPr>
            <w:tcW w:w="8593" w:type="dxa"/>
            <w:vAlign w:val="center"/>
            <w:hideMark/>
          </w:tcPr>
          <w:p w14:paraId="67AF11A1" w14:textId="77777777" w:rsidR="00A81929" w:rsidRPr="00ED4D4A" w:rsidRDefault="00A81929" w:rsidP="00ED4D4A">
            <w:pPr>
              <w:pStyle w:val="Paragraphedeliste"/>
              <w:numPr>
                <w:ilvl w:val="0"/>
                <w:numId w:val="1"/>
              </w:numPr>
              <w:jc w:val="both"/>
              <w:rPr>
                <w:rFonts w:ascii="Arial" w:hAnsi="Arial" w:cs="Arial"/>
              </w:rPr>
            </w:pPr>
            <w:r w:rsidRPr="00ED4D4A">
              <w:rPr>
                <w:rFonts w:ascii="Arial" w:hAnsi="Arial" w:cs="Arial"/>
                <w:b/>
                <w:bCs/>
              </w:rPr>
              <w:t xml:space="preserve">Composition de l'équipe </w:t>
            </w:r>
          </w:p>
          <w:p w14:paraId="42444C6B" w14:textId="77777777" w:rsidR="00A81929" w:rsidRDefault="00A81929" w:rsidP="00B44DDA">
            <w:pPr>
              <w:jc w:val="both"/>
              <w:rPr>
                <w:rFonts w:ascii="Arial" w:hAnsi="Arial" w:cs="Arial"/>
              </w:rPr>
            </w:pPr>
          </w:p>
          <w:p w14:paraId="5134732C" w14:textId="77777777" w:rsidR="00A81929" w:rsidRPr="00F03665" w:rsidRDefault="00A81929" w:rsidP="00B44DDA">
            <w:pPr>
              <w:jc w:val="both"/>
              <w:rPr>
                <w:rFonts w:ascii="Arial" w:hAnsi="Arial" w:cs="Arial"/>
              </w:rPr>
            </w:pPr>
            <w:r w:rsidRPr="00F03665">
              <w:rPr>
                <w:rFonts w:ascii="Arial" w:hAnsi="Arial" w:cs="Arial"/>
              </w:rPr>
              <w:t xml:space="preserve">Une équipe de deux consultants indépendants mèneront l’étude d’évaluation - un chef d'équipe, consultant international et un expert national. Les consultants ne doivent pas avoir participé à la préparation du projet, à la formulation et / ou la mise en œuvre (y compris la rédaction du document de projet) et ne devraient pas avoir un conflit d'intérêt avec les activités relatives au projet. </w:t>
            </w:r>
          </w:p>
          <w:p w14:paraId="643331B4" w14:textId="77777777" w:rsidR="00A81929" w:rsidRPr="00F03665" w:rsidRDefault="00A81929" w:rsidP="00B44DDA">
            <w:pPr>
              <w:jc w:val="both"/>
              <w:rPr>
                <w:rFonts w:ascii="Arial" w:hAnsi="Arial" w:cs="Arial"/>
                <w:b/>
                <w:bCs/>
              </w:rPr>
            </w:pPr>
          </w:p>
          <w:p w14:paraId="1B06B49D" w14:textId="77777777" w:rsidR="00A81929" w:rsidRDefault="00A81929" w:rsidP="00B44DDA">
            <w:pPr>
              <w:jc w:val="both"/>
              <w:rPr>
                <w:rFonts w:ascii="Arial" w:hAnsi="Arial" w:cs="Arial"/>
              </w:rPr>
            </w:pPr>
            <w:r w:rsidRPr="00F03665">
              <w:rPr>
                <w:rFonts w:ascii="Arial" w:hAnsi="Arial" w:cs="Arial"/>
                <w:b/>
                <w:bCs/>
              </w:rPr>
              <w:t xml:space="preserve">Profil des consultants : </w:t>
            </w:r>
          </w:p>
          <w:p w14:paraId="6B4BA5ED" w14:textId="77777777" w:rsidR="00A81929" w:rsidRPr="00F03665" w:rsidRDefault="00A81929" w:rsidP="00ED4D4A">
            <w:pPr>
              <w:spacing w:after="0"/>
              <w:jc w:val="both"/>
              <w:rPr>
                <w:rFonts w:ascii="Arial" w:hAnsi="Arial" w:cs="Arial"/>
              </w:rPr>
            </w:pPr>
            <w:r w:rsidRPr="00F03665">
              <w:rPr>
                <w:rFonts w:ascii="Arial" w:hAnsi="Arial" w:cs="Arial"/>
              </w:rPr>
              <w:t xml:space="preserve">Les consultants doivent avoir les profils et les compétences suivants : </w:t>
            </w:r>
          </w:p>
          <w:p w14:paraId="50296C75" w14:textId="77777777" w:rsidR="00A81929" w:rsidRPr="00F03665" w:rsidRDefault="00A81929" w:rsidP="00ED4D4A">
            <w:pPr>
              <w:spacing w:after="0" w:line="276" w:lineRule="auto"/>
              <w:jc w:val="both"/>
              <w:rPr>
                <w:rFonts w:ascii="Arial" w:hAnsi="Arial" w:cs="Arial"/>
              </w:rPr>
            </w:pPr>
            <w:r w:rsidRPr="00F03665">
              <w:rPr>
                <w:rFonts w:ascii="Arial" w:hAnsi="Arial" w:cs="Arial"/>
              </w:rPr>
              <w:t>Compétence en gestion adaptative, telle qu’appliquée d</w:t>
            </w:r>
            <w:r w:rsidR="00ED4D4A">
              <w:rPr>
                <w:rFonts w:ascii="Arial" w:hAnsi="Arial" w:cs="Arial"/>
              </w:rPr>
              <w:t xml:space="preserve">ans les changements climatiques </w:t>
            </w:r>
            <w:r w:rsidRPr="00F03665">
              <w:rPr>
                <w:rFonts w:ascii="Arial" w:hAnsi="Arial" w:cs="Arial"/>
              </w:rPr>
              <w:t xml:space="preserve">; </w:t>
            </w:r>
          </w:p>
          <w:p w14:paraId="6032ABFA" w14:textId="77777777" w:rsidR="00A81929" w:rsidRPr="00F03665" w:rsidRDefault="00A81929" w:rsidP="00ED4D4A">
            <w:pPr>
              <w:spacing w:after="0" w:line="276" w:lineRule="auto"/>
              <w:jc w:val="both"/>
              <w:rPr>
                <w:rFonts w:ascii="Arial" w:hAnsi="Arial" w:cs="Arial"/>
              </w:rPr>
            </w:pPr>
            <w:r w:rsidRPr="00F03665">
              <w:rPr>
                <w:rFonts w:ascii="Arial" w:hAnsi="Arial" w:cs="Arial"/>
              </w:rPr>
              <w:t xml:space="preserve">Expérience de travail avec le FEM ou les évaluations FEM ; </w:t>
            </w:r>
          </w:p>
          <w:p w14:paraId="12FC901B" w14:textId="77777777" w:rsidR="00A81929" w:rsidRPr="00F03665" w:rsidRDefault="00A81929" w:rsidP="00ED4D4A">
            <w:pPr>
              <w:spacing w:after="0" w:line="276" w:lineRule="auto"/>
              <w:jc w:val="both"/>
              <w:rPr>
                <w:rFonts w:ascii="Arial" w:hAnsi="Arial" w:cs="Arial"/>
              </w:rPr>
            </w:pPr>
            <w:r w:rsidRPr="00F03665">
              <w:rPr>
                <w:rFonts w:ascii="Arial" w:hAnsi="Arial" w:cs="Arial"/>
              </w:rPr>
              <w:t xml:space="preserve">Expérience de travail dans des domaines techniques concernés pendant au moins 10 </w:t>
            </w:r>
            <w:proofErr w:type="gramStart"/>
            <w:r w:rsidRPr="00F03665">
              <w:rPr>
                <w:rFonts w:ascii="Arial" w:hAnsi="Arial" w:cs="Arial"/>
              </w:rPr>
              <w:t>ans;</w:t>
            </w:r>
            <w:proofErr w:type="gramEnd"/>
            <w:r w:rsidRPr="00F03665">
              <w:rPr>
                <w:rFonts w:ascii="Arial" w:hAnsi="Arial" w:cs="Arial"/>
              </w:rPr>
              <w:t xml:space="preserve"> </w:t>
            </w:r>
          </w:p>
          <w:p w14:paraId="7E312011" w14:textId="77777777" w:rsidR="00ED4D4A" w:rsidRDefault="00A81929" w:rsidP="00ED4D4A">
            <w:pPr>
              <w:spacing w:after="0" w:line="276" w:lineRule="auto"/>
              <w:jc w:val="both"/>
              <w:rPr>
                <w:rFonts w:ascii="Arial" w:hAnsi="Arial" w:cs="Arial"/>
              </w:rPr>
            </w:pPr>
            <w:r w:rsidRPr="00F03665">
              <w:rPr>
                <w:rFonts w:ascii="Arial" w:hAnsi="Arial" w:cs="Arial"/>
              </w:rPr>
              <w:t xml:space="preserve">Compréhension manifeste des questions liées au genre et expérience dans l'évaluation de sensibilisation et analyse du genre ; </w:t>
            </w:r>
          </w:p>
          <w:p w14:paraId="3DA81839" w14:textId="77777777" w:rsidR="00A81929" w:rsidRPr="00F03665" w:rsidRDefault="00A81929" w:rsidP="00ED4D4A">
            <w:pPr>
              <w:spacing w:after="0" w:line="276" w:lineRule="auto"/>
              <w:jc w:val="both"/>
              <w:rPr>
                <w:rFonts w:ascii="Arial" w:hAnsi="Arial" w:cs="Arial"/>
              </w:rPr>
            </w:pPr>
            <w:r w:rsidRPr="00F03665">
              <w:rPr>
                <w:rFonts w:ascii="Arial" w:hAnsi="Arial" w:cs="Arial"/>
              </w:rPr>
              <w:t>Excellentes aptitudes à la communication</w:t>
            </w:r>
            <w:r w:rsidR="00ED4D4A">
              <w:rPr>
                <w:rFonts w:ascii="Arial" w:hAnsi="Arial" w:cs="Arial"/>
              </w:rPr>
              <w:t xml:space="preserve"> </w:t>
            </w:r>
            <w:r w:rsidRPr="00F03665">
              <w:rPr>
                <w:rFonts w:ascii="Arial" w:hAnsi="Arial" w:cs="Arial"/>
              </w:rPr>
              <w:t xml:space="preserve">; </w:t>
            </w:r>
          </w:p>
          <w:p w14:paraId="74B619D9" w14:textId="77777777" w:rsidR="00A81929" w:rsidRPr="00F03665" w:rsidRDefault="00A81929" w:rsidP="00ED4D4A">
            <w:pPr>
              <w:spacing w:after="0" w:line="276" w:lineRule="auto"/>
              <w:jc w:val="both"/>
              <w:rPr>
                <w:rFonts w:ascii="Arial" w:hAnsi="Arial" w:cs="Arial"/>
              </w:rPr>
            </w:pPr>
            <w:r w:rsidRPr="00F03665">
              <w:rPr>
                <w:rFonts w:ascii="Arial" w:hAnsi="Arial" w:cs="Arial"/>
              </w:rPr>
              <w:t>Compétences analytiques démontrables</w:t>
            </w:r>
            <w:r w:rsidR="00ED4D4A">
              <w:rPr>
                <w:rFonts w:ascii="Arial" w:hAnsi="Arial" w:cs="Arial"/>
              </w:rPr>
              <w:t xml:space="preserve"> </w:t>
            </w:r>
            <w:r w:rsidRPr="00F03665">
              <w:rPr>
                <w:rFonts w:ascii="Arial" w:hAnsi="Arial" w:cs="Arial"/>
              </w:rPr>
              <w:t xml:space="preserve">; </w:t>
            </w:r>
          </w:p>
          <w:p w14:paraId="090A7D31" w14:textId="77777777" w:rsidR="00A81929" w:rsidRPr="00F03665" w:rsidRDefault="00A81929" w:rsidP="00ED4D4A">
            <w:pPr>
              <w:spacing w:after="0" w:line="276" w:lineRule="auto"/>
              <w:jc w:val="both"/>
              <w:rPr>
                <w:rFonts w:ascii="Arial" w:hAnsi="Arial" w:cs="Arial"/>
              </w:rPr>
            </w:pPr>
            <w:r w:rsidRPr="00F03665">
              <w:rPr>
                <w:rFonts w:ascii="Arial" w:hAnsi="Arial" w:cs="Arial"/>
              </w:rPr>
              <w:t>L'évaluation des projets / et les expériences au sein du système des Nations Unies seront considérées comme un atout</w:t>
            </w:r>
            <w:r w:rsidR="00ED4D4A">
              <w:rPr>
                <w:rFonts w:ascii="Arial" w:hAnsi="Arial" w:cs="Arial"/>
              </w:rPr>
              <w:t xml:space="preserve"> </w:t>
            </w:r>
            <w:r w:rsidRPr="00F03665">
              <w:rPr>
                <w:rFonts w:ascii="Arial" w:hAnsi="Arial" w:cs="Arial"/>
              </w:rPr>
              <w:t xml:space="preserve">; </w:t>
            </w:r>
          </w:p>
          <w:p w14:paraId="72716EE1" w14:textId="77777777" w:rsidR="00A81929" w:rsidRPr="00F03665" w:rsidRDefault="00A81929" w:rsidP="00ED4D4A">
            <w:pPr>
              <w:spacing w:after="0" w:line="276" w:lineRule="auto"/>
              <w:jc w:val="both"/>
              <w:rPr>
                <w:rFonts w:ascii="Arial" w:hAnsi="Arial" w:cs="Arial"/>
              </w:rPr>
            </w:pPr>
            <w:r w:rsidRPr="00F03665">
              <w:rPr>
                <w:rFonts w:ascii="Arial" w:hAnsi="Arial" w:cs="Arial"/>
              </w:rPr>
              <w:t xml:space="preserve">Disponibilité à se déplacer à l’intérieur du Mali dans les régions et zones concernées par le projet. </w:t>
            </w:r>
          </w:p>
          <w:p w14:paraId="04B7A2C8" w14:textId="77777777" w:rsidR="00A81929" w:rsidRPr="00F03665" w:rsidRDefault="00A81929" w:rsidP="00ED4D4A">
            <w:pPr>
              <w:spacing w:after="0" w:line="240" w:lineRule="auto"/>
              <w:jc w:val="both"/>
              <w:rPr>
                <w:rFonts w:ascii="Arial" w:hAnsi="Arial" w:cs="Arial"/>
              </w:rPr>
            </w:pPr>
            <w:r w:rsidRPr="00F03665">
              <w:rPr>
                <w:rFonts w:ascii="Arial" w:hAnsi="Arial" w:cs="Arial"/>
              </w:rPr>
              <w:t xml:space="preserve">Expérience de travail dans des domaines techniques concernés pendant au moins 10 ans dont </w:t>
            </w:r>
            <w:r w:rsidR="00ED4D4A" w:rsidRPr="00F03665">
              <w:rPr>
                <w:rFonts w:ascii="Arial" w:hAnsi="Arial" w:cs="Arial"/>
              </w:rPr>
              <w:t>cinq ans minimums</w:t>
            </w:r>
            <w:r w:rsidRPr="00F03665">
              <w:rPr>
                <w:rFonts w:ascii="Arial" w:hAnsi="Arial" w:cs="Arial"/>
              </w:rPr>
              <w:t xml:space="preserve"> d'expérience professionnelle pertinente</w:t>
            </w:r>
            <w:r w:rsidR="00ED4D4A">
              <w:rPr>
                <w:rFonts w:ascii="Arial" w:hAnsi="Arial" w:cs="Arial"/>
              </w:rPr>
              <w:t xml:space="preserve"> </w:t>
            </w:r>
            <w:r w:rsidRPr="00F03665">
              <w:rPr>
                <w:rFonts w:ascii="Arial" w:hAnsi="Arial" w:cs="Arial"/>
              </w:rPr>
              <w:t>;</w:t>
            </w:r>
          </w:p>
          <w:p w14:paraId="13EC7BA5" w14:textId="77777777" w:rsidR="00A81929" w:rsidRPr="00F03665" w:rsidRDefault="00A81929" w:rsidP="00ED4D4A">
            <w:pPr>
              <w:spacing w:after="0" w:line="240" w:lineRule="auto"/>
              <w:jc w:val="both"/>
              <w:rPr>
                <w:rFonts w:ascii="Arial" w:hAnsi="Arial" w:cs="Arial"/>
              </w:rPr>
            </w:pPr>
            <w:r w:rsidRPr="00F03665">
              <w:rPr>
                <w:rFonts w:ascii="Arial" w:hAnsi="Arial" w:cs="Arial"/>
              </w:rPr>
              <w:t>Expérience de travail avec le FEM ou les évaluations du FEM ;</w:t>
            </w:r>
          </w:p>
          <w:p w14:paraId="72502A20" w14:textId="77777777" w:rsidR="00A81929" w:rsidRPr="00F03665" w:rsidRDefault="00A81929" w:rsidP="00ED4D4A">
            <w:pPr>
              <w:spacing w:after="0" w:line="240" w:lineRule="auto"/>
              <w:jc w:val="both"/>
              <w:rPr>
                <w:rFonts w:ascii="Arial" w:hAnsi="Arial" w:cs="Arial"/>
              </w:rPr>
            </w:pPr>
            <w:r w:rsidRPr="00F03665">
              <w:rPr>
                <w:rFonts w:ascii="Arial" w:hAnsi="Arial" w:cs="Arial"/>
              </w:rPr>
              <w:t xml:space="preserve">Expérience de travail dans des domaines techniques concernés pendant au moins 10 </w:t>
            </w:r>
            <w:proofErr w:type="gramStart"/>
            <w:r w:rsidRPr="00F03665">
              <w:rPr>
                <w:rFonts w:ascii="Arial" w:hAnsi="Arial" w:cs="Arial"/>
              </w:rPr>
              <w:t>ans;</w:t>
            </w:r>
            <w:proofErr w:type="gramEnd"/>
          </w:p>
          <w:p w14:paraId="086D0EE1" w14:textId="77777777" w:rsidR="00ED4D4A" w:rsidRDefault="00A81929" w:rsidP="00ED4D4A">
            <w:pPr>
              <w:spacing w:before="240" w:after="0" w:line="240" w:lineRule="auto"/>
              <w:jc w:val="both"/>
              <w:rPr>
                <w:rFonts w:ascii="Arial" w:hAnsi="Arial" w:cs="Arial"/>
              </w:rPr>
            </w:pPr>
            <w:r w:rsidRPr="00F03665">
              <w:rPr>
                <w:rFonts w:ascii="Arial" w:hAnsi="Arial" w:cs="Arial"/>
              </w:rPr>
              <w:t>Une connaissance du PNUD et du FEM ;</w:t>
            </w:r>
          </w:p>
          <w:p w14:paraId="5AE08DF3" w14:textId="77777777" w:rsidR="00A81929" w:rsidRPr="00F03665" w:rsidRDefault="00A81929" w:rsidP="00ED4D4A">
            <w:pPr>
              <w:spacing w:before="240" w:after="0" w:line="240" w:lineRule="auto"/>
              <w:jc w:val="both"/>
              <w:rPr>
                <w:rFonts w:ascii="Arial" w:hAnsi="Arial" w:cs="Arial"/>
              </w:rPr>
            </w:pPr>
            <w:r w:rsidRPr="00F03665">
              <w:rPr>
                <w:rFonts w:ascii="Arial" w:hAnsi="Arial" w:cs="Arial"/>
              </w:rPr>
              <w:t>Une expérience antérieure avec les méthodologies de suivi et d’évaluation axées sur les résultats ;</w:t>
            </w:r>
          </w:p>
          <w:p w14:paraId="73B296AA" w14:textId="77777777" w:rsidR="00A81929" w:rsidRPr="00F03665" w:rsidRDefault="00A81929" w:rsidP="00ED4D4A">
            <w:pPr>
              <w:spacing w:before="100" w:beforeAutospacing="1" w:after="0" w:line="276" w:lineRule="auto"/>
              <w:jc w:val="both"/>
              <w:rPr>
                <w:rFonts w:ascii="Arial" w:hAnsi="Arial" w:cs="Arial"/>
              </w:rPr>
            </w:pPr>
            <w:r w:rsidRPr="00F03665">
              <w:rPr>
                <w:rFonts w:ascii="Arial" w:hAnsi="Arial" w:cs="Arial"/>
              </w:rPr>
              <w:t>Des connaissances techniques dans les domaines focaux ciblés ; et</w:t>
            </w:r>
            <w:r w:rsidR="00ED4D4A">
              <w:rPr>
                <w:rFonts w:ascii="Arial" w:hAnsi="Arial" w:cs="Arial"/>
              </w:rPr>
              <w:t xml:space="preserve"> </w:t>
            </w:r>
            <w:r w:rsidRPr="00F03665">
              <w:rPr>
                <w:rFonts w:ascii="Arial" w:hAnsi="Arial" w:cs="Arial"/>
              </w:rPr>
              <w:t>(des connaissances supplémentaires en fonction des particularités des projets).</w:t>
            </w:r>
          </w:p>
          <w:p w14:paraId="254AED79" w14:textId="77777777" w:rsidR="00ED4D4A" w:rsidRDefault="00ED4D4A" w:rsidP="00B44DDA">
            <w:pPr>
              <w:jc w:val="both"/>
              <w:rPr>
                <w:rFonts w:ascii="Arial" w:hAnsi="Arial" w:cs="Arial"/>
                <w:b/>
                <w:bCs/>
              </w:rPr>
            </w:pPr>
          </w:p>
          <w:p w14:paraId="4684FC38" w14:textId="77777777" w:rsidR="00A81929" w:rsidRDefault="00A81929" w:rsidP="00B44DDA">
            <w:pPr>
              <w:jc w:val="both"/>
              <w:rPr>
                <w:rFonts w:ascii="Arial" w:hAnsi="Arial" w:cs="Arial"/>
              </w:rPr>
            </w:pPr>
            <w:r w:rsidRPr="00F03665">
              <w:rPr>
                <w:rFonts w:ascii="Arial" w:hAnsi="Arial" w:cs="Arial"/>
                <w:b/>
                <w:bCs/>
              </w:rPr>
              <w:t xml:space="preserve">Pour le Consultant International </w:t>
            </w:r>
            <w:r w:rsidRPr="00F03665">
              <w:rPr>
                <w:rFonts w:ascii="Arial" w:hAnsi="Arial" w:cs="Arial"/>
              </w:rPr>
              <w:t>:</w:t>
            </w:r>
          </w:p>
          <w:p w14:paraId="76CCD232" w14:textId="77777777" w:rsidR="00A81929" w:rsidRPr="00F03665" w:rsidRDefault="00A81929" w:rsidP="00ED4D4A">
            <w:pPr>
              <w:spacing w:line="240" w:lineRule="auto"/>
              <w:jc w:val="both"/>
              <w:rPr>
                <w:rFonts w:ascii="Arial" w:hAnsi="Arial" w:cs="Arial"/>
              </w:rPr>
            </w:pPr>
            <w:r w:rsidRPr="00F03665">
              <w:rPr>
                <w:rFonts w:ascii="Arial" w:hAnsi="Arial" w:cs="Arial"/>
              </w:rPr>
              <w:t xml:space="preserve">Un diplôme d’au moins Master en en Agro économie, foresterie ou tout autre domaine connexe ; </w:t>
            </w:r>
          </w:p>
          <w:p w14:paraId="2AA8D0E9" w14:textId="77777777" w:rsidR="00A81929" w:rsidRPr="00F03665" w:rsidRDefault="00A81929" w:rsidP="00ED4D4A">
            <w:pPr>
              <w:spacing w:line="240" w:lineRule="auto"/>
              <w:jc w:val="both"/>
              <w:rPr>
                <w:rFonts w:ascii="Arial" w:hAnsi="Arial" w:cs="Arial"/>
              </w:rPr>
            </w:pPr>
            <w:proofErr w:type="gramStart"/>
            <w:r w:rsidRPr="00F03665">
              <w:rPr>
                <w:rFonts w:ascii="Arial" w:hAnsi="Arial" w:cs="Arial"/>
              </w:rPr>
              <w:t>une</w:t>
            </w:r>
            <w:proofErr w:type="gramEnd"/>
            <w:r w:rsidRPr="00F03665">
              <w:rPr>
                <w:rFonts w:ascii="Arial" w:hAnsi="Arial" w:cs="Arial"/>
              </w:rPr>
              <w:t xml:space="preserve"> expérience dans les domaines des énergies renouvelables, de la bioénergie et autres domaines connexes est atout majeur; </w:t>
            </w:r>
          </w:p>
          <w:p w14:paraId="29634127" w14:textId="77777777" w:rsidR="00A81929" w:rsidRPr="00F03665" w:rsidRDefault="00A81929" w:rsidP="00ED4D4A">
            <w:pPr>
              <w:spacing w:line="240" w:lineRule="auto"/>
              <w:jc w:val="both"/>
              <w:rPr>
                <w:rFonts w:ascii="Arial" w:hAnsi="Arial" w:cs="Arial"/>
              </w:rPr>
            </w:pPr>
            <w:r w:rsidRPr="00F03665">
              <w:rPr>
                <w:rFonts w:ascii="Arial" w:hAnsi="Arial" w:cs="Arial"/>
              </w:rPr>
              <w:t xml:space="preserve">Capacité de rédaction attestée selon les standards internationaux, les plus élevés ; </w:t>
            </w:r>
          </w:p>
          <w:p w14:paraId="5FC74C15" w14:textId="77777777" w:rsidR="00A81929" w:rsidRPr="00F03665" w:rsidRDefault="00A81929" w:rsidP="00ED4D4A">
            <w:pPr>
              <w:spacing w:after="200" w:line="240" w:lineRule="auto"/>
              <w:jc w:val="both"/>
              <w:rPr>
                <w:rFonts w:ascii="Arial" w:hAnsi="Arial" w:cs="Arial"/>
              </w:rPr>
            </w:pPr>
            <w:proofErr w:type="gramStart"/>
            <w:r w:rsidRPr="00F03665">
              <w:rPr>
                <w:rFonts w:ascii="Arial" w:hAnsi="Arial" w:cs="Arial"/>
              </w:rPr>
              <w:t>une</w:t>
            </w:r>
            <w:proofErr w:type="gramEnd"/>
            <w:r w:rsidRPr="00F03665">
              <w:rPr>
                <w:rFonts w:ascii="Arial" w:hAnsi="Arial" w:cs="Arial"/>
              </w:rPr>
              <w:t xml:space="preserve"> bonne maîtrise du Français est exigée ; </w:t>
            </w:r>
          </w:p>
          <w:p w14:paraId="7BBEB670" w14:textId="77777777" w:rsidR="00ED4D4A" w:rsidRDefault="00ED4D4A" w:rsidP="00B44DDA">
            <w:pPr>
              <w:jc w:val="both"/>
              <w:rPr>
                <w:rFonts w:ascii="Arial" w:hAnsi="Arial" w:cs="Arial"/>
                <w:b/>
                <w:bCs/>
              </w:rPr>
            </w:pPr>
          </w:p>
          <w:p w14:paraId="5E69EDB5" w14:textId="77777777" w:rsidR="00A81929" w:rsidRDefault="00A81929" w:rsidP="00B44DDA">
            <w:pPr>
              <w:jc w:val="both"/>
              <w:rPr>
                <w:rFonts w:ascii="Arial" w:hAnsi="Arial" w:cs="Arial"/>
                <w:b/>
                <w:bCs/>
              </w:rPr>
            </w:pPr>
            <w:r w:rsidRPr="00F03665">
              <w:rPr>
                <w:rFonts w:ascii="Arial" w:hAnsi="Arial" w:cs="Arial"/>
                <w:b/>
                <w:bCs/>
              </w:rPr>
              <w:t xml:space="preserve">Pour le consultant national : </w:t>
            </w:r>
          </w:p>
          <w:p w14:paraId="20D11EE2" w14:textId="77777777" w:rsidR="00A81929" w:rsidRPr="00F03665" w:rsidRDefault="00A81929" w:rsidP="00ED4D4A">
            <w:pPr>
              <w:spacing w:line="240" w:lineRule="auto"/>
              <w:jc w:val="both"/>
              <w:rPr>
                <w:rFonts w:ascii="Arial" w:hAnsi="Arial" w:cs="Arial"/>
              </w:rPr>
            </w:pPr>
            <w:r w:rsidRPr="00F03665">
              <w:rPr>
                <w:rFonts w:ascii="Arial" w:hAnsi="Arial" w:cs="Arial"/>
              </w:rPr>
              <w:t xml:space="preserve">Un diplôme d’au moins Master en foresterie ou en Agro foresterie une bonne connaissance en bioénergie ou énergies renouvelables, de la politique énergétique du Mali, des stratégies nationales des biocarburants et des énergies renouvelables est atout majeur. </w:t>
            </w:r>
          </w:p>
          <w:p w14:paraId="119A8DAF" w14:textId="77777777" w:rsidR="00A81929" w:rsidRPr="00F03665" w:rsidRDefault="00A81929" w:rsidP="00ED4D4A">
            <w:pPr>
              <w:spacing w:after="200" w:line="240" w:lineRule="auto"/>
              <w:jc w:val="both"/>
              <w:rPr>
                <w:rFonts w:ascii="Arial" w:hAnsi="Arial" w:cs="Arial"/>
              </w:rPr>
            </w:pPr>
            <w:proofErr w:type="gramStart"/>
            <w:r w:rsidRPr="00F03665">
              <w:rPr>
                <w:rFonts w:ascii="Arial" w:hAnsi="Arial" w:cs="Arial"/>
              </w:rPr>
              <w:t>une</w:t>
            </w:r>
            <w:proofErr w:type="gramEnd"/>
            <w:r w:rsidRPr="00F03665">
              <w:rPr>
                <w:rFonts w:ascii="Arial" w:hAnsi="Arial" w:cs="Arial"/>
              </w:rPr>
              <w:t xml:space="preserve"> bonne maîtrise du Français ; </w:t>
            </w:r>
          </w:p>
          <w:p w14:paraId="713A3449" w14:textId="77777777" w:rsidR="00A81929" w:rsidRPr="00F03665" w:rsidRDefault="00A81929" w:rsidP="00ED4D4A">
            <w:pPr>
              <w:spacing w:line="240" w:lineRule="auto"/>
              <w:jc w:val="both"/>
              <w:rPr>
                <w:rFonts w:ascii="Arial" w:hAnsi="Arial" w:cs="Arial"/>
              </w:rPr>
            </w:pPr>
            <w:r w:rsidRPr="00F03665">
              <w:rPr>
                <w:rFonts w:ascii="Arial" w:hAnsi="Arial" w:cs="Arial"/>
              </w:rPr>
              <w:t xml:space="preserve">Les deux consultants devront se familiariser en détail avec le projet en prenant connaissance des documents pertinents avant le démarrage de la mission et les voyages de terrain. </w:t>
            </w:r>
          </w:p>
          <w:p w14:paraId="60F4B9D2" w14:textId="77777777" w:rsidR="00A81929" w:rsidRPr="00F03665" w:rsidRDefault="00A81929" w:rsidP="00B44DDA">
            <w:pPr>
              <w:jc w:val="both"/>
              <w:rPr>
                <w:rFonts w:ascii="Arial" w:hAnsi="Arial" w:cs="Arial"/>
              </w:rPr>
            </w:pPr>
          </w:p>
          <w:p w14:paraId="27899D4F" w14:textId="77777777" w:rsidR="00A81929" w:rsidRPr="00ED4D4A" w:rsidRDefault="00A81929" w:rsidP="00ED4D4A">
            <w:pPr>
              <w:pStyle w:val="Paragraphedeliste"/>
              <w:numPr>
                <w:ilvl w:val="0"/>
                <w:numId w:val="1"/>
              </w:numPr>
              <w:jc w:val="both"/>
              <w:rPr>
                <w:rFonts w:ascii="Arial" w:hAnsi="Arial" w:cs="Arial"/>
                <w:b/>
                <w:bCs/>
              </w:rPr>
            </w:pPr>
            <w:r w:rsidRPr="00ED4D4A">
              <w:rPr>
                <w:rFonts w:ascii="Arial" w:hAnsi="Arial" w:cs="Arial"/>
                <w:b/>
                <w:bCs/>
              </w:rPr>
              <w:t xml:space="preserve">Chronogramme de la mission </w:t>
            </w:r>
          </w:p>
          <w:p w14:paraId="6564A861" w14:textId="77777777" w:rsidR="00A81929" w:rsidRDefault="00A81929" w:rsidP="00B44DDA">
            <w:pPr>
              <w:jc w:val="both"/>
              <w:rPr>
                <w:rFonts w:ascii="Arial" w:hAnsi="Arial" w:cs="Arial"/>
              </w:rPr>
            </w:pPr>
          </w:p>
          <w:p w14:paraId="619C726B" w14:textId="77777777" w:rsidR="00A81929" w:rsidRPr="00F03665" w:rsidRDefault="00A81929" w:rsidP="00B44DDA">
            <w:pPr>
              <w:jc w:val="both"/>
              <w:rPr>
                <w:rFonts w:ascii="Arial" w:hAnsi="Arial" w:cs="Arial"/>
              </w:rPr>
            </w:pPr>
            <w:r w:rsidRPr="00F03665">
              <w:rPr>
                <w:rFonts w:ascii="Arial" w:hAnsi="Arial" w:cs="Arial"/>
              </w:rPr>
              <w:t xml:space="preserve">Les candidats retenus présenteront dans leurs offres un chronogramme qu’ils harmoniseront ensemble au début du démarrage de la mission. </w:t>
            </w:r>
          </w:p>
          <w:p w14:paraId="49DE6343" w14:textId="77777777" w:rsidR="00A81929" w:rsidRPr="00F03665" w:rsidRDefault="00A81929" w:rsidP="00B44DDA">
            <w:pPr>
              <w:jc w:val="both"/>
              <w:rPr>
                <w:rFonts w:ascii="Arial" w:hAnsi="Arial" w:cs="Arial"/>
              </w:rPr>
            </w:pPr>
            <w:r w:rsidRPr="00F03665">
              <w:rPr>
                <w:rFonts w:ascii="Arial" w:hAnsi="Arial" w:cs="Arial"/>
              </w:rPr>
              <w:t xml:space="preserve">Ce chronogramme sera soumis à l’appréciation de l’Unité de gestion du projet et au PNUD/Mali. </w:t>
            </w:r>
          </w:p>
          <w:p w14:paraId="7392ECDC" w14:textId="77777777" w:rsidR="00A81929" w:rsidRDefault="00A81929" w:rsidP="00B44DDA">
            <w:pPr>
              <w:jc w:val="both"/>
              <w:rPr>
                <w:rFonts w:ascii="Arial" w:hAnsi="Arial" w:cs="Arial"/>
                <w:b/>
                <w:bCs/>
              </w:rPr>
            </w:pPr>
          </w:p>
          <w:p w14:paraId="6695A6DC" w14:textId="77777777" w:rsidR="00A81929" w:rsidRPr="00ED4D4A" w:rsidRDefault="00A81929" w:rsidP="00B44DDA">
            <w:pPr>
              <w:pStyle w:val="Paragraphedeliste"/>
              <w:numPr>
                <w:ilvl w:val="0"/>
                <w:numId w:val="1"/>
              </w:numPr>
              <w:jc w:val="both"/>
              <w:rPr>
                <w:rFonts w:ascii="Arial" w:hAnsi="Arial" w:cs="Arial"/>
              </w:rPr>
            </w:pPr>
            <w:r w:rsidRPr="00ED4D4A">
              <w:rPr>
                <w:rFonts w:ascii="Arial" w:hAnsi="Arial" w:cs="Arial"/>
                <w:b/>
                <w:bCs/>
              </w:rPr>
              <w:t xml:space="preserve">Durée et démarrage de la mission </w:t>
            </w:r>
          </w:p>
          <w:p w14:paraId="162F3857" w14:textId="77777777" w:rsidR="00A81929" w:rsidRPr="00F03665" w:rsidRDefault="00A81929" w:rsidP="00B44DDA">
            <w:pPr>
              <w:jc w:val="both"/>
              <w:rPr>
                <w:rFonts w:ascii="Arial" w:hAnsi="Arial" w:cs="Arial"/>
              </w:rPr>
            </w:pPr>
            <w:r w:rsidRPr="00F03665">
              <w:rPr>
                <w:rFonts w:ascii="Arial" w:hAnsi="Arial" w:cs="Arial"/>
              </w:rPr>
              <w:t xml:space="preserve">La durée de la mission est de Huit (8) semaines à partir de la date de signature du contrat y compris le temps de traduction en anglais du rapport final. </w:t>
            </w:r>
          </w:p>
          <w:p w14:paraId="2C912318" w14:textId="77777777" w:rsidR="00A81929" w:rsidRPr="00F03665" w:rsidRDefault="00A81929" w:rsidP="00ED4D4A">
            <w:pPr>
              <w:jc w:val="both"/>
              <w:rPr>
                <w:rFonts w:ascii="Arial" w:hAnsi="Arial" w:cs="Arial"/>
              </w:rPr>
            </w:pPr>
            <w:r w:rsidRPr="00F03665">
              <w:rPr>
                <w:rFonts w:ascii="Arial" w:hAnsi="Arial" w:cs="Arial"/>
              </w:rPr>
              <w:t xml:space="preserve">L’évaluation </w:t>
            </w:r>
            <w:r w:rsidR="00ED4D4A">
              <w:rPr>
                <w:rFonts w:ascii="Arial" w:hAnsi="Arial" w:cs="Arial"/>
              </w:rPr>
              <w:t>devra démarrer en octobre 2016.</w:t>
            </w:r>
            <w:bookmarkStart w:id="1" w:name="_GoBack"/>
            <w:bookmarkEnd w:id="1"/>
          </w:p>
          <w:p w14:paraId="56FC201E" w14:textId="77777777" w:rsidR="00A81929" w:rsidRPr="00F03665" w:rsidRDefault="00A81929" w:rsidP="00B44DDA">
            <w:pPr>
              <w:rPr>
                <w:rFonts w:ascii="Arial" w:hAnsi="Arial" w:cs="Arial"/>
              </w:rPr>
            </w:pPr>
          </w:p>
        </w:tc>
      </w:tr>
    </w:tbl>
    <w:p w14:paraId="5288A2ED" w14:textId="77777777" w:rsidR="00D24A9F" w:rsidRDefault="00D24A9F"/>
    <w:sectPr w:rsidR="00D24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46521"/>
    <w:multiLevelType w:val="multilevel"/>
    <w:tmpl w:val="F05A5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29"/>
    <w:rsid w:val="00A81929"/>
    <w:rsid w:val="00D24A9F"/>
    <w:rsid w:val="00ED4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29A2"/>
  <w15:chartTrackingRefBased/>
  <w15:docId w15:val="{5D26B01F-4162-454A-BD4E-F067AA36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192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4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1901</Words>
  <Characters>10457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 Guindo</dc:creator>
  <cp:keywords/>
  <dc:description/>
  <cp:lastModifiedBy>Safia Guindo</cp:lastModifiedBy>
  <cp:revision>1</cp:revision>
  <dcterms:created xsi:type="dcterms:W3CDTF">2018-12-10T21:38:00Z</dcterms:created>
  <dcterms:modified xsi:type="dcterms:W3CDTF">2018-12-10T21:56:00Z</dcterms:modified>
</cp:coreProperties>
</file>